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10234">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赤峰市生态环境局2025年生态环境</w:t>
      </w:r>
    </w:p>
    <w:p w14:paraId="62C11BEA">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保护工作开展情况</w:t>
      </w:r>
    </w:p>
    <w:p w14:paraId="0F9D5DB2">
      <w:pPr>
        <w:pStyle w:val="3"/>
        <w:rPr>
          <w:rFonts w:hint="eastAsia"/>
          <w:lang w:val="en-US" w:eastAsia="zh-CN"/>
        </w:rPr>
      </w:pPr>
    </w:p>
    <w:p w14:paraId="28402F81">
      <w:pPr>
        <w:pStyle w:val="3"/>
        <w:keepNext w:val="0"/>
        <w:keepLines w:val="0"/>
        <w:pageBreakBefore w:val="0"/>
        <w:widowControl w:val="0"/>
        <w:kinsoku/>
        <w:wordWrap/>
        <w:overflowPunct/>
        <w:topLinePunct w:val="0"/>
        <w:autoSpaceDE/>
        <w:autoSpaceDN/>
        <w:bidi w:val="0"/>
        <w:adjustRightInd/>
        <w:snapToGrid/>
        <w:spacing w:after="0" w:afterLines="0"/>
        <w:ind w:firstLine="640" w:firstLineChars="200"/>
        <w:textAlignment w:val="auto"/>
        <w:rPr>
          <w:rFonts w:hint="eastAsia"/>
          <w:lang w:val="en-US" w:eastAsia="zh-CN"/>
        </w:rPr>
      </w:pPr>
      <w:r>
        <w:rPr>
          <w:rFonts w:hint="eastAsia"/>
          <w:lang w:val="en-US" w:eastAsia="zh-CN"/>
        </w:rPr>
        <w:t>按照《关于印发</w:t>
      </w:r>
      <w:r>
        <w:rPr>
          <w:rFonts w:hint="eastAsia" w:ascii="微软雅黑" w:hAnsi="微软雅黑" w:eastAsia="微软雅黑" w:cs="微软雅黑"/>
          <w:lang w:val="en-US" w:eastAsia="zh-CN"/>
        </w:rPr>
        <w:t>〈</w:t>
      </w:r>
      <w:r>
        <w:rPr>
          <w:rFonts w:hint="eastAsia"/>
          <w:lang w:val="en-US" w:eastAsia="zh-CN"/>
        </w:rPr>
        <w:t>关于推动职能部门做好生态环境保护工作的意见</w:t>
      </w:r>
      <w:r>
        <w:rPr>
          <w:rFonts w:hint="eastAsia" w:ascii="微软雅黑" w:hAnsi="微软雅黑" w:eastAsia="微软雅黑" w:cs="微软雅黑"/>
          <w:lang w:val="en-US" w:eastAsia="zh-CN"/>
        </w:rPr>
        <w:t>〉</w:t>
      </w:r>
      <w:r>
        <w:rPr>
          <w:rFonts w:hint="eastAsia"/>
          <w:lang w:val="en-US" w:eastAsia="zh-CN"/>
        </w:rPr>
        <w:t>的通知》文件要求，现将2025年赤峰市生态环境局生态环境保护工作开展情况总结如下：</w:t>
      </w:r>
    </w:p>
    <w:p w14:paraId="031B454E">
      <w:pPr>
        <w:pStyle w:val="3"/>
        <w:keepNext w:val="0"/>
        <w:keepLines w:val="0"/>
        <w:pageBreakBefore w:val="0"/>
        <w:widowControl w:val="0"/>
        <w:kinsoku/>
        <w:wordWrap/>
        <w:overflowPunct/>
        <w:topLinePunct w:val="0"/>
        <w:autoSpaceDE/>
        <w:autoSpaceDN/>
        <w:bidi w:val="0"/>
        <w:adjustRightInd/>
        <w:snapToGrid/>
        <w:spacing w:after="0" w:afterLines="0"/>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一、统筹推进我国北方重要生态安全屏障建设</w:t>
      </w:r>
    </w:p>
    <w:p w14:paraId="207729DE">
      <w:pPr>
        <w:pStyle w:val="3"/>
        <w:keepNext w:val="0"/>
        <w:keepLines w:val="0"/>
        <w:pageBreakBefore w:val="0"/>
        <w:widowControl w:val="0"/>
        <w:kinsoku/>
        <w:wordWrap/>
        <w:overflowPunct/>
        <w:topLinePunct w:val="0"/>
        <w:autoSpaceDE/>
        <w:autoSpaceDN/>
        <w:bidi w:val="0"/>
        <w:adjustRightInd/>
        <w:snapToGrid/>
        <w:spacing w:after="0" w:afterLines="0"/>
        <w:ind w:firstLine="640" w:firstLineChars="200"/>
        <w:textAlignment w:val="auto"/>
        <w:rPr>
          <w:rFonts w:hint="eastAsia"/>
          <w:lang w:val="en-US" w:eastAsia="zh-CN"/>
        </w:rPr>
      </w:pPr>
      <w:r>
        <w:rPr>
          <w:rFonts w:hint="eastAsia"/>
          <w:lang w:val="en-US" w:eastAsia="zh-CN"/>
        </w:rPr>
        <w:t>严格落实专项组工作细则，研究制定《赤峰市建设我国北方重要生态安全屏障2025年重点任务清单》，按月调度进展情况，确定的54项年度重点任务全部按时完成。</w:t>
      </w:r>
    </w:p>
    <w:p w14:paraId="5A492C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二、强力推进中央及自治区环保督察整改</w:t>
      </w:r>
    </w:p>
    <w:p w14:paraId="52897C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en-US" w:eastAsia="zh-CN"/>
        </w:rPr>
        <w:t>第二轮中央环保督察反馈赤峰市的21项问题，已销号16项，剩余5项已完成整改待销号；交办的454件群众信访件已全部办结。第三轮中央生态环保督察交办的</w:t>
      </w:r>
      <w:r>
        <w:rPr>
          <w:rFonts w:hint="eastAsia" w:cs="仿宋_GB2312"/>
          <w:b w:val="0"/>
          <w:bCs/>
          <w:lang w:val="en-US" w:eastAsia="zh-CN"/>
        </w:rPr>
        <w:t>我市</w:t>
      </w:r>
      <w:r>
        <w:rPr>
          <w:rFonts w:hint="eastAsia" w:ascii="仿宋_GB2312" w:hAnsi="仿宋_GB2312" w:eastAsia="仿宋_GB2312" w:cs="仿宋_GB2312"/>
          <w:b w:val="0"/>
          <w:bCs/>
          <w:lang w:val="en-US" w:eastAsia="zh-CN"/>
        </w:rPr>
        <w:t>196件群众信访件，已办结179件，上报办结申请11件，剩余6件正按时序推进。自治区督察反馈我市的44项整改任务，已完成28项，剩余16项正按时序推进，交办的184件群众信访件已办结176件，剩余8件正积极办理。</w:t>
      </w:r>
    </w:p>
    <w:p w14:paraId="04E800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三、深入打好污染防治攻坚战</w:t>
      </w:r>
    </w:p>
    <w:p w14:paraId="6D7DC4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en-US" w:eastAsia="zh-CN"/>
        </w:rPr>
        <w:t>2025年，全市环境空气优良天数比率为97.0%，同比上升1.4个百分点。地表水国控断面优良水体比例87%，超过考核要求16.2个百分点，劣Ⅴ类水体比例为0，超过考核要求8.3个百分点，城市集中式饮用水水源水质达标率保持100%；土壤环境保持总体稳定。</w:t>
      </w:r>
    </w:p>
    <w:p w14:paraId="5D3BE3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lang w:val="en-US" w:eastAsia="zh-CN"/>
        </w:rPr>
      </w:pPr>
      <w:r>
        <w:rPr>
          <w:rFonts w:hint="eastAsia" w:cs="仿宋_GB2312"/>
          <w:b/>
          <w:bCs w:val="0"/>
          <w:lang w:val="en-US" w:eastAsia="zh-CN"/>
        </w:rPr>
        <w:t>蓝天保卫战方面</w:t>
      </w:r>
      <w:r>
        <w:rPr>
          <w:rFonts w:hint="eastAsia" w:ascii="仿宋_GB2312" w:hAnsi="仿宋_GB2312" w:eastAsia="仿宋_GB2312" w:cs="仿宋_GB2312"/>
          <w:b/>
          <w:bCs w:val="0"/>
          <w:lang w:val="en-US" w:eastAsia="zh-CN"/>
        </w:rPr>
        <w:t>。</w:t>
      </w:r>
      <w:r>
        <w:rPr>
          <w:rFonts w:hint="eastAsia" w:ascii="仿宋_GB2312" w:hAnsi="仿宋_GB2312" w:eastAsia="仿宋_GB2312" w:cs="仿宋_GB2312"/>
          <w:b w:val="0"/>
          <w:bCs/>
          <w:lang w:val="en-US" w:eastAsia="zh-CN"/>
        </w:rPr>
        <w:t>持续推进钢铁、焦化等重点行业和65蒸吨以上燃煤锅炉超低排放，对宁城县、元宝山区实施特别排放限值改造，聚焦挥发性有机物、散乱污工业企业、机动车检验机构及膨润土加工企业开展专项整治，推动一批影响环境空气质量的突出问题得到有效解决。</w:t>
      </w:r>
      <w:r>
        <w:rPr>
          <w:rFonts w:hint="eastAsia" w:cs="仿宋_GB2312"/>
          <w:b/>
          <w:bCs w:val="0"/>
          <w:lang w:val="en-US" w:eastAsia="zh-CN"/>
        </w:rPr>
        <w:t>碧水保卫战方面</w:t>
      </w:r>
      <w:r>
        <w:rPr>
          <w:rFonts w:hint="eastAsia" w:ascii="仿宋_GB2312" w:hAnsi="仿宋_GB2312" w:eastAsia="仿宋_GB2312" w:cs="仿宋_GB2312"/>
          <w:b/>
          <w:bCs w:val="0"/>
          <w:lang w:val="en-US" w:eastAsia="zh-CN"/>
        </w:rPr>
        <w:t>。</w:t>
      </w:r>
      <w:r>
        <w:rPr>
          <w:rFonts w:hint="eastAsia" w:ascii="仿宋_GB2312" w:hAnsi="仿宋_GB2312" w:eastAsia="仿宋_GB2312" w:cs="仿宋_GB2312"/>
          <w:b w:val="0"/>
          <w:bCs/>
          <w:lang w:val="en-US" w:eastAsia="zh-CN"/>
        </w:rPr>
        <w:t>加强重点时段地表水环境质量监管，对全市河流断面开展环境问题联合排查，清理河道约140余公里。推进277个入河排污口全部完成规范整治，实现监测率、溯源率、整治率三个“百分百”，圆满完成考核任务。强化水源地规范化建设，完成6个乡镇及以下饮用水水源保护区划定、调整，全市87个乡镇级水源保护区已全部完成勘界立标。</w:t>
      </w:r>
      <w:r>
        <w:rPr>
          <w:rFonts w:hint="eastAsia" w:cs="仿宋_GB2312"/>
          <w:b/>
          <w:bCs w:val="0"/>
          <w:lang w:val="en-US" w:eastAsia="zh-CN"/>
        </w:rPr>
        <w:t>净土保卫战方面</w:t>
      </w:r>
      <w:r>
        <w:rPr>
          <w:rFonts w:hint="eastAsia" w:ascii="仿宋_GB2312" w:hAnsi="仿宋_GB2312" w:eastAsia="仿宋_GB2312" w:cs="仿宋_GB2312"/>
          <w:b/>
          <w:bCs w:val="0"/>
          <w:lang w:val="en-US" w:eastAsia="zh-CN"/>
        </w:rPr>
        <w:t>。</w:t>
      </w:r>
      <w:r>
        <w:rPr>
          <w:rFonts w:hint="eastAsia" w:ascii="仿宋_GB2312" w:hAnsi="仿宋_GB2312" w:eastAsia="仿宋_GB2312" w:cs="仿宋_GB2312"/>
          <w:b w:val="0"/>
          <w:bCs/>
          <w:lang w:val="en-US" w:eastAsia="zh-CN"/>
        </w:rPr>
        <w:t>动态更新土壤、地下水污染重点监管单位名单，确定年度土壤污染重点监管单位77家、地下水重点监管单位46家。组织旗县区完成108家涉镉等重金属重点行业企业排查，发现的31个问题已全部整改。完成巴林左旗、林西县、克什克腾旗土壤污染防治试点旗县建设。开展赤峰市地下水污染防治重点区划定工作，并完成与全区“一张图”对接。组织喀喇沁旗完成美丽乡村建设。大力推进农村牧区环境综合整治，53个农村生活污水治理任务已全部完成。</w:t>
      </w:r>
      <w:r>
        <w:rPr>
          <w:rFonts w:hint="eastAsia" w:ascii="仿宋_GB2312" w:hAnsi="仿宋_GB2312" w:eastAsia="仿宋_GB2312" w:cs="仿宋_GB2312"/>
          <w:b/>
          <w:bCs w:val="0"/>
          <w:lang w:val="en-US" w:eastAsia="zh-CN"/>
        </w:rPr>
        <w:t>固体废物污染防治</w:t>
      </w:r>
      <w:r>
        <w:rPr>
          <w:rFonts w:hint="eastAsia" w:cs="仿宋_GB2312"/>
          <w:b/>
          <w:bCs w:val="0"/>
          <w:lang w:val="en-US" w:eastAsia="zh-CN"/>
        </w:rPr>
        <w:t>方面</w:t>
      </w:r>
      <w:r>
        <w:rPr>
          <w:rFonts w:hint="eastAsia" w:ascii="仿宋_GB2312" w:hAnsi="仿宋_GB2312" w:eastAsia="仿宋_GB2312" w:cs="仿宋_GB2312"/>
          <w:b/>
          <w:bCs w:val="0"/>
          <w:lang w:val="en-US" w:eastAsia="zh-CN"/>
        </w:rPr>
        <w:t>。</w:t>
      </w:r>
      <w:r>
        <w:rPr>
          <w:rFonts w:hint="eastAsia" w:ascii="仿宋_GB2312" w:hAnsi="仿宋_GB2312" w:eastAsia="仿宋_GB2312" w:cs="仿宋_GB2312"/>
          <w:b w:val="0"/>
          <w:bCs/>
          <w:lang w:val="en-US" w:eastAsia="zh-CN"/>
        </w:rPr>
        <w:t>开展危险废物规范化环境管理评估，排查发现污染隐患78个，已完成整改个77个，剩余1个按时序推进整改。会同相关部门开展全市非法倾倒处置固体废物专项整治行动，发现非法倾倒问题31个已全部完成整改。强化医疗废物规范化处置管理，已安全处置医疗废物3651吨。</w:t>
      </w:r>
    </w:p>
    <w:p w14:paraId="71DD76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四、积极推动绿色低碳转型</w:t>
      </w:r>
    </w:p>
    <w:p w14:paraId="4C09EA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lang w:val="en-US" w:eastAsia="zh-CN"/>
        </w:rPr>
        <w:t>积极应对气候变化，将钢铁、水泥行业重点排放单位纳入碳排放交易市场，并完成碳排放核查。编制完成《赤峰市2023年度温室气体排放清单》和《赤峰小米碳足迹管理体系建设实施方案》。全力服务经济高质量发展，今年以来，</w:t>
      </w:r>
      <w:r>
        <w:rPr>
          <w:rFonts w:hint="eastAsia" w:ascii="仿宋_GB2312" w:hAnsi="仿宋_GB2312" w:eastAsia="仿宋_GB2312" w:cs="仿宋_GB2312"/>
          <w:b w:val="0"/>
          <w:bCs w:val="0"/>
          <w:color w:val="auto"/>
          <w:sz w:val="32"/>
          <w:szCs w:val="32"/>
          <w:highlight w:val="none"/>
          <w:lang w:val="en-US" w:eastAsia="zh-CN"/>
        </w:rPr>
        <w:t>共争取生态环境专项资金1.56亿元，安排生态环境保护项目29个；</w:t>
      </w:r>
      <w:r>
        <w:rPr>
          <w:rFonts w:hint="eastAsia" w:ascii="仿宋_GB2312" w:hAnsi="仿宋_GB2312" w:eastAsia="仿宋_GB2312" w:cs="仿宋_GB2312"/>
          <w:b w:val="0"/>
          <w:bCs w:val="0"/>
          <w:color w:val="auto"/>
          <w:sz w:val="32"/>
          <w:szCs w:val="32"/>
          <w:lang w:val="en-US" w:eastAsia="zh-CN"/>
        </w:rPr>
        <w:t>严格落实生态环境分区管控要求，认真做好环评审批服务工作，全市共审批环评项目309个，均在规定时限内出具批复意见，确保建设项目如期落地投产。深入推进重金属污染防治，</w:t>
      </w:r>
      <w:r>
        <w:rPr>
          <w:rFonts w:hint="eastAsia" w:cs="仿宋_GB2312"/>
          <w:b w:val="0"/>
          <w:bCs w:val="0"/>
          <w:color w:val="auto"/>
          <w:sz w:val="32"/>
          <w:szCs w:val="32"/>
          <w:lang w:val="en-US" w:eastAsia="zh-CN"/>
        </w:rPr>
        <w:t>谋划</w:t>
      </w:r>
      <w:r>
        <w:rPr>
          <w:rFonts w:hint="eastAsia" w:ascii="仿宋_GB2312" w:hAnsi="仿宋_GB2312" w:eastAsia="仿宋_GB2312" w:cs="仿宋_GB2312"/>
          <w:b w:val="0"/>
          <w:bCs w:val="0"/>
          <w:color w:val="auto"/>
          <w:sz w:val="32"/>
          <w:szCs w:val="32"/>
          <w:lang w:val="en-US" w:eastAsia="zh-CN"/>
        </w:rPr>
        <w:t>实施赤峰市重点行业重点重金属污染物减排试点建设及排放量控制目标完成情况评估项目。</w:t>
      </w:r>
    </w:p>
    <w:p w14:paraId="0F1D44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五、持续强化生态保护修复和监管</w:t>
      </w:r>
    </w:p>
    <w:p w14:paraId="333470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组织开展自然保护地违法违规问题整改“回头看”，已完成整改的253个自然保护地违法违规问题均严格落实了整改措施。完成自然保护地</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生态保护红线内疑似生态破坏问题实地核查，</w:t>
      </w:r>
      <w:r>
        <w:rPr>
          <w:rFonts w:hint="eastAsia" w:ascii="仿宋_GB2312" w:hAnsi="仿宋_GB2312" w:eastAsia="仿宋_GB2312" w:cs="仿宋_GB2312"/>
          <w:b w:val="0"/>
          <w:bCs w:val="0"/>
          <w:sz w:val="32"/>
          <w:szCs w:val="32"/>
          <w:lang w:val="en-US" w:eastAsia="zh-CN"/>
        </w:rPr>
        <w:t>对</w:t>
      </w:r>
      <w:r>
        <w:rPr>
          <w:rFonts w:hint="default" w:ascii="仿宋_GB2312" w:hAnsi="仿宋_GB2312" w:eastAsia="仿宋_GB2312" w:cs="仿宋_GB2312"/>
          <w:b w:val="0"/>
          <w:bCs w:val="0"/>
          <w:sz w:val="32"/>
          <w:szCs w:val="32"/>
          <w:lang w:val="en-US" w:eastAsia="zh-CN"/>
        </w:rPr>
        <w:t>生态环境厅</w:t>
      </w:r>
      <w:r>
        <w:rPr>
          <w:rFonts w:hint="eastAsia" w:ascii="仿宋_GB2312" w:hAnsi="仿宋_GB2312" w:eastAsia="仿宋_GB2312" w:cs="仿宋_GB2312"/>
          <w:b w:val="0"/>
          <w:bCs w:val="0"/>
          <w:sz w:val="32"/>
          <w:szCs w:val="32"/>
          <w:lang w:val="en-US" w:eastAsia="zh-CN"/>
        </w:rPr>
        <w:t>推送的157个</w:t>
      </w:r>
      <w:r>
        <w:rPr>
          <w:rFonts w:hint="default" w:ascii="仿宋_GB2312" w:hAnsi="仿宋_GB2312" w:eastAsia="仿宋_GB2312" w:cs="仿宋_GB2312"/>
          <w:b w:val="0"/>
          <w:bCs w:val="0"/>
          <w:sz w:val="32"/>
          <w:szCs w:val="32"/>
          <w:lang w:val="en-US" w:eastAsia="zh-CN"/>
        </w:rPr>
        <w:t>两大沙地疑似生态破坏线索</w:t>
      </w:r>
      <w:r>
        <w:rPr>
          <w:rFonts w:hint="eastAsia" w:ascii="仿宋_GB2312" w:hAnsi="仿宋_GB2312" w:eastAsia="仿宋_GB2312" w:cs="仿宋_GB2312"/>
          <w:b w:val="0"/>
          <w:bCs w:val="0"/>
          <w:sz w:val="32"/>
          <w:szCs w:val="32"/>
          <w:lang w:val="en-US" w:eastAsia="zh-CN"/>
        </w:rPr>
        <w:t>开展全面排</w:t>
      </w:r>
      <w:r>
        <w:rPr>
          <w:rFonts w:hint="default" w:ascii="仿宋_GB2312" w:hAnsi="仿宋_GB2312" w:eastAsia="仿宋_GB2312" w:cs="仿宋_GB2312"/>
          <w:b w:val="0"/>
          <w:bCs w:val="0"/>
          <w:sz w:val="32"/>
          <w:szCs w:val="32"/>
          <w:lang w:val="en-US" w:eastAsia="zh-CN"/>
        </w:rPr>
        <w:t>查，实有生态破坏问题69个，目前已全部完成</w:t>
      </w:r>
      <w:r>
        <w:rPr>
          <w:rFonts w:hint="eastAsia" w:ascii="仿宋_GB2312" w:hAnsi="仿宋_GB2312" w:eastAsia="仿宋_GB2312" w:cs="仿宋_GB2312"/>
          <w:b w:val="0"/>
          <w:bCs w:val="0"/>
          <w:sz w:val="32"/>
          <w:szCs w:val="32"/>
          <w:lang w:val="en-US" w:eastAsia="zh-CN"/>
        </w:rPr>
        <w:t>整改。</w:t>
      </w:r>
      <w:r>
        <w:rPr>
          <w:rFonts w:hint="default" w:ascii="仿宋_GB2312" w:hAnsi="仿宋_GB2312" w:eastAsia="仿宋_GB2312" w:cs="仿宋_GB2312"/>
          <w:b w:val="0"/>
          <w:bCs w:val="0"/>
          <w:sz w:val="32"/>
          <w:szCs w:val="32"/>
          <w:lang w:val="en-US" w:eastAsia="zh-CN"/>
        </w:rPr>
        <w:t>生态</w:t>
      </w:r>
      <w:r>
        <w:rPr>
          <w:rFonts w:hint="eastAsia" w:ascii="仿宋_GB2312" w:hAnsi="仿宋_GB2312" w:eastAsia="仿宋_GB2312" w:cs="仿宋_GB2312"/>
          <w:b w:val="0"/>
          <w:bCs w:val="0"/>
          <w:sz w:val="32"/>
          <w:szCs w:val="32"/>
          <w:lang w:val="en-US" w:eastAsia="zh-CN"/>
        </w:rPr>
        <w:t>保护修复和监管</w:t>
      </w:r>
      <w:r>
        <w:rPr>
          <w:rFonts w:hint="default" w:ascii="仿宋_GB2312" w:hAnsi="仿宋_GB2312" w:eastAsia="仿宋_GB2312" w:cs="仿宋_GB2312"/>
          <w:b w:val="0"/>
          <w:bCs w:val="0"/>
          <w:sz w:val="32"/>
          <w:szCs w:val="32"/>
          <w:lang w:val="en-US" w:eastAsia="zh-CN"/>
        </w:rPr>
        <w:t>成效显著</w:t>
      </w:r>
      <w:r>
        <w:rPr>
          <w:rFonts w:hint="eastAsia" w:ascii="仿宋_GB2312" w:hAnsi="仿宋_GB2312" w:eastAsia="仿宋_GB2312" w:cs="仿宋_GB2312"/>
          <w:b w:val="0"/>
          <w:bCs w:val="0"/>
          <w:sz w:val="32"/>
          <w:szCs w:val="32"/>
          <w:lang w:val="en-US" w:eastAsia="zh-CN"/>
        </w:rPr>
        <w:t>。</w:t>
      </w:r>
    </w:p>
    <w:p w14:paraId="222656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lang w:eastAsia="zh-CN"/>
        </w:rPr>
        <w:t>不断</w:t>
      </w:r>
      <w:r>
        <w:rPr>
          <w:rFonts w:hint="eastAsia" w:ascii="黑体" w:hAnsi="黑体" w:eastAsia="黑体" w:cs="黑体"/>
          <w:b w:val="0"/>
          <w:bCs w:val="0"/>
          <w:sz w:val="32"/>
          <w:szCs w:val="32"/>
        </w:rPr>
        <w:t>健全现代环境治理体系</w:t>
      </w:r>
    </w:p>
    <w:p w14:paraId="673CD2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sz w:val="32"/>
          <w:szCs w:val="32"/>
          <w:highlight w:val="none"/>
        </w:rPr>
        <w:t>扎实推进诚信建设工程</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完成981家排污单位和92家第三方服务机构2024年度生态环境信用评价；推动“生态环境信用信息修复高效办理”微改革</w:t>
      </w:r>
      <w:r>
        <w:rPr>
          <w:rFonts w:hint="eastAsia" w:cs="仿宋_GB2312"/>
          <w:b w:val="0"/>
          <w:bCs w:val="0"/>
          <w:sz w:val="32"/>
          <w:szCs w:val="32"/>
          <w:highlight w:val="none"/>
          <w:lang w:eastAsia="zh-CN"/>
        </w:rPr>
        <w:t>，</w:t>
      </w:r>
      <w:r>
        <w:rPr>
          <w:rFonts w:hint="eastAsia" w:cs="仿宋_GB2312"/>
          <w:b w:val="0"/>
          <w:bCs w:val="0"/>
          <w:sz w:val="32"/>
          <w:szCs w:val="32"/>
          <w:highlight w:val="none"/>
          <w:lang w:val="en-US" w:eastAsia="zh-CN"/>
        </w:rPr>
        <w:t>信用修复实现“即来即办”</w:t>
      </w:r>
      <w:r>
        <w:rPr>
          <w:rFonts w:hint="eastAsia"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着力提升生态环境支撑保障能力</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扎</w:t>
      </w:r>
      <w:r>
        <w:rPr>
          <w:rFonts w:hint="eastAsia" w:ascii="仿宋_GB2312" w:hAnsi="仿宋_GB2312" w:eastAsia="仿宋_GB2312" w:cs="仿宋_GB2312"/>
          <w:b w:val="0"/>
          <w:bCs w:val="0"/>
          <w:sz w:val="32"/>
          <w:szCs w:val="32"/>
        </w:rPr>
        <w:t>实做好排污许可核发及执行报告审核。不断加强生态环境保护执法监管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深入开展“打废”、“治超”专项行动</w:t>
      </w:r>
      <w:r>
        <w:rPr>
          <w:rFonts w:hint="eastAsia" w:cs="仿宋_GB2312"/>
          <w:b w:val="0"/>
          <w:bCs w:val="0"/>
          <w:sz w:val="32"/>
          <w:szCs w:val="32"/>
          <w:lang w:eastAsia="zh-CN"/>
        </w:rPr>
        <w:t>，</w:t>
      </w:r>
      <w:r>
        <w:rPr>
          <w:rFonts w:hint="eastAsia" w:cs="仿宋_GB2312"/>
          <w:b w:val="0"/>
          <w:bCs w:val="0"/>
          <w:sz w:val="32"/>
          <w:szCs w:val="32"/>
          <w:lang w:val="en-US" w:eastAsia="zh-CN"/>
        </w:rPr>
        <w:t>2025</w:t>
      </w:r>
      <w:r>
        <w:rPr>
          <w:rFonts w:hint="eastAsia" w:ascii="仿宋_GB2312" w:hAnsi="仿宋_GB2312" w:eastAsia="仿宋_GB2312" w:cs="仿宋_GB2312"/>
          <w:b w:val="0"/>
          <w:bCs/>
          <w:lang w:val="en-US" w:eastAsia="zh-CN"/>
        </w:rPr>
        <w:t>年</w:t>
      </w:r>
      <w:r>
        <w:rPr>
          <w:rFonts w:hint="eastAsia" w:cs="仿宋_GB2312"/>
          <w:b w:val="0"/>
          <w:bCs/>
          <w:lang w:val="en-US" w:eastAsia="zh-CN"/>
        </w:rPr>
        <w:t>共</w:t>
      </w:r>
      <w:r>
        <w:rPr>
          <w:rFonts w:hint="eastAsia" w:ascii="仿宋_GB2312" w:hAnsi="仿宋_GB2312" w:eastAsia="仿宋_GB2312" w:cs="仿宋_GB2312"/>
          <w:b w:val="0"/>
          <w:bCs/>
          <w:lang w:val="en-US" w:eastAsia="zh-CN"/>
        </w:rPr>
        <w:t>查处环境违法案件165件，处罚金额1070.17万元</w:t>
      </w:r>
      <w:r>
        <w:rPr>
          <w:rFonts w:hint="eastAsia" w:cs="仿宋_GB2312"/>
          <w:b w:val="0"/>
          <w:bCs/>
          <w:lang w:val="en-US" w:eastAsia="zh-CN"/>
        </w:rPr>
        <w:t>。</w:t>
      </w:r>
      <w:r>
        <w:rPr>
          <w:rFonts w:hint="eastAsia" w:ascii="仿宋_GB2312" w:hAnsi="仿宋_GB2312" w:eastAsia="仿宋_GB2312" w:cs="仿宋_GB2312"/>
          <w:b w:val="0"/>
          <w:bCs/>
          <w:lang w:val="en-US" w:eastAsia="zh-CN"/>
        </w:rPr>
        <w:t>推动65家企业纳入执法正面清单。</w:t>
      </w:r>
    </w:p>
    <w:p w14:paraId="4B0775E6">
      <w:pPr>
        <w:pStyle w:val="3"/>
        <w:keepNext w:val="0"/>
        <w:keepLines w:val="0"/>
        <w:pageBreakBefore w:val="0"/>
        <w:widowControl w:val="0"/>
        <w:kinsoku/>
        <w:wordWrap/>
        <w:overflowPunct/>
        <w:topLinePunct w:val="0"/>
        <w:autoSpaceDE/>
        <w:autoSpaceDN/>
        <w:bidi w:val="0"/>
        <w:adjustRightInd/>
        <w:snapToGrid/>
        <w:spacing w:after="0" w:afterLines="0"/>
        <w:ind w:firstLine="640" w:firstLineChars="200"/>
        <w:textAlignment w:val="auto"/>
        <w:rPr>
          <w:rFonts w:hint="default"/>
          <w:lang w:val="en-US" w:eastAsia="zh-CN"/>
        </w:rPr>
      </w:pPr>
      <w:r>
        <w:rPr>
          <w:rFonts w:hint="eastAsia"/>
          <w:lang w:val="en-US" w:eastAsia="zh-CN"/>
        </w:rPr>
        <w:t>2026年是“十五五”开局之年，我局将坚持以习近平新时代中国特色社会主义思想为指导，深入贯彻习近平生态文明思想，全面落实党的二十大和二十届历次全会精神，认真落实自治区党委和市委关于生态环境保护工作决策部署，锚定自治区党委“1571”工</w:t>
      </w:r>
      <w:bookmarkStart w:id="0" w:name="_GoBack"/>
      <w:bookmarkEnd w:id="0"/>
      <w:r>
        <w:rPr>
          <w:rFonts w:hint="eastAsia"/>
          <w:lang w:val="en-US" w:eastAsia="zh-CN"/>
        </w:rPr>
        <w:t>作部署，努力实现“十五五”生态环境保护良好开局。</w:t>
      </w: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C6F3B"/>
    <w:rsid w:val="0D8452E4"/>
    <w:rsid w:val="134967AC"/>
    <w:rsid w:val="409B57F5"/>
    <w:rsid w:val="52E02459"/>
    <w:rsid w:val="6C4B5B80"/>
    <w:rsid w:val="7E6E4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jc w:val="both"/>
    </w:pPr>
    <w:rPr>
      <w:rFonts w:ascii="仿宋_GB2312" w:hAnsi="仿宋_GB2312" w:eastAsia="仿宋_GB2312" w:cstheme="minorBidi"/>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1]正文"/>
    <w:basedOn w:val="1"/>
    <w:qFormat/>
    <w:uiPriority w:val="0"/>
    <w:pPr>
      <w:widowControl/>
      <w:snapToGrid w:val="0"/>
      <w:spacing w:line="360" w:lineRule="auto"/>
      <w:ind w:firstLine="200" w:firstLineChars="200"/>
      <w:jc w:val="left"/>
    </w:pPr>
    <w:rPr>
      <w:kern w:val="0"/>
      <w:sz w:val="24"/>
      <w:szCs w:val="28"/>
    </w:rPr>
  </w:style>
  <w:style w:type="paragraph" w:styleId="3">
    <w:name w:val="Body Text"/>
    <w:basedOn w:val="1"/>
    <w:qFormat/>
    <w:uiPriority w:val="0"/>
    <w:pPr>
      <w:spacing w:after="120" w:afterLines="0" w:afterAutospacing="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1864</Words>
  <Characters>1968</Characters>
  <Lines>0</Lines>
  <Paragraphs>0</Paragraphs>
  <TotalTime>6</TotalTime>
  <ScaleCrop>false</ScaleCrop>
  <LinksUpToDate>false</LinksUpToDate>
  <CharactersWithSpaces>1968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2024-04-28T00:56:00Z</dcterms:created>
  <dc:creator>admi</dc:creator>
  <cp:lastModifiedBy>白日焰火</cp:lastModifiedBy>
  <cp:lastPrinted>2026-01-30T02:09:00Z</cp:lastPrinted>
  <dcterms:modified xsi:type="dcterms:W3CDTF">2026-02-04T02:19:55Z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57D6AB7717AB406CBDAD1EE061AD545E_12</vt:lpwstr>
  </property>
  <property fmtid="{D5CDD505-2E9C-101B-9397-08002B2CF9AE}" pid="4" name="KSOTemplateDocerSaveRecord">
    <vt:lpwstr>eyJoZGlkIjoiYWMyMjliZWI2MTQ5OTUzM2RjZTU5ZDc0YTgwMzRlMGMiLCJ1c2VySWQiOiI1NDI5MzQxMjQifQ==</vt:lpwstr>
  </property>
</Properties>
</file>