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0A4B2">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44"/>
          <w:szCs w:val="44"/>
          <w:highlight w:val="none"/>
        </w:rPr>
      </w:pPr>
    </w:p>
    <w:p w14:paraId="56EFD88D">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72"/>
          <w:szCs w:val="72"/>
          <w:highlight w:val="none"/>
        </w:rPr>
      </w:pPr>
    </w:p>
    <w:p w14:paraId="329E802E">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260"/>
          <w:szCs w:val="52"/>
          <w:highlight w:val="none"/>
        </w:rPr>
      </w:pPr>
      <w:r>
        <w:rPr>
          <w:rFonts w:hint="eastAsia" w:ascii="宋体" w:hAnsi="宋体" w:eastAsia="宋体" w:cs="宋体"/>
          <w:b/>
          <w:color w:val="auto"/>
          <w:spacing w:val="0"/>
          <w:sz w:val="72"/>
          <w:szCs w:val="72"/>
          <w:highlight w:val="none"/>
        </w:rPr>
        <w:t>竞争性磋商文件</w:t>
      </w:r>
    </w:p>
    <w:p w14:paraId="2BA2838D">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36"/>
          <w:highlight w:val="none"/>
        </w:rPr>
      </w:pPr>
    </w:p>
    <w:p w14:paraId="1DE606D1">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17"/>
          <w:sz w:val="52"/>
          <w:szCs w:val="52"/>
          <w:highlight w:val="none"/>
          <w:lang w:eastAsia="zh-CN"/>
        </w:rPr>
      </w:pPr>
      <w:r>
        <w:rPr>
          <w:rFonts w:hint="eastAsia" w:ascii="宋体" w:hAnsi="宋体" w:eastAsia="宋体" w:cs="宋体"/>
          <w:b/>
          <w:color w:val="auto"/>
          <w:spacing w:val="-17"/>
          <w:sz w:val="52"/>
          <w:szCs w:val="52"/>
          <w:highlight w:val="none"/>
          <w:lang w:val="en-US" w:eastAsia="zh-CN"/>
        </w:rPr>
        <w:t>项目名称</w:t>
      </w:r>
      <w:r>
        <w:rPr>
          <w:rFonts w:hint="eastAsia" w:ascii="宋体" w:hAnsi="宋体" w:eastAsia="宋体" w:cs="宋体"/>
          <w:b/>
          <w:color w:val="auto"/>
          <w:spacing w:val="-17"/>
          <w:sz w:val="52"/>
          <w:szCs w:val="52"/>
          <w:highlight w:val="none"/>
        </w:rPr>
        <w:t>：</w:t>
      </w:r>
      <w:r>
        <w:rPr>
          <w:rFonts w:hint="eastAsia" w:ascii="宋体" w:hAnsi="宋体" w:eastAsia="宋体" w:cs="宋体"/>
          <w:b/>
          <w:color w:val="auto"/>
          <w:spacing w:val="-17"/>
          <w:sz w:val="52"/>
          <w:szCs w:val="52"/>
          <w:highlight w:val="none"/>
          <w:lang w:eastAsia="zh-CN"/>
        </w:rPr>
        <w:t>赤峰市生态环境局元宝山区分局非现场执法监控设备安装工程及维护项目</w:t>
      </w:r>
    </w:p>
    <w:p w14:paraId="20C6E3A5">
      <w:pPr>
        <w:keepNext w:val="0"/>
        <w:keepLines w:val="0"/>
        <w:pageBreakBefore w:val="0"/>
        <w:widowControl w:val="0"/>
        <w:kinsoku/>
        <w:wordWrap/>
        <w:overflowPunct/>
        <w:topLinePunct w:val="0"/>
        <w:autoSpaceDE w:val="0"/>
        <w:autoSpaceDN w:val="0"/>
        <w:bidi w:val="0"/>
        <w:snapToGrid w:val="0"/>
        <w:spacing w:line="360" w:lineRule="auto"/>
        <w:ind w:left="0" w:leftChars="0" w:right="0" w:firstLine="0"/>
        <w:jc w:val="center"/>
        <w:textAlignment w:val="auto"/>
        <w:rPr>
          <w:rFonts w:hint="eastAsia" w:ascii="宋体" w:hAnsi="宋体" w:eastAsia="宋体" w:cs="宋体"/>
          <w:b/>
          <w:color w:val="auto"/>
          <w:spacing w:val="0"/>
          <w:sz w:val="52"/>
          <w:szCs w:val="52"/>
          <w:highlight w:val="none"/>
          <w:lang w:val="en-US" w:eastAsia="zh-CN"/>
        </w:rPr>
      </w:pPr>
      <w:r>
        <w:rPr>
          <w:rFonts w:hint="eastAsia" w:ascii="宋体" w:hAnsi="宋体" w:eastAsia="宋体" w:cs="宋体"/>
          <w:b/>
          <w:color w:val="auto"/>
          <w:spacing w:val="0"/>
          <w:sz w:val="52"/>
          <w:szCs w:val="52"/>
          <w:highlight w:val="none"/>
          <w:lang w:val="en-US" w:eastAsia="zh-CN"/>
        </w:rPr>
        <w:t>项目</w:t>
      </w:r>
      <w:r>
        <w:rPr>
          <w:rFonts w:hint="eastAsia" w:ascii="宋体" w:hAnsi="宋体" w:eastAsia="宋体" w:cs="宋体"/>
          <w:b/>
          <w:color w:val="auto"/>
          <w:spacing w:val="0"/>
          <w:sz w:val="52"/>
          <w:szCs w:val="52"/>
          <w:highlight w:val="none"/>
        </w:rPr>
        <w:t>编号</w:t>
      </w:r>
      <w:r>
        <w:rPr>
          <w:rFonts w:hint="eastAsia" w:ascii="宋体" w:hAnsi="宋体" w:eastAsia="宋体" w:cs="宋体"/>
          <w:b/>
          <w:color w:val="auto"/>
          <w:spacing w:val="0"/>
          <w:sz w:val="52"/>
          <w:szCs w:val="52"/>
          <w:highlight w:val="none"/>
          <w:lang w:eastAsia="zh-CN"/>
        </w:rPr>
        <w:t>：TLHDL2025-016</w:t>
      </w:r>
    </w:p>
    <w:p w14:paraId="691C49CB">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14:paraId="07EC5C89">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14:paraId="7A0CE9AE">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14:paraId="7BB53C4A">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textAlignment w:val="auto"/>
        <w:rPr>
          <w:rFonts w:hint="eastAsia" w:ascii="宋体" w:hAnsi="宋体" w:eastAsia="宋体" w:cs="宋体"/>
          <w:b/>
          <w:color w:val="auto"/>
          <w:spacing w:val="0"/>
          <w:sz w:val="36"/>
          <w:highlight w:val="none"/>
        </w:rPr>
      </w:pPr>
    </w:p>
    <w:p w14:paraId="5070D66A">
      <w:pPr>
        <w:pStyle w:val="3"/>
        <w:keepNext w:val="0"/>
        <w:keepLines w:val="0"/>
        <w:pageBreakBefore w:val="0"/>
        <w:widowControl w:val="0"/>
        <w:kinsoku/>
        <w:wordWrap/>
        <w:overflowPunct/>
        <w:topLinePunct w:val="0"/>
        <w:autoSpaceDE w:val="0"/>
        <w:autoSpaceDN w:val="0"/>
        <w:bidi w:val="0"/>
        <w:snapToGrid w:val="0"/>
        <w:spacing w:line="360" w:lineRule="auto"/>
        <w:ind w:left="0" w:leftChars="0" w:right="0"/>
        <w:jc w:val="distribute"/>
        <w:textAlignment w:val="auto"/>
        <w:rPr>
          <w:rFonts w:hint="eastAsia" w:ascii="宋体" w:hAnsi="宋体" w:eastAsia="宋体" w:cs="宋体"/>
          <w:b/>
          <w:color w:val="auto"/>
          <w:spacing w:val="0"/>
          <w:sz w:val="36"/>
          <w:highlight w:val="none"/>
        </w:rPr>
      </w:pPr>
    </w:p>
    <w:p w14:paraId="3B979A17">
      <w:pPr>
        <w:keepNext w:val="0"/>
        <w:keepLines w:val="0"/>
        <w:pageBreakBefore w:val="0"/>
        <w:widowControl w:val="0"/>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40"/>
          <w:szCs w:val="40"/>
          <w:highlight w:val="none"/>
          <w:u w:val="single"/>
          <w:lang w:val="en-US" w:eastAsia="zh-CN" w:bidi="ar-SA"/>
        </w:rPr>
      </w:pPr>
      <w:r>
        <w:rPr>
          <w:rFonts w:hint="eastAsia" w:ascii="宋体" w:hAnsi="宋体" w:eastAsia="宋体" w:cs="宋体"/>
          <w:b/>
          <w:color w:val="auto"/>
          <w:spacing w:val="0"/>
          <w:sz w:val="40"/>
          <w:szCs w:val="40"/>
          <w:highlight w:val="none"/>
          <w:u w:val="none"/>
        </w:rPr>
        <w:t>采购</w:t>
      </w:r>
      <w:r>
        <w:rPr>
          <w:rFonts w:hint="eastAsia" w:ascii="宋体" w:hAnsi="宋体" w:eastAsia="宋体" w:cs="宋体"/>
          <w:b/>
          <w:color w:val="auto"/>
          <w:spacing w:val="0"/>
          <w:sz w:val="40"/>
          <w:szCs w:val="40"/>
          <w:highlight w:val="none"/>
          <w:u w:val="none"/>
          <w:lang w:val="en-US" w:eastAsia="zh-CN"/>
        </w:rPr>
        <w:t>人</w:t>
      </w:r>
      <w:r>
        <w:rPr>
          <w:rFonts w:hint="eastAsia" w:ascii="宋体" w:hAnsi="宋体" w:eastAsia="宋体" w:cs="宋体"/>
          <w:b/>
          <w:color w:val="auto"/>
          <w:spacing w:val="0"/>
          <w:sz w:val="40"/>
          <w:szCs w:val="40"/>
          <w:highlight w:val="none"/>
          <w:u w:val="none"/>
        </w:rPr>
        <w:t>：</w:t>
      </w:r>
      <w:r>
        <w:rPr>
          <w:rFonts w:hint="eastAsia" w:ascii="宋体" w:hAnsi="宋体" w:eastAsia="宋体" w:cs="宋体"/>
          <w:b/>
          <w:color w:val="auto"/>
          <w:spacing w:val="0"/>
          <w:sz w:val="40"/>
          <w:szCs w:val="40"/>
          <w:highlight w:val="none"/>
          <w:u w:val="single"/>
          <w:lang w:eastAsia="zh-CN"/>
        </w:rPr>
        <w:t>赤峰市生态环境局元宝山区分局</w:t>
      </w:r>
    </w:p>
    <w:p w14:paraId="39B40238">
      <w:pPr>
        <w:pStyle w:val="28"/>
        <w:keepNext w:val="0"/>
        <w:keepLines w:val="0"/>
        <w:pageBreakBefore w:val="0"/>
        <w:widowControl w:val="0"/>
        <w:kinsoku/>
        <w:wordWrap/>
        <w:overflowPunct/>
        <w:topLinePunct w:val="0"/>
        <w:autoSpaceDE w:val="0"/>
        <w:autoSpaceDN w:val="0"/>
        <w:bidi w:val="0"/>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40"/>
          <w:szCs w:val="40"/>
          <w:highlight w:val="none"/>
          <w:u w:val="single"/>
        </w:rPr>
      </w:pPr>
      <w:r>
        <w:rPr>
          <w:rFonts w:hint="eastAsia" w:ascii="宋体" w:hAnsi="宋体" w:eastAsia="宋体" w:cs="宋体"/>
          <w:b/>
          <w:color w:val="auto"/>
          <w:spacing w:val="0"/>
          <w:sz w:val="40"/>
          <w:szCs w:val="40"/>
          <w:highlight w:val="none"/>
          <w:u w:val="none"/>
          <w:lang w:val="en-US" w:eastAsia="zh-CN"/>
        </w:rPr>
        <w:t>代理机构：</w:t>
      </w:r>
      <w:r>
        <w:rPr>
          <w:rFonts w:hint="eastAsia" w:cs="宋体"/>
          <w:b/>
          <w:color w:val="auto"/>
          <w:spacing w:val="0"/>
          <w:sz w:val="40"/>
          <w:szCs w:val="40"/>
          <w:highlight w:val="none"/>
          <w:u w:val="single"/>
          <w:lang w:val="en-US" w:eastAsia="zh-CN"/>
        </w:rPr>
        <w:t>赤峰天利和工程咨询有限公司</w:t>
      </w:r>
    </w:p>
    <w:p w14:paraId="6896CFCE">
      <w:pPr>
        <w:keepNext w:val="0"/>
        <w:keepLines w:val="0"/>
        <w:pageBreakBefore w:val="0"/>
        <w:widowControl w:val="0"/>
        <w:kinsoku/>
        <w:wordWrap/>
        <w:overflowPunct/>
        <w:topLinePunct w:val="0"/>
        <w:autoSpaceDE w:val="0"/>
        <w:autoSpaceDN w:val="0"/>
        <w:bidi w:val="0"/>
        <w:snapToGrid w:val="0"/>
        <w:spacing w:line="360" w:lineRule="auto"/>
        <w:ind w:left="0" w:leftChars="0" w:right="0" w:firstLine="3012" w:firstLineChars="1000"/>
        <w:jc w:val="left"/>
        <w:textAlignment w:val="auto"/>
        <w:rPr>
          <w:rFonts w:hint="eastAsia" w:ascii="宋体" w:hAnsi="宋体" w:eastAsia="宋体" w:cs="宋体"/>
          <w:b/>
          <w:color w:val="auto"/>
          <w:spacing w:val="0"/>
          <w:sz w:val="30"/>
          <w:szCs w:val="30"/>
          <w:highlight w:val="none"/>
        </w:rPr>
      </w:pPr>
    </w:p>
    <w:p w14:paraId="2D78AB5D">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color w:val="auto"/>
          <w:spacing w:val="0"/>
          <w:sz w:val="36"/>
          <w:szCs w:val="36"/>
          <w:highlight w:val="none"/>
        </w:rPr>
      </w:pPr>
      <w:r>
        <w:rPr>
          <w:rFonts w:hint="eastAsia" w:ascii="宋体" w:hAnsi="宋体" w:eastAsia="宋体" w:cs="宋体"/>
          <w:b/>
          <w:color w:val="auto"/>
          <w:spacing w:val="0"/>
          <w:sz w:val="36"/>
          <w:szCs w:val="36"/>
          <w:highlight w:val="none"/>
        </w:rPr>
        <w:t>编制日期：</w:t>
      </w:r>
      <w:r>
        <w:rPr>
          <w:rFonts w:hint="eastAsia" w:ascii="宋体" w:hAnsi="宋体" w:eastAsia="宋体" w:cs="宋体"/>
          <w:b/>
          <w:color w:val="auto"/>
          <w:spacing w:val="0"/>
          <w:sz w:val="36"/>
          <w:szCs w:val="36"/>
          <w:highlight w:val="none"/>
          <w:lang w:val="en-US" w:eastAsia="zh-CN"/>
        </w:rPr>
        <w:t>2025年05月</w:t>
      </w:r>
    </w:p>
    <w:p w14:paraId="59EA018E">
      <w:pPr>
        <w:rPr>
          <w:rFonts w:hint="eastAsia" w:ascii="宋体" w:hAnsi="宋体" w:eastAsia="宋体" w:cs="宋体"/>
          <w:color w:val="auto"/>
          <w:spacing w:val="0"/>
          <w:sz w:val="30"/>
          <w:szCs w:val="30"/>
          <w:highlight w:val="none"/>
        </w:rPr>
      </w:pPr>
      <w:r>
        <w:rPr>
          <w:rFonts w:hint="eastAsia" w:ascii="宋体" w:hAnsi="宋体" w:eastAsia="宋体" w:cs="宋体"/>
          <w:color w:val="auto"/>
          <w:spacing w:val="0"/>
          <w:sz w:val="30"/>
          <w:szCs w:val="30"/>
          <w:highlight w:val="none"/>
        </w:rPr>
        <w:br w:type="page"/>
      </w:r>
    </w:p>
    <w:p w14:paraId="3F50043C">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firstLine="0"/>
        <w:jc w:val="center"/>
        <w:textAlignment w:val="auto"/>
        <w:outlineLvl w:val="9"/>
        <w:rPr>
          <w:rFonts w:hint="eastAsia" w:ascii="宋体" w:hAnsi="宋体" w:eastAsia="宋体" w:cs="宋体"/>
          <w:b/>
          <w:color w:val="auto"/>
          <w:spacing w:val="0"/>
          <w:sz w:val="32"/>
          <w:szCs w:val="32"/>
          <w:highlight w:val="none"/>
          <w:lang w:val="en-US" w:eastAsia="zh-CN"/>
        </w:rPr>
      </w:pPr>
      <w:r>
        <w:rPr>
          <w:rFonts w:hint="eastAsia" w:ascii="宋体" w:hAnsi="宋体" w:eastAsia="宋体" w:cs="宋体"/>
          <w:b/>
          <w:color w:val="auto"/>
          <w:spacing w:val="0"/>
          <w:sz w:val="36"/>
          <w:szCs w:val="36"/>
          <w:highlight w:val="none"/>
          <w:lang w:val="en-US" w:eastAsia="zh-CN"/>
        </w:rPr>
        <w:t>目 录</w:t>
      </w:r>
    </w:p>
    <w:p w14:paraId="19071B19">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b/>
          <w:color w:val="auto"/>
          <w:spacing w:val="0"/>
          <w:sz w:val="24"/>
          <w:szCs w:val="24"/>
          <w:highlight w:val="none"/>
          <w:lang w:val="en-US" w:eastAsia="zh-CN"/>
        </w:rPr>
        <w:fldChar w:fldCharType="begin"/>
      </w:r>
      <w:r>
        <w:rPr>
          <w:rFonts w:hint="eastAsia" w:ascii="宋体" w:hAnsi="宋体" w:eastAsia="宋体" w:cs="宋体"/>
          <w:b/>
          <w:color w:val="auto"/>
          <w:spacing w:val="0"/>
          <w:sz w:val="24"/>
          <w:szCs w:val="24"/>
          <w:highlight w:val="none"/>
          <w:lang w:val="en-US" w:eastAsia="zh-CN"/>
        </w:rPr>
        <w:instrText xml:space="preserve">TOC \o "1-1" \h \u </w:instrText>
      </w:r>
      <w:r>
        <w:rPr>
          <w:rFonts w:hint="eastAsia" w:ascii="宋体" w:hAnsi="宋体" w:eastAsia="宋体" w:cs="宋体"/>
          <w:b/>
          <w:color w:val="auto"/>
          <w:spacing w:val="0"/>
          <w:sz w:val="24"/>
          <w:szCs w:val="24"/>
          <w:highlight w:val="none"/>
          <w:lang w:val="en-US" w:eastAsia="zh-CN"/>
        </w:rPr>
        <w:fldChar w:fldCharType="separate"/>
      </w: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_Toc23530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_Toc23530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7D9E3E96">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_Toc20184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_Toc20184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0FCD2912">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_Toc21192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rPr>
        <w:t>第三章</w:t>
      </w:r>
      <w:r>
        <w:rPr>
          <w:rFonts w:hint="eastAsia" w:ascii="宋体" w:hAnsi="宋体" w:eastAsia="宋体" w:cs="宋体"/>
          <w:bCs/>
          <w:spacing w:val="20"/>
          <w:sz w:val="24"/>
          <w:szCs w:val="24"/>
          <w:lang w:val="en-US" w:eastAsia="zh-CN"/>
        </w:rPr>
        <w:t xml:space="preserve"> </w:t>
      </w:r>
      <w:r>
        <w:rPr>
          <w:rFonts w:hint="eastAsia" w:ascii="宋体" w:hAnsi="宋体" w:eastAsia="宋体" w:cs="宋体"/>
          <w:bCs/>
          <w:spacing w:val="20"/>
          <w:sz w:val="24"/>
          <w:szCs w:val="24"/>
        </w:rPr>
        <w:t>采购内容与技术要求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311BDAFE">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_Toc15036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第四章 供应商应当提交的资格、资信证明文件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_Toc15036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4A6309FB">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_Toc18888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第五章 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_Toc18888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54AC24C2">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_Toc8542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20"/>
          <w:sz w:val="24"/>
          <w:szCs w:val="24"/>
          <w:lang w:val="en-US" w:eastAsia="zh-CN"/>
        </w:rPr>
        <w:t>第六章 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_Toc8542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00F92618">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_Toc16416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0"/>
          <w:kern w:val="0"/>
          <w:sz w:val="24"/>
          <w:szCs w:val="24"/>
          <w:lang w:val="en-US" w:eastAsia="zh-CN" w:bidi="ar"/>
        </w:rPr>
        <w:t>第七章  竞争性磋商活动程序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_Toc16416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192AF8BD">
      <w:pPr>
        <w:pStyle w:val="15"/>
        <w:tabs>
          <w:tab w:val="right" w:leader="dot" w:pos="9076"/>
        </w:tabs>
        <w:spacing w:line="360" w:lineRule="auto"/>
        <w:rPr>
          <w:rFonts w:hint="eastAsia" w:ascii="宋体" w:hAnsi="宋体" w:eastAsia="宋体" w:cs="宋体"/>
          <w:sz w:val="24"/>
          <w:szCs w:val="24"/>
        </w:rPr>
      </w:pPr>
      <w:r>
        <w:rPr>
          <w:rFonts w:hint="eastAsia" w:ascii="宋体" w:hAnsi="宋体" w:eastAsia="宋体" w:cs="宋体"/>
          <w:color w:val="auto"/>
          <w:spacing w:val="0"/>
          <w:sz w:val="24"/>
          <w:szCs w:val="24"/>
          <w:highlight w:val="none"/>
          <w:lang w:val="en-US" w:eastAsia="zh-CN"/>
        </w:rPr>
        <w:fldChar w:fldCharType="begin"/>
      </w:r>
      <w:r>
        <w:rPr>
          <w:rFonts w:hint="eastAsia" w:ascii="宋体" w:hAnsi="宋体" w:eastAsia="宋体" w:cs="宋体"/>
          <w:spacing w:val="0"/>
          <w:sz w:val="24"/>
          <w:szCs w:val="24"/>
          <w:highlight w:val="none"/>
          <w:lang w:val="en-US" w:eastAsia="zh-CN"/>
        </w:rPr>
        <w:instrText xml:space="preserve"> HYPERLINK \l _Toc6205 </w:instrText>
      </w:r>
      <w:r>
        <w:rPr>
          <w:rFonts w:hint="eastAsia" w:ascii="宋体" w:hAnsi="宋体" w:eastAsia="宋体" w:cs="宋体"/>
          <w:spacing w:val="0"/>
          <w:sz w:val="24"/>
          <w:szCs w:val="24"/>
          <w:highlight w:val="none"/>
          <w:lang w:val="en-US" w:eastAsia="zh-CN"/>
        </w:rPr>
        <w:fldChar w:fldCharType="separate"/>
      </w:r>
      <w:r>
        <w:rPr>
          <w:rFonts w:hint="eastAsia" w:ascii="宋体" w:hAnsi="宋体" w:eastAsia="宋体" w:cs="宋体"/>
          <w:bCs/>
          <w:spacing w:val="0"/>
          <w:kern w:val="0"/>
          <w:sz w:val="24"/>
          <w:szCs w:val="24"/>
          <w:lang w:val="en-US" w:eastAsia="zh-CN" w:bidi="ar"/>
        </w:rPr>
        <w:t>第八章  响应文件格式与要求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_Toc6205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pacing w:val="0"/>
          <w:sz w:val="24"/>
          <w:szCs w:val="24"/>
          <w:highlight w:val="none"/>
          <w:lang w:val="en-US" w:eastAsia="zh-CN"/>
        </w:rPr>
        <w:fldChar w:fldCharType="end"/>
      </w:r>
    </w:p>
    <w:p w14:paraId="45FD7A1F">
      <w:pPr>
        <w:keepNext w:val="0"/>
        <w:keepLines w:val="0"/>
        <w:pageBreakBefore w:val="0"/>
        <w:widowControl w:val="0"/>
        <w:kinsoku/>
        <w:wordWrap/>
        <w:overflowPunct/>
        <w:topLinePunct w:val="0"/>
        <w:autoSpaceDE w:val="0"/>
        <w:autoSpaceDN w:val="0"/>
        <w:bidi w:val="0"/>
        <w:adjustRightInd/>
        <w:snapToGrid w:val="0"/>
        <w:spacing w:line="360" w:lineRule="auto"/>
        <w:ind w:left="0" w:leftChars="0" w:right="0" w:firstLine="0"/>
        <w:jc w:val="left"/>
        <w:textAlignment w:val="auto"/>
        <w:outlineLvl w:val="9"/>
        <w:rPr>
          <w:rFonts w:hint="eastAsia" w:ascii="宋体" w:hAnsi="宋体" w:eastAsia="宋体" w:cs="宋体"/>
          <w:b/>
          <w:color w:val="auto"/>
          <w:spacing w:val="0"/>
          <w:sz w:val="28"/>
          <w:szCs w:val="28"/>
          <w:highlight w:val="none"/>
          <w:lang w:val="en-US" w:eastAsia="zh-CN"/>
        </w:rPr>
      </w:pPr>
      <w:r>
        <w:rPr>
          <w:rFonts w:hint="eastAsia" w:ascii="宋体" w:hAnsi="宋体" w:eastAsia="宋体" w:cs="宋体"/>
          <w:color w:val="auto"/>
          <w:spacing w:val="0"/>
          <w:sz w:val="24"/>
          <w:szCs w:val="24"/>
          <w:highlight w:val="none"/>
          <w:lang w:val="en-US" w:eastAsia="zh-CN"/>
        </w:rPr>
        <w:fldChar w:fldCharType="end"/>
      </w:r>
    </w:p>
    <w:p w14:paraId="50DD36FE">
      <w:pPr>
        <w:pStyle w:val="16"/>
        <w:keepNext w:val="0"/>
        <w:keepLines w:val="0"/>
        <w:pageBreakBefore w:val="0"/>
        <w:wordWrap/>
        <w:topLinePunct w:val="0"/>
        <w:bidi w:val="0"/>
        <w:ind w:left="480" w:leftChars="0" w:right="0"/>
        <w:outlineLvl w:val="9"/>
        <w:rPr>
          <w:rFonts w:hint="eastAsia" w:ascii="宋体" w:hAnsi="宋体" w:eastAsia="宋体" w:cs="宋体"/>
          <w:color w:val="auto"/>
          <w:spacing w:val="0"/>
          <w:highlight w:val="none"/>
        </w:rPr>
        <w:sectPr>
          <w:footerReference r:id="rId3" w:type="default"/>
          <w:pgSz w:w="11910" w:h="16840"/>
          <w:pgMar w:top="1417" w:right="1417" w:bottom="1417" w:left="1417" w:header="0" w:footer="1200" w:gutter="0"/>
          <w:pgNumType w:start="1"/>
          <w:cols w:space="720" w:num="1"/>
        </w:sectPr>
      </w:pPr>
    </w:p>
    <w:p w14:paraId="2A200703">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rPr>
      </w:pPr>
      <w:bookmarkStart w:id="0" w:name="_Toc23530"/>
      <w:r>
        <w:rPr>
          <w:rFonts w:hint="eastAsia" w:ascii="宋体" w:hAnsi="宋体" w:eastAsia="宋体" w:cs="宋体"/>
          <w:b/>
          <w:bCs/>
          <w:spacing w:val="20"/>
          <w:sz w:val="31"/>
          <w:szCs w:val="31"/>
          <w:lang w:val="en-US" w:eastAsia="zh-CN"/>
        </w:rPr>
        <w:t xml:space="preserve">第一章 </w:t>
      </w:r>
      <w:bookmarkStart w:id="1" w:name="OLE_LINK1"/>
      <w:r>
        <w:rPr>
          <w:rFonts w:hint="eastAsia" w:ascii="宋体" w:hAnsi="宋体" w:eastAsia="宋体" w:cs="宋体"/>
          <w:b/>
          <w:bCs/>
          <w:spacing w:val="20"/>
          <w:sz w:val="31"/>
          <w:szCs w:val="31"/>
          <w:lang w:val="en-US" w:eastAsia="zh-CN"/>
        </w:rPr>
        <w:t>竞争性磋商公告</w:t>
      </w:r>
      <w:bookmarkEnd w:id="0"/>
    </w:p>
    <w:p w14:paraId="424D80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both"/>
        <w:textAlignment w:val="auto"/>
        <w:outlineLvl w:val="9"/>
        <w:rPr>
          <w:rStyle w:val="23"/>
          <w:rFonts w:hint="eastAsia" w:ascii="宋体" w:hAnsi="宋体" w:eastAsia="宋体" w:cs="宋体"/>
          <w:b w:val="0"/>
          <w:bCs w:val="0"/>
          <w:i w:val="0"/>
          <w:iCs w:val="0"/>
          <w:caps w:val="0"/>
          <w:color w:val="auto"/>
          <w:spacing w:val="0"/>
          <w:sz w:val="24"/>
          <w:szCs w:val="24"/>
          <w:highlight w:val="none"/>
          <w:shd w:val="clear" w:fill="FFFFFF"/>
        </w:rPr>
      </w:pP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赤峰天利和工程咨询有限公司</w:t>
      </w:r>
      <w:r>
        <w:rPr>
          <w:rStyle w:val="23"/>
          <w:rFonts w:hint="eastAsia" w:ascii="宋体" w:hAnsi="宋体" w:eastAsia="宋体" w:cs="宋体"/>
          <w:b w:val="0"/>
          <w:bCs w:val="0"/>
          <w:i w:val="0"/>
          <w:iCs w:val="0"/>
          <w:caps w:val="0"/>
          <w:color w:val="auto"/>
          <w:spacing w:val="0"/>
          <w:sz w:val="24"/>
          <w:szCs w:val="24"/>
          <w:highlight w:val="none"/>
          <w:shd w:val="clear" w:fill="FFFFFF"/>
        </w:rPr>
        <w:t>受</w:t>
      </w: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赤峰市生态环境局元宝山区分局</w:t>
      </w:r>
      <w:r>
        <w:rPr>
          <w:rStyle w:val="23"/>
          <w:rFonts w:hint="eastAsia" w:ascii="宋体" w:hAnsi="宋体" w:eastAsia="宋体" w:cs="宋体"/>
          <w:b w:val="0"/>
          <w:bCs w:val="0"/>
          <w:i w:val="0"/>
          <w:iCs w:val="0"/>
          <w:caps w:val="0"/>
          <w:color w:val="auto"/>
          <w:spacing w:val="0"/>
          <w:sz w:val="24"/>
          <w:szCs w:val="24"/>
          <w:highlight w:val="none"/>
          <w:shd w:val="clear" w:fill="FFFFFF"/>
        </w:rPr>
        <w:t>委托，采用竞争性磋商方式组织采购</w:t>
      </w:r>
      <w:r>
        <w:rPr>
          <w:rStyle w:val="23"/>
          <w:rFonts w:hint="eastAsia" w:ascii="宋体" w:hAnsi="宋体" w:eastAsia="宋体" w:cs="宋体"/>
          <w:b w:val="0"/>
          <w:bCs w:val="0"/>
          <w:i w:val="0"/>
          <w:iCs w:val="0"/>
          <w:caps w:val="0"/>
          <w:color w:val="auto"/>
          <w:spacing w:val="0"/>
          <w:sz w:val="24"/>
          <w:szCs w:val="24"/>
          <w:highlight w:val="none"/>
          <w:shd w:val="clear" w:fill="FFFFFF"/>
          <w:lang w:eastAsia="zh-CN"/>
        </w:rPr>
        <w:t>赤峰市生态环境局元宝山区分局非现场执法监控设备安装工程及维护项目</w:t>
      </w:r>
      <w:r>
        <w:rPr>
          <w:rStyle w:val="23"/>
          <w:rFonts w:hint="eastAsia" w:ascii="宋体" w:hAnsi="宋体" w:eastAsia="宋体" w:cs="宋体"/>
          <w:b w:val="0"/>
          <w:bCs w:val="0"/>
          <w:i w:val="0"/>
          <w:iCs w:val="0"/>
          <w:caps w:val="0"/>
          <w:color w:val="auto"/>
          <w:spacing w:val="0"/>
          <w:sz w:val="24"/>
          <w:szCs w:val="24"/>
          <w:highlight w:val="none"/>
          <w:shd w:val="clear" w:fill="FFFFFF"/>
        </w:rPr>
        <w:t>。欢迎符合资格条件的供应商前来参加。</w:t>
      </w:r>
    </w:p>
    <w:p w14:paraId="271B6B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一、项目基本情况</w:t>
      </w:r>
    </w:p>
    <w:p w14:paraId="5501254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shd w:val="clear" w:fill="FFFFFF"/>
        </w:rPr>
        <w:t>项目编号：</w:t>
      </w:r>
      <w:r>
        <w:rPr>
          <w:rFonts w:hint="eastAsia" w:ascii="宋体" w:hAnsi="宋体" w:eastAsia="宋体" w:cs="宋体"/>
          <w:i w:val="0"/>
          <w:iCs w:val="0"/>
          <w:caps w:val="0"/>
          <w:color w:val="auto"/>
          <w:spacing w:val="0"/>
          <w:sz w:val="24"/>
          <w:szCs w:val="24"/>
          <w:highlight w:val="none"/>
          <w:u w:val="none"/>
          <w:shd w:val="clear" w:fill="FFFFFF"/>
          <w:lang w:val="en-US" w:eastAsia="zh-CN"/>
        </w:rPr>
        <w:t>TLHDL2025-016</w:t>
      </w:r>
    </w:p>
    <w:p w14:paraId="44C369A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rPr>
        <w:t>项目名称：</w:t>
      </w: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赤峰市生态环境局元宝山区分局非现场执法监控设备安装工程及维护项目</w:t>
      </w:r>
    </w:p>
    <w:p w14:paraId="7F0725F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548"/>
        <w:gridCol w:w="1124"/>
        <w:gridCol w:w="1993"/>
        <w:gridCol w:w="1900"/>
      </w:tblGrid>
      <w:tr w14:paraId="1E77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Align w:val="center"/>
          </w:tcPr>
          <w:p w14:paraId="76D06D9B">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lang w:val="en-US" w:eastAsia="zh-CN"/>
              </w:rPr>
              <w:t>包</w:t>
            </w:r>
            <w:r>
              <w:rPr>
                <w:rFonts w:hint="eastAsia" w:ascii="宋体" w:hAnsi="宋体" w:eastAsia="宋体" w:cs="宋体"/>
                <w:b/>
                <w:bCs/>
                <w:i w:val="0"/>
                <w:iCs w:val="0"/>
                <w:caps w:val="0"/>
                <w:color w:val="auto"/>
                <w:spacing w:val="0"/>
                <w:sz w:val="24"/>
                <w:szCs w:val="24"/>
                <w:highlight w:val="none"/>
                <w:shd w:val="clear" w:fill="FFFFFF"/>
              </w:rPr>
              <w:t>号</w:t>
            </w:r>
          </w:p>
        </w:tc>
        <w:tc>
          <w:tcPr>
            <w:tcW w:w="1910" w:type="pct"/>
            <w:vAlign w:val="center"/>
          </w:tcPr>
          <w:p w14:paraId="33DE05CE">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项目名称</w:t>
            </w:r>
          </w:p>
        </w:tc>
        <w:tc>
          <w:tcPr>
            <w:tcW w:w="605" w:type="pct"/>
            <w:vAlign w:val="center"/>
          </w:tcPr>
          <w:p w14:paraId="1B3DC1A6">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数量</w:t>
            </w:r>
          </w:p>
          <w:p w14:paraId="4E9866D3">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rPr>
              <w:t>（单位）</w:t>
            </w:r>
          </w:p>
        </w:tc>
        <w:tc>
          <w:tcPr>
            <w:tcW w:w="1073" w:type="pct"/>
            <w:vAlign w:val="center"/>
          </w:tcPr>
          <w:p w14:paraId="76566300">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b/>
                <w:bCs/>
                <w:i w:val="0"/>
                <w:iCs w:val="0"/>
                <w:caps w:val="0"/>
                <w:color w:val="auto"/>
                <w:spacing w:val="0"/>
                <w:sz w:val="24"/>
                <w:szCs w:val="24"/>
                <w:highlight w:val="none"/>
                <w:shd w:val="clear" w:fill="FFFFFF"/>
              </w:rPr>
              <w:t>技术规格、参数及要求</w:t>
            </w:r>
          </w:p>
        </w:tc>
        <w:tc>
          <w:tcPr>
            <w:tcW w:w="1023" w:type="pct"/>
            <w:vAlign w:val="center"/>
          </w:tcPr>
          <w:p w14:paraId="43A0A1E3">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预算金额</w:t>
            </w:r>
            <w:r>
              <w:rPr>
                <w:rFonts w:hint="eastAsia" w:ascii="宋体" w:hAnsi="宋体" w:eastAsia="宋体" w:cs="宋体"/>
                <w:b/>
                <w:bCs/>
                <w:i w:val="0"/>
                <w:iCs w:val="0"/>
                <w:caps w:val="0"/>
                <w:color w:val="auto"/>
                <w:spacing w:val="0"/>
                <w:sz w:val="24"/>
                <w:szCs w:val="24"/>
                <w:highlight w:val="none"/>
                <w:shd w:val="clear" w:fill="FFFFFF"/>
                <w:lang w:eastAsia="zh-CN"/>
              </w:rPr>
              <w:t>（</w:t>
            </w:r>
            <w:r>
              <w:rPr>
                <w:rFonts w:hint="eastAsia" w:ascii="宋体" w:hAnsi="宋体" w:eastAsia="宋体" w:cs="宋体"/>
                <w:b/>
                <w:bCs/>
                <w:i w:val="0"/>
                <w:iCs w:val="0"/>
                <w:caps w:val="0"/>
                <w:color w:val="auto"/>
                <w:spacing w:val="0"/>
                <w:sz w:val="24"/>
                <w:szCs w:val="24"/>
                <w:highlight w:val="none"/>
                <w:shd w:val="clear" w:fill="FFFFFF"/>
              </w:rPr>
              <w:t>元</w:t>
            </w:r>
            <w:r>
              <w:rPr>
                <w:rFonts w:hint="eastAsia" w:ascii="宋体" w:hAnsi="宋体" w:eastAsia="宋体" w:cs="宋体"/>
                <w:b/>
                <w:bCs/>
                <w:i w:val="0"/>
                <w:iCs w:val="0"/>
                <w:caps w:val="0"/>
                <w:color w:val="auto"/>
                <w:spacing w:val="0"/>
                <w:sz w:val="24"/>
                <w:szCs w:val="24"/>
                <w:highlight w:val="none"/>
                <w:shd w:val="clear" w:fill="FFFFFF"/>
                <w:lang w:eastAsia="zh-CN"/>
              </w:rPr>
              <w:t>）</w:t>
            </w:r>
          </w:p>
        </w:tc>
      </w:tr>
      <w:tr w14:paraId="16A5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386" w:type="pct"/>
            <w:vAlign w:val="center"/>
          </w:tcPr>
          <w:p w14:paraId="3214AAD4">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包1</w:t>
            </w:r>
          </w:p>
        </w:tc>
        <w:tc>
          <w:tcPr>
            <w:tcW w:w="1910" w:type="pct"/>
            <w:vAlign w:val="center"/>
          </w:tcPr>
          <w:p w14:paraId="1E7FEA82">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赤峰市生态环境局元宝山区分局非现场执法监控设备安装工程及维护项目</w:t>
            </w:r>
          </w:p>
        </w:tc>
        <w:tc>
          <w:tcPr>
            <w:tcW w:w="605" w:type="pct"/>
            <w:vAlign w:val="center"/>
          </w:tcPr>
          <w:p w14:paraId="03648A77">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1（项）</w:t>
            </w:r>
          </w:p>
        </w:tc>
        <w:tc>
          <w:tcPr>
            <w:tcW w:w="1073" w:type="pct"/>
            <w:vAlign w:val="center"/>
          </w:tcPr>
          <w:p w14:paraId="7A80A4FC">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详见</w:t>
            </w:r>
          </w:p>
          <w:p w14:paraId="21212D89">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磋商文件</w:t>
            </w:r>
          </w:p>
        </w:tc>
        <w:tc>
          <w:tcPr>
            <w:tcW w:w="1023" w:type="pct"/>
            <w:vAlign w:val="center"/>
          </w:tcPr>
          <w:p w14:paraId="7B0E7E1F">
            <w:pPr>
              <w:pStyle w:val="17"/>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480" w:lineRule="atLeast"/>
              <w:ind w:left="0" w:leftChars="0" w:right="0"/>
              <w:jc w:val="center"/>
              <w:textAlignment w:val="auto"/>
              <w:outlineLvl w:val="9"/>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val="0"/>
                <w:bCs w:val="0"/>
                <w:sz w:val="24"/>
                <w:szCs w:val="24"/>
                <w:lang w:val="en-US" w:eastAsia="zh-CN"/>
              </w:rPr>
              <w:t>388060.00</w:t>
            </w:r>
          </w:p>
        </w:tc>
      </w:tr>
    </w:tbl>
    <w:p w14:paraId="170E85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eastAsia="zh-CN"/>
        </w:rPr>
      </w:pPr>
      <w:r>
        <w:rPr>
          <w:rStyle w:val="23"/>
          <w:rFonts w:hint="eastAsia" w:ascii="宋体" w:hAnsi="宋体" w:eastAsia="宋体" w:cs="宋体"/>
          <w:b/>
          <w:bCs/>
          <w:i w:val="0"/>
          <w:iCs w:val="0"/>
          <w:caps w:val="0"/>
          <w:color w:val="auto"/>
          <w:spacing w:val="0"/>
          <w:sz w:val="24"/>
          <w:szCs w:val="24"/>
          <w:highlight w:val="none"/>
          <w:shd w:val="clear" w:fill="FFFFFF"/>
        </w:rPr>
        <w:t>二、</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供应商</w:t>
      </w:r>
      <w:r>
        <w:rPr>
          <w:rStyle w:val="23"/>
          <w:rFonts w:hint="eastAsia" w:ascii="宋体" w:hAnsi="宋体" w:eastAsia="宋体" w:cs="宋体"/>
          <w:b/>
          <w:bCs/>
          <w:i w:val="0"/>
          <w:iCs w:val="0"/>
          <w:caps w:val="0"/>
          <w:color w:val="auto"/>
          <w:spacing w:val="0"/>
          <w:sz w:val="24"/>
          <w:szCs w:val="24"/>
          <w:highlight w:val="none"/>
          <w:shd w:val="clear" w:fill="FFFFFF"/>
        </w:rPr>
        <w:t>的资格要求</w:t>
      </w:r>
    </w:p>
    <w:p w14:paraId="3705847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20CF863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（1）具有独立承担民事责任的能力；</w:t>
      </w:r>
    </w:p>
    <w:p w14:paraId="50ED0C29">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（2）具有良好的商业信誉和健全的财务会计制度；</w:t>
      </w:r>
    </w:p>
    <w:p w14:paraId="25080D2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（3）具有履行合同所必需的设备和专业技术能力；</w:t>
      </w:r>
    </w:p>
    <w:p w14:paraId="12AF7249">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（4）参加政府采购活动前三年内在经营活动中没有重大违法记录；</w:t>
      </w:r>
    </w:p>
    <w:p w14:paraId="22CEE5D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）法律、行政法规规定的其他条件。</w:t>
      </w:r>
    </w:p>
    <w:p w14:paraId="0A6776B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80" w:lineRule="atLeast"/>
        <w:ind w:left="0" w:right="0" w:firstLine="480"/>
        <w:jc w:val="both"/>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r>
        <w:rPr>
          <w:rFonts w:hint="eastAsia" w:ascii="宋体" w:hAnsi="宋体" w:eastAsia="宋体" w:cs="宋体"/>
          <w:i w:val="0"/>
          <w:iCs w:val="0"/>
          <w:caps w:val="0"/>
          <w:color w:val="auto"/>
          <w:spacing w:val="0"/>
          <w:sz w:val="24"/>
          <w:szCs w:val="24"/>
          <w:highlight w:val="none"/>
          <w:shd w:val="clear" w:fill="FFFFFF"/>
          <w:lang w:eastAsia="zh-CN"/>
        </w:rPr>
        <w:t>无</w:t>
      </w:r>
    </w:p>
    <w:p w14:paraId="49A14E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本项目的特定资格要求：</w:t>
      </w:r>
      <w:r>
        <w:rPr>
          <w:rFonts w:hint="eastAsia" w:ascii="宋体" w:hAnsi="宋体" w:eastAsia="宋体" w:cs="宋体"/>
          <w:i w:val="0"/>
          <w:iCs w:val="0"/>
          <w:caps w:val="0"/>
          <w:color w:val="auto"/>
          <w:spacing w:val="0"/>
          <w:sz w:val="24"/>
          <w:szCs w:val="24"/>
          <w:highlight w:val="none"/>
          <w:shd w:val="clear" w:fill="FFFFFF"/>
          <w:lang w:eastAsia="zh-CN"/>
        </w:rPr>
        <w:t>无</w:t>
      </w:r>
    </w:p>
    <w:p w14:paraId="244BEF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rPr>
        <w:t>三、获取</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磋商</w:t>
      </w:r>
      <w:r>
        <w:rPr>
          <w:rStyle w:val="23"/>
          <w:rFonts w:hint="eastAsia" w:ascii="宋体" w:hAnsi="宋体" w:eastAsia="宋体" w:cs="宋体"/>
          <w:b/>
          <w:bCs/>
          <w:i w:val="0"/>
          <w:iCs w:val="0"/>
          <w:caps w:val="0"/>
          <w:color w:val="auto"/>
          <w:spacing w:val="0"/>
          <w:sz w:val="24"/>
          <w:szCs w:val="24"/>
          <w:highlight w:val="none"/>
          <w:shd w:val="clear" w:fill="FFFFFF"/>
        </w:rPr>
        <w:t>文件</w:t>
      </w:r>
    </w:p>
    <w:p w14:paraId="7DFF7A4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2025</w:t>
      </w:r>
      <w:r>
        <w:rPr>
          <w:rFonts w:hint="eastAsia" w:ascii="宋体" w:hAnsi="宋体" w:eastAsia="宋体" w:cs="宋体"/>
          <w:i w:val="0"/>
          <w:iCs w:val="0"/>
          <w:caps w:val="0"/>
          <w:color w:val="auto"/>
          <w:spacing w:val="0"/>
          <w:sz w:val="24"/>
          <w:szCs w:val="24"/>
          <w:highlight w:val="none"/>
          <w:u w:val="none"/>
          <w:shd w:val="clear" w:fill="FFFFFF"/>
          <w:lang w:val="en-US" w:eastAsia="zh-CN"/>
        </w:rPr>
        <w:t>年</w:t>
      </w:r>
      <w:r>
        <w:rPr>
          <w:rFonts w:hint="eastAsia" w:ascii="宋体" w:hAnsi="宋体" w:eastAsia="宋体" w:cs="宋体"/>
          <w:i w:val="0"/>
          <w:iCs w:val="0"/>
          <w:caps w:val="0"/>
          <w:color w:val="auto"/>
          <w:spacing w:val="0"/>
          <w:sz w:val="24"/>
          <w:szCs w:val="24"/>
          <w:highlight w:val="none"/>
          <w:u w:val="single"/>
          <w:shd w:val="clear" w:fill="FFFFFF"/>
          <w:lang w:val="en-US" w:eastAsia="zh-CN"/>
        </w:rPr>
        <w:t>05</w:t>
      </w:r>
      <w:r>
        <w:rPr>
          <w:rFonts w:hint="eastAsia" w:ascii="宋体" w:hAnsi="宋体" w:eastAsia="宋体" w:cs="宋体"/>
          <w:i w:val="0"/>
          <w:iCs w:val="0"/>
          <w:caps w:val="0"/>
          <w:color w:val="auto"/>
          <w:spacing w:val="0"/>
          <w:sz w:val="24"/>
          <w:szCs w:val="24"/>
          <w:highlight w:val="none"/>
          <w:u w:val="none"/>
          <w:shd w:val="clear" w:fill="FFFFFF"/>
          <w:lang w:val="en-US" w:eastAsia="zh-CN"/>
        </w:rPr>
        <w:t>月</w:t>
      </w:r>
      <w:r>
        <w:rPr>
          <w:rFonts w:hint="eastAsia" w:ascii="宋体" w:hAnsi="宋体" w:eastAsia="宋体" w:cs="宋体"/>
          <w:i w:val="0"/>
          <w:iCs w:val="0"/>
          <w:caps w:val="0"/>
          <w:color w:val="auto"/>
          <w:spacing w:val="0"/>
          <w:sz w:val="24"/>
          <w:szCs w:val="24"/>
          <w:highlight w:val="none"/>
          <w:u w:val="single"/>
          <w:shd w:val="clear" w:fill="FFFFFF"/>
          <w:lang w:val="en-US" w:eastAsia="zh-CN"/>
        </w:rPr>
        <w:t>23</w:t>
      </w:r>
      <w:r>
        <w:rPr>
          <w:rFonts w:hint="eastAsia" w:ascii="宋体" w:hAnsi="宋体" w:eastAsia="宋体" w:cs="宋体"/>
          <w:i w:val="0"/>
          <w:iCs w:val="0"/>
          <w:caps w:val="0"/>
          <w:color w:val="auto"/>
          <w:spacing w:val="0"/>
          <w:sz w:val="24"/>
          <w:szCs w:val="24"/>
          <w:highlight w:val="none"/>
          <w:shd w:val="clear" w:fill="FFFFFF"/>
        </w:rPr>
        <w:t>日至</w:t>
      </w:r>
      <w:r>
        <w:rPr>
          <w:rFonts w:hint="eastAsia" w:ascii="宋体" w:hAnsi="宋体" w:eastAsia="宋体" w:cs="宋体"/>
          <w:i w:val="0"/>
          <w:iCs w:val="0"/>
          <w:caps w:val="0"/>
          <w:color w:val="auto"/>
          <w:spacing w:val="0"/>
          <w:sz w:val="24"/>
          <w:szCs w:val="24"/>
          <w:highlight w:val="none"/>
          <w:u w:val="single"/>
          <w:shd w:val="clear" w:fill="FFFFFF"/>
          <w:lang w:val="en-US" w:eastAsia="zh-CN"/>
        </w:rPr>
        <w:t>2025</w:t>
      </w:r>
      <w:r>
        <w:rPr>
          <w:rFonts w:hint="eastAsia" w:ascii="宋体" w:hAnsi="宋体" w:eastAsia="宋体" w:cs="宋体"/>
          <w:i w:val="0"/>
          <w:iCs w:val="0"/>
          <w:caps w:val="0"/>
          <w:color w:val="auto"/>
          <w:spacing w:val="0"/>
          <w:sz w:val="24"/>
          <w:szCs w:val="24"/>
          <w:highlight w:val="none"/>
          <w:u w:val="none"/>
          <w:shd w:val="clear" w:fill="FFFFFF"/>
          <w:lang w:val="en-US" w:eastAsia="zh-CN"/>
        </w:rPr>
        <w:t>年</w:t>
      </w:r>
      <w:r>
        <w:rPr>
          <w:rFonts w:hint="eastAsia" w:ascii="宋体" w:hAnsi="宋体" w:eastAsia="宋体" w:cs="宋体"/>
          <w:i w:val="0"/>
          <w:iCs w:val="0"/>
          <w:caps w:val="0"/>
          <w:color w:val="auto"/>
          <w:spacing w:val="0"/>
          <w:sz w:val="24"/>
          <w:szCs w:val="24"/>
          <w:highlight w:val="none"/>
          <w:u w:val="single"/>
          <w:shd w:val="clear" w:fill="FFFFFF"/>
          <w:lang w:val="en-US" w:eastAsia="zh-CN"/>
        </w:rPr>
        <w:t>05</w:t>
      </w:r>
      <w:r>
        <w:rPr>
          <w:rFonts w:hint="eastAsia" w:ascii="宋体" w:hAnsi="宋体" w:eastAsia="宋体" w:cs="宋体"/>
          <w:i w:val="0"/>
          <w:iCs w:val="0"/>
          <w:caps w:val="0"/>
          <w:color w:val="auto"/>
          <w:spacing w:val="0"/>
          <w:sz w:val="24"/>
          <w:szCs w:val="24"/>
          <w:highlight w:val="none"/>
          <w:u w:val="none"/>
          <w:shd w:val="clear" w:fill="FFFFFF"/>
          <w:lang w:val="en-US" w:eastAsia="zh-CN"/>
        </w:rPr>
        <w:t>月</w:t>
      </w:r>
      <w:r>
        <w:rPr>
          <w:rFonts w:hint="eastAsia" w:ascii="宋体" w:hAnsi="宋体" w:eastAsia="宋体" w:cs="宋体"/>
          <w:i w:val="0"/>
          <w:iCs w:val="0"/>
          <w:caps w:val="0"/>
          <w:color w:val="auto"/>
          <w:spacing w:val="0"/>
          <w:sz w:val="24"/>
          <w:szCs w:val="24"/>
          <w:highlight w:val="none"/>
          <w:u w:val="singl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日，每天上午</w:t>
      </w:r>
      <w:r>
        <w:rPr>
          <w:rFonts w:hint="eastAsia" w:ascii="宋体" w:hAnsi="宋体" w:eastAsia="宋体" w:cs="宋体"/>
          <w:i w:val="0"/>
          <w:iCs w:val="0"/>
          <w:caps w:val="0"/>
          <w:color w:val="auto"/>
          <w:spacing w:val="0"/>
          <w:sz w:val="24"/>
          <w:szCs w:val="24"/>
          <w:highlight w:val="none"/>
          <w:shd w:val="clear" w:fill="FFFFFF"/>
          <w:lang w:val="en-US" w:eastAsia="zh-CN"/>
        </w:rPr>
        <w:t>8:30</w:t>
      </w:r>
      <w:r>
        <w:rPr>
          <w:rFonts w:hint="eastAsia" w:ascii="宋体" w:hAnsi="宋体" w:eastAsia="宋体" w:cs="宋体"/>
          <w:i w:val="0"/>
          <w:iCs w:val="0"/>
          <w:caps w:val="0"/>
          <w:color w:val="auto"/>
          <w:spacing w:val="0"/>
          <w:sz w:val="24"/>
          <w:szCs w:val="24"/>
          <w:highlight w:val="none"/>
          <w:shd w:val="clear" w:fill="FFFFFF"/>
        </w:rPr>
        <w:t>至</w:t>
      </w:r>
      <w:r>
        <w:rPr>
          <w:rFonts w:hint="eastAsia" w:ascii="宋体" w:hAnsi="宋体" w:eastAsia="宋体" w:cs="宋体"/>
          <w:i w:val="0"/>
          <w:iCs w:val="0"/>
          <w:caps w:val="0"/>
          <w:color w:val="auto"/>
          <w:spacing w:val="0"/>
          <w:sz w:val="24"/>
          <w:szCs w:val="24"/>
          <w:highlight w:val="none"/>
          <w:shd w:val="clear" w:fill="FFFFFF"/>
          <w:lang w:val="en-US" w:eastAsia="zh-CN"/>
        </w:rPr>
        <w:t>12:00</w:t>
      </w:r>
      <w:r>
        <w:rPr>
          <w:rFonts w:hint="eastAsia" w:ascii="宋体" w:hAnsi="宋体" w:eastAsia="宋体" w:cs="宋体"/>
          <w:i w:val="0"/>
          <w:iCs w:val="0"/>
          <w:caps w:val="0"/>
          <w:color w:val="auto"/>
          <w:spacing w:val="0"/>
          <w:sz w:val="24"/>
          <w:szCs w:val="24"/>
          <w:highlight w:val="none"/>
          <w:shd w:val="clear" w:fill="FFFFFF"/>
        </w:rPr>
        <w:t>，下午</w:t>
      </w:r>
      <w:r>
        <w:rPr>
          <w:rFonts w:hint="eastAsia" w:ascii="宋体" w:hAnsi="宋体" w:eastAsia="宋体" w:cs="宋体"/>
          <w:i w:val="0"/>
          <w:iCs w:val="0"/>
          <w:caps w:val="0"/>
          <w:color w:val="auto"/>
          <w:spacing w:val="0"/>
          <w:sz w:val="24"/>
          <w:szCs w:val="24"/>
          <w:highlight w:val="none"/>
          <w:shd w:val="clear" w:fill="FFFFFF"/>
          <w:lang w:val="en-US" w:eastAsia="zh-CN"/>
        </w:rPr>
        <w:t>14:30</w:t>
      </w:r>
      <w:r>
        <w:rPr>
          <w:rFonts w:hint="eastAsia" w:ascii="宋体" w:hAnsi="宋体" w:eastAsia="宋体" w:cs="宋体"/>
          <w:i w:val="0"/>
          <w:iCs w:val="0"/>
          <w:caps w:val="0"/>
          <w:color w:val="auto"/>
          <w:spacing w:val="0"/>
          <w:sz w:val="24"/>
          <w:szCs w:val="24"/>
          <w:highlight w:val="none"/>
          <w:shd w:val="clear" w:fill="FFFFFF"/>
        </w:rPr>
        <w:t>至</w:t>
      </w:r>
      <w:r>
        <w:rPr>
          <w:rFonts w:hint="eastAsia" w:ascii="宋体" w:hAnsi="宋体" w:eastAsia="宋体" w:cs="宋体"/>
          <w:i w:val="0"/>
          <w:iCs w:val="0"/>
          <w:caps w:val="0"/>
          <w:color w:val="auto"/>
          <w:spacing w:val="0"/>
          <w:sz w:val="24"/>
          <w:szCs w:val="24"/>
          <w:highlight w:val="none"/>
          <w:shd w:val="clear" w:fill="FFFFFF"/>
          <w:lang w:val="en-US" w:eastAsia="zh-CN"/>
        </w:rPr>
        <w:t>17:30。</w:t>
      </w:r>
    </w:p>
    <w:p w14:paraId="6617DC4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获取方式：线上获取。供应商可在赤峰市生态环境局官网（http://sthjj.chifeng.gov.cn/）自行下载竞争性磋商文件。</w:t>
      </w:r>
    </w:p>
    <w:p w14:paraId="4895A05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供应商须在获取采购文件截止时间之前将传法定代表人身份证明（公告附件1）或授权委托书（公告附件2）、参与磋商确认函（公告附件3）、营业执照副本扫描件，以上资料提供1份并加盖公章，发送至邮箱：</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u w:val="none"/>
          <w:shd w:val="clear" w:fill="FFFFFF"/>
          <w:lang w:val="en-US" w:eastAsia="zh-CN"/>
        </w:rPr>
        <w:instrText xml:space="preserve"> HYPERLINK "mailto:2831319575@qq.com，线上" </w:instrTex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u w:val="none"/>
          <w:shd w:val="clear" w:fill="FFFFFF"/>
          <w:lang w:val="en-US" w:eastAsia="zh-CN"/>
        </w:rPr>
        <w:t>1598841314@qq.com</w:t>
      </w:r>
      <w:r>
        <w:rPr>
          <w:rFonts w:hint="eastAsia" w:ascii="宋体" w:hAnsi="宋体" w:eastAsia="宋体" w:cs="宋体"/>
          <w:i w:val="0"/>
          <w:iCs w:val="0"/>
          <w:caps w:val="0"/>
          <w:color w:val="auto"/>
          <w:spacing w:val="0"/>
          <w:sz w:val="24"/>
          <w:szCs w:val="24"/>
          <w:highlight w:val="none"/>
          <w:u w:val="none"/>
          <w:shd w:val="clear" w:fill="FFFFFF"/>
          <w:lang w:val="en-US" w:eastAsia="zh-CN"/>
        </w:rPr>
        <w:fldChar w:fldCharType="end"/>
      </w:r>
      <w:r>
        <w:rPr>
          <w:rFonts w:hint="eastAsia" w:ascii="宋体" w:hAnsi="宋体" w:eastAsia="宋体" w:cs="宋体"/>
          <w:i w:val="0"/>
          <w:iCs w:val="0"/>
          <w:caps w:val="0"/>
          <w:color w:val="auto"/>
          <w:spacing w:val="0"/>
          <w:sz w:val="24"/>
          <w:szCs w:val="24"/>
          <w:highlight w:val="none"/>
          <w:u w:val="none"/>
          <w:shd w:val="clear" w:fill="FFFFFF"/>
          <w:lang w:val="en-US" w:eastAsia="zh-CN"/>
        </w:rPr>
        <w:t>，逾期上传不得参与本项目。</w:t>
      </w:r>
    </w:p>
    <w:p w14:paraId="4DC4056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14:paraId="16345F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eastAsia="zh-CN"/>
        </w:rPr>
      </w:pPr>
      <w:r>
        <w:rPr>
          <w:rStyle w:val="23"/>
          <w:rFonts w:hint="eastAsia" w:ascii="宋体" w:hAnsi="宋体" w:eastAsia="宋体" w:cs="宋体"/>
          <w:b/>
          <w:bCs/>
          <w:i w:val="0"/>
          <w:iCs w:val="0"/>
          <w:caps w:val="0"/>
          <w:color w:val="auto"/>
          <w:spacing w:val="0"/>
          <w:sz w:val="24"/>
          <w:szCs w:val="24"/>
          <w:highlight w:val="none"/>
          <w:shd w:val="clear" w:fill="FFFFFF"/>
          <w:lang w:eastAsia="zh-CN"/>
        </w:rPr>
        <w:t>四</w:t>
      </w:r>
      <w:r>
        <w:rPr>
          <w:rStyle w:val="23"/>
          <w:rFonts w:hint="eastAsia" w:ascii="宋体" w:hAnsi="宋体" w:eastAsia="宋体" w:cs="宋体"/>
          <w:b/>
          <w:bCs/>
          <w:i w:val="0"/>
          <w:iCs w:val="0"/>
          <w:caps w:val="0"/>
          <w:color w:val="auto"/>
          <w:spacing w:val="0"/>
          <w:sz w:val="24"/>
          <w:szCs w:val="24"/>
          <w:highlight w:val="none"/>
          <w:shd w:val="clear" w:fill="FFFFFF"/>
        </w:rPr>
        <w:t>、</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开标</w:t>
      </w:r>
    </w:p>
    <w:p w14:paraId="116C6AF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w:t>
      </w:r>
      <w:r>
        <w:rPr>
          <w:rFonts w:hint="eastAsia" w:ascii="宋体" w:hAnsi="宋体" w:eastAsia="宋体" w:cs="宋体"/>
          <w:i w:val="0"/>
          <w:iCs w:val="0"/>
          <w:caps w:val="0"/>
          <w:color w:val="auto"/>
          <w:spacing w:val="0"/>
          <w:sz w:val="24"/>
          <w:szCs w:val="24"/>
          <w:highlight w:val="none"/>
          <w:u w:val="none"/>
          <w:shd w:val="clear" w:fill="FFFFFF"/>
          <w:lang w:val="en-US" w:eastAsia="zh-CN"/>
        </w:rPr>
        <w:t>2025年06月03日09时00分00秒</w:t>
      </w:r>
      <w:r>
        <w:rPr>
          <w:rFonts w:hint="eastAsia" w:ascii="宋体" w:hAnsi="宋体" w:eastAsia="宋体" w:cs="宋体"/>
          <w:i w:val="0"/>
          <w:iCs w:val="0"/>
          <w:caps w:val="0"/>
          <w:color w:val="auto"/>
          <w:spacing w:val="0"/>
          <w:sz w:val="24"/>
          <w:szCs w:val="24"/>
          <w:highlight w:val="none"/>
          <w:shd w:val="clear" w:fill="FFFFFF"/>
        </w:rPr>
        <w:t>（北京时间）</w:t>
      </w:r>
    </w:p>
    <w:p w14:paraId="5C81B1D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地点：赤峰市生态环境局元宝山区分局204会议室</w:t>
      </w:r>
    </w:p>
    <w:p w14:paraId="72DCF8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3"/>
          <w:rFonts w:hint="eastAsia" w:ascii="宋体" w:hAnsi="宋体" w:eastAsia="宋体" w:cs="宋体"/>
          <w:b/>
          <w:bCs/>
          <w:i w:val="0"/>
          <w:iCs w:val="0"/>
          <w:caps w:val="0"/>
          <w:color w:val="auto"/>
          <w:spacing w:val="0"/>
          <w:sz w:val="24"/>
          <w:szCs w:val="24"/>
          <w:highlight w:val="none"/>
          <w:shd w:val="clear" w:fill="FFFFFF"/>
          <w:lang w:eastAsia="zh-CN"/>
        </w:rPr>
        <w:t>五</w:t>
      </w:r>
      <w:r>
        <w:rPr>
          <w:rStyle w:val="23"/>
          <w:rFonts w:hint="eastAsia" w:ascii="宋体" w:hAnsi="宋体" w:eastAsia="宋体" w:cs="宋体"/>
          <w:b/>
          <w:bCs/>
          <w:i w:val="0"/>
          <w:iCs w:val="0"/>
          <w:caps w:val="0"/>
          <w:color w:val="auto"/>
          <w:spacing w:val="0"/>
          <w:sz w:val="24"/>
          <w:szCs w:val="24"/>
          <w:highlight w:val="none"/>
          <w:shd w:val="clear" w:fill="FFFFFF"/>
        </w:rPr>
        <w:t>、其他补充事宜</w:t>
      </w:r>
    </w:p>
    <w:p w14:paraId="5F214B0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发布媒介：</w:t>
      </w:r>
    </w:p>
    <w:p w14:paraId="472342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赤峰市生态环境局官网</w:t>
      </w:r>
      <w:r>
        <w:rPr>
          <w:rFonts w:hint="eastAsia" w:ascii="宋体" w:hAnsi="宋体" w:eastAsia="宋体" w:cs="宋体"/>
          <w:bCs/>
          <w:color w:val="auto"/>
          <w:sz w:val="24"/>
          <w:highlight w:val="none"/>
        </w:rPr>
        <w:t>（http://sthjj.chifeng.gov.cn/）</w:t>
      </w:r>
    </w:p>
    <w:p w14:paraId="01A2A7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lang w:val="en-US" w:eastAsia="zh-CN"/>
        </w:rPr>
      </w:pPr>
      <w:r>
        <w:rPr>
          <w:rStyle w:val="23"/>
          <w:rFonts w:hint="eastAsia" w:ascii="宋体" w:hAnsi="宋体" w:eastAsia="宋体" w:cs="宋体"/>
          <w:b/>
          <w:bCs/>
          <w:i w:val="0"/>
          <w:iCs w:val="0"/>
          <w:caps w:val="0"/>
          <w:color w:val="auto"/>
          <w:spacing w:val="0"/>
          <w:sz w:val="24"/>
          <w:szCs w:val="24"/>
          <w:highlight w:val="none"/>
          <w:shd w:val="clear" w:fill="FFFFFF"/>
          <w:lang w:val="en-US" w:eastAsia="zh-CN"/>
        </w:rPr>
        <w:t>六</w:t>
      </w:r>
      <w:r>
        <w:rPr>
          <w:rStyle w:val="23"/>
          <w:rFonts w:hint="eastAsia" w:ascii="宋体" w:hAnsi="宋体" w:eastAsia="宋体" w:cs="宋体"/>
          <w:b/>
          <w:bCs/>
          <w:i w:val="0"/>
          <w:iCs w:val="0"/>
          <w:caps w:val="0"/>
          <w:color w:val="auto"/>
          <w:spacing w:val="0"/>
          <w:sz w:val="24"/>
          <w:szCs w:val="24"/>
          <w:highlight w:val="none"/>
          <w:shd w:val="clear" w:fill="FFFFFF"/>
        </w:rPr>
        <w:t>、联系</w:t>
      </w:r>
      <w:r>
        <w:rPr>
          <w:rStyle w:val="23"/>
          <w:rFonts w:hint="eastAsia" w:ascii="宋体" w:hAnsi="宋体" w:eastAsia="宋体" w:cs="宋体"/>
          <w:b/>
          <w:bCs/>
          <w:i w:val="0"/>
          <w:iCs w:val="0"/>
          <w:caps w:val="0"/>
          <w:color w:val="auto"/>
          <w:spacing w:val="0"/>
          <w:sz w:val="24"/>
          <w:szCs w:val="24"/>
          <w:highlight w:val="none"/>
          <w:shd w:val="clear" w:fill="FFFFFF"/>
          <w:lang w:val="en-US" w:eastAsia="zh-CN"/>
        </w:rPr>
        <w:t>方式</w:t>
      </w:r>
    </w:p>
    <w:p w14:paraId="6F7A9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5CB6B2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名称：</w:t>
      </w:r>
      <w:r>
        <w:rPr>
          <w:rFonts w:hint="eastAsia" w:ascii="宋体" w:hAnsi="宋体" w:eastAsia="宋体" w:cs="宋体"/>
          <w:i w:val="0"/>
          <w:iCs w:val="0"/>
          <w:caps w:val="0"/>
          <w:color w:val="000000"/>
          <w:spacing w:val="0"/>
          <w:sz w:val="24"/>
          <w:szCs w:val="24"/>
          <w:highlight w:val="none"/>
          <w:shd w:val="clear" w:fill="FFFFFF"/>
          <w:lang w:val="en-US" w:eastAsia="zh-CN"/>
        </w:rPr>
        <w:t>赤峰市生态环境局元宝山区分局</w:t>
      </w:r>
    </w:p>
    <w:p w14:paraId="78B30D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地址：元宝山区平庄镇银河街西段</w:t>
      </w:r>
    </w:p>
    <w:p w14:paraId="35592E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shd w:val="clear" w:fill="FFFFFF"/>
          <w:lang w:eastAsia="zh-CN"/>
        </w:rPr>
      </w:pPr>
      <w:r>
        <w:rPr>
          <w:rFonts w:hint="eastAsia" w:ascii="宋体" w:hAnsi="宋体" w:eastAsia="宋体" w:cs="宋体"/>
          <w:b w:val="0"/>
          <w:bCs w:val="0"/>
          <w:i w:val="0"/>
          <w:iCs w:val="0"/>
          <w:caps w:val="0"/>
          <w:color w:val="auto"/>
          <w:spacing w:val="0"/>
          <w:sz w:val="24"/>
          <w:szCs w:val="24"/>
          <w:highlight w:val="none"/>
          <w:shd w:val="clear" w:fill="FFFFFF"/>
        </w:rPr>
        <w:t>联系人：</w:t>
      </w:r>
      <w:r>
        <w:rPr>
          <w:rFonts w:hint="eastAsia" w:ascii="宋体" w:hAnsi="宋体" w:eastAsia="宋体" w:cs="宋体"/>
          <w:b w:val="0"/>
          <w:bCs w:val="0"/>
          <w:i w:val="0"/>
          <w:iCs w:val="0"/>
          <w:caps w:val="0"/>
          <w:color w:val="auto"/>
          <w:spacing w:val="0"/>
          <w:sz w:val="24"/>
          <w:szCs w:val="24"/>
          <w:highlight w:val="none"/>
          <w:shd w:val="clear" w:fill="FFFFFF"/>
          <w:lang w:eastAsia="zh-CN"/>
        </w:rPr>
        <w:t>梅正开</w:t>
      </w:r>
    </w:p>
    <w:p w14:paraId="049ABF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firstLineChars="200"/>
        <w:jc w:val="left"/>
        <w:textAlignment w:val="auto"/>
        <w:outlineLvl w:val="9"/>
        <w:rPr>
          <w:rFonts w:hint="default"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联系电话：</w:t>
      </w:r>
      <w:r>
        <w:rPr>
          <w:rFonts w:hint="eastAsia" w:ascii="宋体" w:hAnsi="宋体" w:eastAsia="宋体" w:cs="宋体"/>
          <w:b w:val="0"/>
          <w:bCs w:val="0"/>
          <w:i w:val="0"/>
          <w:iCs w:val="0"/>
          <w:caps w:val="0"/>
          <w:color w:val="auto"/>
          <w:spacing w:val="0"/>
          <w:sz w:val="24"/>
          <w:szCs w:val="24"/>
          <w:highlight w:val="none"/>
          <w:shd w:val="clear" w:fill="FFFFFF"/>
          <w:lang w:val="en-US" w:eastAsia="zh-CN"/>
        </w:rPr>
        <w:t>0476-3512981</w:t>
      </w:r>
    </w:p>
    <w:p w14:paraId="1A0F14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shd w:val="clear" w:fill="FFFFFF"/>
        </w:rPr>
      </w:pPr>
    </w:p>
    <w:p w14:paraId="5640CF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firstLineChars="200"/>
        <w:jc w:val="left"/>
        <w:textAlignment w:val="auto"/>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fill="FFFFFF"/>
        </w:rPr>
        <w:t>.采购代理机构信息</w:t>
      </w:r>
    </w:p>
    <w:p w14:paraId="1C0F28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名称：赤峰天利和工程咨询有限公司</w:t>
      </w:r>
    </w:p>
    <w:p w14:paraId="447EB2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地址：赤峰市松山区临潢大街众合大厦708</w:t>
      </w:r>
    </w:p>
    <w:p w14:paraId="0177FE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联系人：闫工</w:t>
      </w:r>
    </w:p>
    <w:p w14:paraId="0A5FC3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val="0"/>
        <w:snapToGrid w:val="0"/>
        <w:spacing w:before="0" w:beforeAutospacing="0" w:after="0" w:afterAutospacing="0" w:line="480" w:lineRule="atLeast"/>
        <w:ind w:left="0" w:leftChars="0" w:right="0" w:firstLine="480"/>
        <w:jc w:val="both"/>
        <w:textAlignment w:val="auto"/>
        <w:outlineLvl w:val="9"/>
        <w:rPr>
          <w:rFonts w:hint="default"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联系方式：0476-8866661</w:t>
      </w:r>
    </w:p>
    <w:p w14:paraId="62C802B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right="0"/>
        <w:jc w:val="both"/>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p>
    <w:p w14:paraId="0BF528FF">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right"/>
        <w:textAlignment w:val="auto"/>
        <w:outlineLvl w:val="9"/>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赤峰天利和工程咨询有限公司</w:t>
      </w:r>
    </w:p>
    <w:bookmarkEnd w:id="1"/>
    <w:p w14:paraId="2722C47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autoSpaceDE/>
        <w:autoSpaceDN/>
        <w:bidi w:val="0"/>
        <w:adjustRightInd/>
        <w:snapToGrid/>
        <w:spacing w:before="0" w:beforeAutospacing="0" w:after="0" w:afterAutospacing="0" w:line="480" w:lineRule="atLeast"/>
        <w:ind w:left="0" w:leftChars="0" w:right="0" w:firstLine="480"/>
        <w:jc w:val="righ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202</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lang w:eastAsia="zh-CN"/>
        </w:rPr>
        <w:t>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eastAsia="zh-CN"/>
        </w:rPr>
        <w:t>月</w:t>
      </w:r>
      <w:r>
        <w:rPr>
          <w:rFonts w:hint="eastAsia" w:ascii="宋体" w:hAnsi="宋体" w:eastAsia="宋体"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日</w:t>
      </w:r>
    </w:p>
    <w:p w14:paraId="3889CCA2">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bookmarkStart w:id="13" w:name="_GoBack"/>
      <w:bookmarkEnd w:id="13"/>
    </w:p>
    <w:p w14:paraId="0AFF4480">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val="en-US" w:eastAsia="zh-CN"/>
        </w:rPr>
        <w:t>公告附件1：</w:t>
      </w:r>
    </w:p>
    <w:p w14:paraId="153377F5">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b/>
          <w:bCs/>
          <w:color w:val="auto"/>
          <w:spacing w:val="0"/>
          <w:kern w:val="0"/>
          <w:sz w:val="32"/>
          <w:szCs w:val="32"/>
          <w:highlight w:val="none"/>
          <w:lang w:val="en-US" w:eastAsia="zh-CN" w:bidi="ar"/>
        </w:rPr>
        <w:t>法定代表人身份证明</w:t>
      </w:r>
    </w:p>
    <w:p w14:paraId="7E634011">
      <w:pPr>
        <w:pStyle w:val="3"/>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pacing w:val="0"/>
          <w:sz w:val="20"/>
          <w:lang w:val="en-US" w:eastAsia="zh-CN"/>
        </w:rPr>
      </w:pPr>
    </w:p>
    <w:p w14:paraId="297BCEE4">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供 应 商：</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14:paraId="4B92FCA5">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单位性质：</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14:paraId="60F4F67D">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地    址：</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14:paraId="04D3A485">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成立时间：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月</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日 </w:t>
      </w:r>
    </w:p>
    <w:p w14:paraId="6F32CEF5">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经营期限：</w:t>
      </w:r>
      <w:r>
        <w:rPr>
          <w:rFonts w:hint="eastAsia" w:ascii="宋体" w:hAnsi="宋体" w:eastAsia="宋体" w:cs="宋体"/>
          <w:color w:val="auto"/>
          <w:spacing w:val="0"/>
          <w:sz w:val="24"/>
          <w:szCs w:val="24"/>
          <w:u w:val="single"/>
          <w:lang w:val="en-US" w:eastAsia="zh-CN"/>
        </w:rPr>
        <w:t xml:space="preserve">                                                      </w:t>
      </w:r>
    </w:p>
    <w:p w14:paraId="6D2ACC36">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姓名：</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性</w:t>
      </w:r>
      <w:r>
        <w:rPr>
          <w:rFonts w:hint="eastAsia" w:ascii="宋体" w:hAnsi="宋体" w:eastAsia="宋体" w:cs="宋体"/>
          <w:color w:val="auto"/>
          <w:spacing w:val="0"/>
          <w:sz w:val="24"/>
          <w:szCs w:val="24"/>
          <w:lang w:val="en-US" w:eastAsia="zh-CN"/>
        </w:rPr>
        <w:tab/>
      </w:r>
      <w:r>
        <w:rPr>
          <w:rFonts w:hint="eastAsia" w:ascii="宋体" w:hAnsi="宋体" w:eastAsia="宋体" w:cs="宋体"/>
          <w:color w:val="auto"/>
          <w:spacing w:val="0"/>
          <w:sz w:val="24"/>
          <w:szCs w:val="24"/>
          <w:lang w:val="en-US" w:eastAsia="zh-CN"/>
        </w:rPr>
        <w:t>别：</w:t>
      </w:r>
      <w:r>
        <w:rPr>
          <w:rFonts w:hint="eastAsia" w:ascii="宋体" w:hAnsi="宋体" w:eastAsia="宋体" w:cs="宋体"/>
          <w:color w:val="auto"/>
          <w:spacing w:val="0"/>
          <w:sz w:val="24"/>
          <w:szCs w:val="24"/>
          <w:u w:val="single"/>
          <w:lang w:val="en-US" w:eastAsia="zh-CN"/>
        </w:rPr>
        <w:t xml:space="preserve">                   </w:t>
      </w:r>
    </w:p>
    <w:p w14:paraId="1D8E6B6C">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年龄：</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职</w:t>
      </w:r>
      <w:r>
        <w:rPr>
          <w:rFonts w:hint="eastAsia" w:ascii="宋体" w:hAnsi="宋体" w:eastAsia="宋体" w:cs="宋体"/>
          <w:color w:val="auto"/>
          <w:spacing w:val="0"/>
          <w:sz w:val="24"/>
          <w:szCs w:val="24"/>
          <w:lang w:val="en-US" w:eastAsia="zh-CN"/>
        </w:rPr>
        <w:tab/>
      </w:r>
      <w:r>
        <w:rPr>
          <w:rFonts w:hint="eastAsia" w:ascii="宋体" w:hAnsi="宋体" w:eastAsia="宋体" w:cs="宋体"/>
          <w:color w:val="auto"/>
          <w:spacing w:val="0"/>
          <w:sz w:val="24"/>
          <w:szCs w:val="24"/>
          <w:lang w:val="en-US" w:eastAsia="zh-CN"/>
        </w:rPr>
        <w:t>务：</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w:t>
      </w:r>
    </w:p>
    <w:p w14:paraId="2C419C57">
      <w:pPr>
        <w:pStyle w:val="3"/>
        <w:keepNext w:val="0"/>
        <w:keepLines w:val="0"/>
        <w:pageBreakBefore w:val="0"/>
        <w:widowControl w:val="0"/>
        <w:kinsoku/>
        <w:wordWrap/>
        <w:overflowPunct/>
        <w:topLinePunct w:val="0"/>
        <w:autoSpaceDE w:val="0"/>
        <w:autoSpaceDN w:val="0"/>
        <w:bidi w:val="0"/>
        <w:adjustRightInd/>
        <w:snapToGrid/>
        <w:spacing w:line="64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系</w:t>
      </w:r>
      <w:r>
        <w:rPr>
          <w:rFonts w:hint="eastAsia" w:ascii="宋体" w:hAnsi="宋体" w:eastAsia="宋体" w:cs="宋体"/>
          <w:color w:val="auto"/>
          <w:spacing w:val="0"/>
          <w:sz w:val="24"/>
          <w:szCs w:val="24"/>
          <w:u w:val="single"/>
          <w:lang w:val="en-US" w:eastAsia="zh-CN"/>
        </w:rPr>
        <w:t xml:space="preserve">        </w:t>
      </w:r>
      <w:r>
        <w:rPr>
          <w:rFonts w:hint="eastAsia"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（供应商名称）的法定代表人 。 </w:t>
      </w:r>
    </w:p>
    <w:p w14:paraId="0E98C859">
      <w:pPr>
        <w:pStyle w:val="3"/>
        <w:keepNext w:val="0"/>
        <w:keepLines w:val="0"/>
        <w:pageBreakBefore w:val="0"/>
        <w:widowControl w:val="0"/>
        <w:kinsoku/>
        <w:wordWrap/>
        <w:overflowPunct/>
        <w:topLinePunct w:val="0"/>
        <w:autoSpaceDE w:val="0"/>
        <w:autoSpaceDN w:val="0"/>
        <w:bidi w:val="0"/>
        <w:adjustRightInd/>
        <w:snapToGrid/>
        <w:spacing w:line="800" w:lineRule="exact"/>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特此证明。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B40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5000" w:type="pct"/>
            <w:vAlign w:val="center"/>
          </w:tcPr>
          <w:p w14:paraId="398D9651">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14:paraId="1FBA74BC">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14:paraId="025A542B">
            <w:pPr>
              <w:jc w:val="center"/>
              <w:rPr>
                <w:rFonts w:hint="eastAsia" w:ascii="宋体" w:hAnsi="宋体" w:eastAsia="宋体" w:cs="宋体"/>
                <w:color w:val="auto"/>
                <w:spacing w:val="0"/>
                <w:sz w:val="32"/>
                <w:szCs w:val="32"/>
                <w:highlight w:val="none"/>
                <w:vertAlign w:val="baseline"/>
              </w:rPr>
            </w:pPr>
            <w:r>
              <w:rPr>
                <w:rFonts w:hint="eastAsia" w:ascii="宋体" w:hAnsi="宋体" w:eastAsia="宋体" w:cs="宋体"/>
                <w:color w:val="auto"/>
                <w:spacing w:val="0"/>
                <w:sz w:val="24"/>
                <w:szCs w:val="24"/>
                <w:highlight w:val="none"/>
              </w:rPr>
              <w:t>（本证件需直接扫描或复印，且身份证号码必须清晰，不允许</w:t>
            </w:r>
            <w:r>
              <w:rPr>
                <w:rFonts w:hint="eastAsia" w:ascii="宋体" w:hAnsi="宋体" w:eastAsia="宋体" w:cs="宋体"/>
                <w:color w:val="auto"/>
                <w:spacing w:val="0"/>
                <w:sz w:val="24"/>
                <w:szCs w:val="24"/>
                <w:highlight w:val="none"/>
                <w:lang w:val="en-US" w:eastAsia="zh-CN"/>
              </w:rPr>
              <w:t>用胶水</w:t>
            </w:r>
            <w:r>
              <w:rPr>
                <w:rFonts w:hint="eastAsia" w:ascii="宋体" w:hAnsi="宋体" w:eastAsia="宋体" w:cs="宋体"/>
                <w:color w:val="auto"/>
                <w:spacing w:val="0"/>
                <w:sz w:val="24"/>
                <w:szCs w:val="24"/>
                <w:highlight w:val="none"/>
              </w:rPr>
              <w:t>粘贴）</w:t>
            </w:r>
          </w:p>
        </w:tc>
      </w:tr>
    </w:tbl>
    <w:p w14:paraId="3A4C6A4F">
      <w:pPr>
        <w:pStyle w:val="3"/>
        <w:rPr>
          <w:rFonts w:hint="eastAsia" w:ascii="宋体" w:hAnsi="宋体" w:eastAsia="宋体" w:cs="宋体"/>
          <w:color w:val="auto"/>
          <w:spacing w:val="0"/>
          <w:sz w:val="24"/>
          <w:szCs w:val="24"/>
          <w:lang w:val="en-US" w:eastAsia="zh-CN"/>
        </w:rPr>
      </w:pPr>
    </w:p>
    <w:p w14:paraId="03901A17">
      <w:pPr>
        <w:pStyle w:val="3"/>
        <w:rPr>
          <w:rFonts w:hint="eastAsia" w:ascii="宋体" w:hAnsi="宋体" w:eastAsia="宋体" w:cs="宋体"/>
          <w:color w:val="auto"/>
          <w:spacing w:val="0"/>
          <w:sz w:val="24"/>
          <w:szCs w:val="24"/>
          <w:lang w:val="en-US" w:eastAsia="zh-CN"/>
        </w:rPr>
      </w:pPr>
    </w:p>
    <w:p w14:paraId="66E0F06E">
      <w:pPr>
        <w:pStyle w:val="3"/>
        <w:rPr>
          <w:rFonts w:hint="eastAsia" w:ascii="宋体" w:hAnsi="宋体" w:eastAsia="宋体" w:cs="宋体"/>
          <w:color w:val="auto"/>
          <w:spacing w:val="0"/>
          <w:sz w:val="24"/>
          <w:szCs w:val="24"/>
          <w:lang w:val="en-US" w:eastAsia="zh-CN"/>
        </w:rPr>
      </w:pPr>
    </w:p>
    <w:p w14:paraId="3324AF1A">
      <w:pPr>
        <w:pStyle w:val="3"/>
        <w:rPr>
          <w:rFonts w:hint="eastAsia" w:ascii="宋体" w:hAnsi="宋体" w:eastAsia="宋体" w:cs="宋体"/>
          <w:color w:val="auto"/>
          <w:spacing w:val="0"/>
          <w:sz w:val="24"/>
          <w:szCs w:val="24"/>
          <w:lang w:val="en-US" w:eastAsia="zh-CN"/>
        </w:rPr>
      </w:pPr>
    </w:p>
    <w:p w14:paraId="392A4F61">
      <w:pPr>
        <w:pStyle w:val="3"/>
        <w:rPr>
          <w:rFonts w:hint="eastAsia" w:ascii="宋体" w:hAnsi="宋体" w:eastAsia="宋体" w:cs="宋体"/>
          <w:color w:val="auto"/>
          <w:spacing w:val="0"/>
          <w:sz w:val="24"/>
          <w:szCs w:val="24"/>
          <w:lang w:val="en-US" w:eastAsia="zh-CN"/>
        </w:rPr>
      </w:pPr>
    </w:p>
    <w:p w14:paraId="2BBE3F8B">
      <w:pPr>
        <w:pStyle w:val="3"/>
        <w:ind w:firstLine="3120" w:firstLineChars="1300"/>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供 应 商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lang w:val="en-US" w:eastAsia="zh-CN"/>
        </w:rPr>
        <w:t xml:space="preserve"> （盖单位章） </w:t>
      </w:r>
    </w:p>
    <w:p w14:paraId="578D650E">
      <w:pPr>
        <w:pStyle w:val="3"/>
        <w:rPr>
          <w:rFonts w:hint="eastAsia" w:ascii="宋体" w:hAnsi="宋体" w:eastAsia="宋体" w:cs="宋体"/>
          <w:color w:val="auto"/>
          <w:spacing w:val="0"/>
          <w:sz w:val="24"/>
          <w:szCs w:val="24"/>
          <w:lang w:val="en-US" w:eastAsia="zh-CN"/>
        </w:rPr>
      </w:pPr>
    </w:p>
    <w:p w14:paraId="18AE718B">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color w:val="auto"/>
          <w:spacing w:val="0"/>
          <w:sz w:val="24"/>
          <w:szCs w:val="24"/>
          <w:lang w:val="en-US" w:eastAsia="zh-CN"/>
        </w:rPr>
        <w:t xml:space="preserve">                                                  年   月   日</w:t>
      </w:r>
    </w:p>
    <w:p w14:paraId="6E74C378">
      <w:pPr>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val="en-US" w:eastAsia="zh-CN"/>
        </w:rPr>
        <w:br w:type="page"/>
      </w:r>
    </w:p>
    <w:p w14:paraId="0897EF0E">
      <w:pPr>
        <w:pStyle w:val="3"/>
        <w:keepNext w:val="0"/>
        <w:keepLines w:val="0"/>
        <w:pageBreakBefore w:val="0"/>
        <w:widowControl w:val="0"/>
        <w:kinsoku/>
        <w:wordWrap/>
        <w:overflowPunct/>
        <w:topLinePunct w:val="0"/>
        <w:autoSpaceDE w:val="0"/>
        <w:autoSpaceDN w:val="0"/>
        <w:bidi w:val="0"/>
        <w:adjustRightInd/>
        <w:snapToGrid w:val="0"/>
        <w:spacing w:before="0" w:line="360" w:lineRule="auto"/>
        <w:ind w:left="0" w:leftChars="0" w:right="0"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b w:val="0"/>
          <w:bCs w:val="0"/>
          <w:color w:val="auto"/>
          <w:spacing w:val="0"/>
          <w:sz w:val="24"/>
          <w:szCs w:val="24"/>
          <w:lang w:val="en-US" w:eastAsia="zh-CN"/>
        </w:rPr>
        <w:t>公告</w:t>
      </w:r>
      <w:r>
        <w:rPr>
          <w:rFonts w:hint="eastAsia" w:ascii="宋体" w:hAnsi="宋体" w:eastAsia="宋体" w:cs="宋体"/>
          <w:color w:val="auto"/>
          <w:spacing w:val="0"/>
          <w:sz w:val="24"/>
          <w:szCs w:val="24"/>
          <w:lang w:val="en-US" w:eastAsia="zh-CN"/>
        </w:rPr>
        <w:t>附件2：</w:t>
      </w:r>
    </w:p>
    <w:p w14:paraId="2CEDA70F">
      <w:pPr>
        <w:keepNext w:val="0"/>
        <w:keepLines w:val="0"/>
        <w:pageBreakBefore w:val="0"/>
        <w:widowControl w:val="0"/>
        <w:kinsoku w:val="0"/>
        <w:wordWrap/>
        <w:overflowPunct w:val="0"/>
        <w:topLinePunct w:val="0"/>
        <w:autoSpaceDE w:val="0"/>
        <w:autoSpaceDN w:val="0"/>
        <w:bidi w:val="0"/>
        <w:adjustRightInd/>
        <w:snapToGrid/>
        <w:jc w:val="center"/>
        <w:textAlignment w:val="auto"/>
        <w:rPr>
          <w:rFonts w:hint="eastAsia" w:ascii="宋体" w:hAnsi="宋体" w:eastAsia="宋体" w:cs="宋体"/>
          <w:b/>
          <w:bCs/>
          <w:color w:val="auto"/>
          <w:spacing w:val="0"/>
          <w:sz w:val="32"/>
          <w:szCs w:val="32"/>
          <w:highlight w:val="none"/>
          <w:u w:val="single"/>
        </w:rPr>
      </w:pPr>
      <w:r>
        <w:rPr>
          <w:rFonts w:hint="eastAsia" w:ascii="宋体" w:hAnsi="宋体" w:eastAsia="宋体" w:cs="宋体"/>
          <w:b/>
          <w:bCs/>
          <w:color w:val="auto"/>
          <w:spacing w:val="0"/>
          <w:sz w:val="32"/>
          <w:szCs w:val="32"/>
          <w:highlight w:val="none"/>
        </w:rPr>
        <w:t>授权委托书</w:t>
      </w:r>
    </w:p>
    <w:p w14:paraId="551EE4FE">
      <w:pPr>
        <w:keepNext w:val="0"/>
        <w:keepLines w:val="0"/>
        <w:pageBreakBefore w:val="0"/>
        <w:widowControl w:val="0"/>
        <w:kinsoku w:val="0"/>
        <w:wordWrap/>
        <w:overflowPunct w:val="0"/>
        <w:topLinePunct w:val="0"/>
        <w:autoSpaceDE w:val="0"/>
        <w:autoSpaceDN w:val="0"/>
        <w:bidi w:val="0"/>
        <w:adjustRightInd/>
        <w:snapToGrid/>
        <w:textAlignment w:val="auto"/>
        <w:rPr>
          <w:rFonts w:hint="eastAsia" w:ascii="宋体" w:hAnsi="宋体" w:eastAsia="宋体" w:cs="宋体"/>
          <w:color w:val="auto"/>
          <w:spacing w:val="0"/>
          <w:sz w:val="24"/>
          <w:szCs w:val="24"/>
          <w:highlight w:val="none"/>
          <w:u w:val="single"/>
        </w:rPr>
      </w:pPr>
    </w:p>
    <w:p w14:paraId="2E57736A">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14:paraId="56C97AEB">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兹授权我单位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（姓名）作为参加贵单位组织的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（项目名称）</w:t>
      </w:r>
      <w:r>
        <w:rPr>
          <w:rFonts w:hint="eastAsia" w:ascii="宋体" w:hAnsi="宋体" w:eastAsia="宋体" w:cs="宋体"/>
          <w:color w:val="auto"/>
          <w:spacing w:val="0"/>
          <w:sz w:val="24"/>
          <w:szCs w:val="24"/>
          <w:highlight w:val="none"/>
          <w:lang w:val="en-US" w:eastAsia="zh-CN"/>
        </w:rPr>
        <w:t>竞争性磋商</w:t>
      </w:r>
      <w:r>
        <w:rPr>
          <w:rFonts w:hint="eastAsia" w:ascii="宋体" w:hAnsi="宋体" w:eastAsia="宋体" w:cs="宋体"/>
          <w:color w:val="auto"/>
          <w:spacing w:val="0"/>
          <w:sz w:val="24"/>
          <w:szCs w:val="24"/>
          <w:highlight w:val="none"/>
        </w:rPr>
        <w:t>采购活动（</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文件编号</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）的委托代理人，委托代理人全权代表我单位处理本次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中的有关事务，并签署全部有关文件、协议及合同，我单位对委托代理人签署内容负全部责任。</w:t>
      </w:r>
    </w:p>
    <w:p w14:paraId="05D6409B">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本授权书于盖章签字后生效，在贵单位收到撤消授权的书面通知以前，本授权书一直有效。被授权人签署的所有文件不因授权的撤消而失效。委托代理人无转委托权。</w:t>
      </w:r>
    </w:p>
    <w:p w14:paraId="68F2A70C">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特此委托。</w:t>
      </w:r>
    </w:p>
    <w:p w14:paraId="2358D05E">
      <w:pPr>
        <w:pStyle w:val="28"/>
        <w:rPr>
          <w:rFonts w:hint="eastAsia" w:ascii="宋体" w:hAnsi="宋体" w:eastAsia="宋体" w:cs="宋体"/>
          <w:color w:val="auto"/>
          <w:spacing w:val="0"/>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1C25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793" w:type="dxa"/>
            <w:vAlign w:val="center"/>
          </w:tcPr>
          <w:p w14:paraId="5C9E255F">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法定代表人身份证</w:t>
            </w:r>
          </w:p>
          <w:p w14:paraId="09D8E87D">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扫描件或复印件（正反）</w:t>
            </w:r>
          </w:p>
          <w:p w14:paraId="56C50A36">
            <w:pPr>
              <w:jc w:val="center"/>
              <w:rPr>
                <w:rFonts w:hint="eastAsia" w:ascii="宋体" w:hAnsi="宋体" w:eastAsia="宋体" w:cs="宋体"/>
                <w:color w:val="auto"/>
                <w:spacing w:val="0"/>
                <w:sz w:val="24"/>
                <w:szCs w:val="24"/>
                <w:vertAlign w:val="baseline"/>
              </w:rPr>
            </w:pPr>
            <w:r>
              <w:rPr>
                <w:rFonts w:hint="eastAsia" w:ascii="宋体" w:hAnsi="宋体" w:eastAsia="宋体" w:cs="宋体"/>
                <w:color w:val="auto"/>
                <w:spacing w:val="0"/>
                <w:sz w:val="24"/>
                <w:szCs w:val="24"/>
              </w:rPr>
              <w:t>（本证件需直接扫描或复印，且身份证号码必须清晰，不允许</w:t>
            </w:r>
            <w:r>
              <w:rPr>
                <w:rFonts w:hint="eastAsia" w:ascii="宋体" w:hAnsi="宋体" w:eastAsia="宋体" w:cs="宋体"/>
                <w:color w:val="auto"/>
                <w:spacing w:val="0"/>
                <w:sz w:val="24"/>
                <w:szCs w:val="24"/>
                <w:lang w:val="en-US" w:eastAsia="zh-CN"/>
              </w:rPr>
              <w:t>用胶水</w:t>
            </w:r>
            <w:r>
              <w:rPr>
                <w:rFonts w:hint="eastAsia" w:ascii="宋体" w:hAnsi="宋体" w:eastAsia="宋体" w:cs="宋体"/>
                <w:color w:val="auto"/>
                <w:spacing w:val="0"/>
                <w:sz w:val="24"/>
                <w:szCs w:val="24"/>
              </w:rPr>
              <w:t>粘贴）</w:t>
            </w:r>
          </w:p>
        </w:tc>
        <w:tc>
          <w:tcPr>
            <w:tcW w:w="4793" w:type="dxa"/>
            <w:vAlign w:val="center"/>
          </w:tcPr>
          <w:p w14:paraId="596F4D01">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委托代理人身份证</w:t>
            </w:r>
          </w:p>
          <w:p w14:paraId="76026EB3">
            <w:pPr>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扫描件或复印件（正反）</w:t>
            </w:r>
          </w:p>
          <w:p w14:paraId="59A15BEA">
            <w:pPr>
              <w:jc w:val="center"/>
              <w:rPr>
                <w:rFonts w:hint="eastAsia" w:ascii="宋体" w:hAnsi="宋体" w:eastAsia="宋体" w:cs="宋体"/>
                <w:color w:val="auto"/>
                <w:spacing w:val="0"/>
                <w:sz w:val="24"/>
                <w:szCs w:val="24"/>
                <w:vertAlign w:val="baseline"/>
              </w:rPr>
            </w:pPr>
            <w:r>
              <w:rPr>
                <w:rFonts w:hint="eastAsia" w:ascii="宋体" w:hAnsi="宋体" w:eastAsia="宋体" w:cs="宋体"/>
                <w:color w:val="auto"/>
                <w:spacing w:val="0"/>
                <w:sz w:val="24"/>
                <w:szCs w:val="24"/>
              </w:rPr>
              <w:t>（本证件需直接扫描或复印，且身份证号码必须清晰，不允许</w:t>
            </w:r>
            <w:r>
              <w:rPr>
                <w:rFonts w:hint="eastAsia" w:ascii="宋体" w:hAnsi="宋体" w:eastAsia="宋体" w:cs="宋体"/>
                <w:color w:val="auto"/>
                <w:spacing w:val="0"/>
                <w:sz w:val="24"/>
                <w:szCs w:val="24"/>
                <w:lang w:val="en-US" w:eastAsia="zh-CN"/>
              </w:rPr>
              <w:t>用胶水</w:t>
            </w:r>
            <w:r>
              <w:rPr>
                <w:rFonts w:hint="eastAsia" w:ascii="宋体" w:hAnsi="宋体" w:eastAsia="宋体" w:cs="宋体"/>
                <w:color w:val="auto"/>
                <w:spacing w:val="0"/>
                <w:sz w:val="24"/>
                <w:szCs w:val="24"/>
              </w:rPr>
              <w:t>粘贴）</w:t>
            </w:r>
          </w:p>
        </w:tc>
      </w:tr>
    </w:tbl>
    <w:p w14:paraId="4422A7A8">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14:paraId="5319D0DB">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14:paraId="211FED41">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14:paraId="448AFF11">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14:paraId="67988AF7">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2F80D3FC">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14:paraId="0A30710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6DFE3F6D">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 xml:space="preserve">）                              </w:t>
      </w:r>
    </w:p>
    <w:p w14:paraId="2BEA9DB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5045F3B0">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0F2E3E1D">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57B49992">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44FDDA5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678A9141">
      <w:pPr>
        <w:keepNext w:val="0"/>
        <w:keepLines w:val="0"/>
        <w:pageBreakBefore w:val="0"/>
        <w:widowControl w:val="0"/>
        <w:kinsoku w:val="0"/>
        <w:wordWrap/>
        <w:overflowPunct w:val="0"/>
        <w:topLinePunct w:val="0"/>
        <w:autoSpaceDE w:val="0"/>
        <w:autoSpaceDN w:val="0"/>
        <w:bidi w:val="0"/>
        <w:ind w:firstLine="6720" w:firstLineChars="2800"/>
        <w:textAlignment w:val="auto"/>
        <w:rPr>
          <w:rFonts w:hint="eastAsia" w:ascii="宋体" w:hAnsi="宋体" w:eastAsia="宋体" w:cs="宋体"/>
          <w:b/>
          <w:color w:val="auto"/>
          <w:spacing w:val="0"/>
          <w:sz w:val="32"/>
          <w:szCs w:val="32"/>
        </w:rPr>
      </w:pPr>
      <w:r>
        <w:rPr>
          <w:rFonts w:hint="eastAsia" w:ascii="宋体" w:hAnsi="宋体" w:eastAsia="宋体" w:cs="宋体"/>
          <w:color w:val="auto"/>
          <w:spacing w:val="0"/>
          <w:sz w:val="24"/>
          <w:szCs w:val="24"/>
          <w:highlight w:val="none"/>
        </w:rPr>
        <w:t xml:space="preserve"> 年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日</w:t>
      </w:r>
    </w:p>
    <w:p w14:paraId="4DFF5076">
      <w:pPr>
        <w:rPr>
          <w:color w:val="auto"/>
        </w:rPr>
      </w:pPr>
      <w:r>
        <w:rPr>
          <w:color w:val="auto"/>
        </w:rPr>
        <w:br w:type="page"/>
      </w:r>
    </w:p>
    <w:p w14:paraId="413403AC">
      <w:pPr>
        <w:rPr>
          <w:rFonts w:hint="eastAsia" w:ascii="宋体" w:hAnsi="宋体" w:eastAsia="宋体" w:cs="宋体"/>
          <w:b w:val="0"/>
          <w:bCs w:val="0"/>
          <w:color w:val="auto"/>
          <w:spacing w:val="0"/>
          <w:kern w:val="2"/>
          <w:sz w:val="24"/>
          <w:szCs w:val="24"/>
          <w:lang w:val="en-US" w:eastAsia="zh-CN" w:bidi="zh-CN"/>
        </w:rPr>
      </w:pPr>
      <w:r>
        <w:rPr>
          <w:rFonts w:hint="eastAsia" w:ascii="宋体" w:hAnsi="宋体" w:eastAsia="宋体" w:cs="宋体"/>
          <w:b w:val="0"/>
          <w:bCs w:val="0"/>
          <w:color w:val="auto"/>
          <w:spacing w:val="0"/>
          <w:kern w:val="2"/>
          <w:sz w:val="24"/>
          <w:szCs w:val="24"/>
          <w:lang w:val="en-US" w:eastAsia="zh-CN" w:bidi="zh-CN"/>
        </w:rPr>
        <w:t>公告附件3：</w:t>
      </w:r>
    </w:p>
    <w:p w14:paraId="33F6C021">
      <w:pPr>
        <w:keepNext w:val="0"/>
        <w:keepLines w:val="0"/>
        <w:pageBreakBefore w:val="0"/>
        <w:widowControl w:val="0"/>
        <w:kinsoku w:val="0"/>
        <w:wordWrap/>
        <w:overflowPunct w:val="0"/>
        <w:topLinePunct w:val="0"/>
        <w:autoSpaceDE w:val="0"/>
        <w:autoSpaceDN w:val="0"/>
        <w:bidi w:val="0"/>
        <w:adjustRightInd/>
        <w:snapToGrid/>
        <w:jc w:val="center"/>
        <w:textAlignment w:val="auto"/>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lang w:val="en-US" w:eastAsia="zh-CN"/>
        </w:rPr>
        <w:t>参与磋商确认函</w:t>
      </w:r>
    </w:p>
    <w:p w14:paraId="10ACA26C">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14:paraId="44E39700">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14:paraId="4A107B99">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（供应商全称）参加贵方组织的</w:t>
      </w:r>
      <w:r>
        <w:rPr>
          <w:rFonts w:hint="eastAsia" w:ascii="宋体" w:hAnsi="宋体" w:eastAsia="宋体" w:cs="宋体"/>
          <w:color w:val="auto"/>
          <w:spacing w:val="0"/>
          <w:sz w:val="24"/>
          <w:szCs w:val="24"/>
          <w:highlight w:val="none"/>
          <w:u w:val="single"/>
        </w:rPr>
        <w:t>（项目名称）</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（项目编号）</w:t>
      </w:r>
      <w:r>
        <w:rPr>
          <w:rFonts w:hint="eastAsia" w:ascii="宋体" w:hAnsi="宋体" w:eastAsia="宋体" w:cs="宋体"/>
          <w:color w:val="auto"/>
          <w:spacing w:val="0"/>
          <w:sz w:val="24"/>
          <w:szCs w:val="24"/>
          <w:highlight w:val="none"/>
        </w:rPr>
        <w:t>竞争性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的有关活动，为此我方承诺：</w:t>
      </w:r>
    </w:p>
    <w:p w14:paraId="51F585ED">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1、已经具备《中华人民共和国政府采购法》中第二十二条中规定的条件；</w:t>
      </w:r>
    </w:p>
    <w:p w14:paraId="5E3AA95C">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2、严格遵守《中华人民共和国政府采购法》的有关规定；</w:t>
      </w:r>
    </w:p>
    <w:p w14:paraId="1DF34526">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3、愿意提供任何与本次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有关的资料、情况和技术资料。</w:t>
      </w:r>
    </w:p>
    <w:p w14:paraId="4B184D7E">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14:paraId="782187AB">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14:paraId="5DC670A3">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p>
    <w:p w14:paraId="37E72F67">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供应商全称（公章）：</w:t>
      </w:r>
    </w:p>
    <w:p w14:paraId="40070394">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法定代表人（签字或盖章）：</w:t>
      </w:r>
    </w:p>
    <w:p w14:paraId="506DA4B4">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联系人：</w:t>
      </w:r>
    </w:p>
    <w:p w14:paraId="51ABDAF5">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联系电话：</w:t>
      </w:r>
    </w:p>
    <w:p w14:paraId="2FFF1F76">
      <w:pPr>
        <w:ind w:firstLine="480" w:firstLineChars="200"/>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color w:val="auto"/>
          <w:spacing w:val="0"/>
          <w:sz w:val="24"/>
          <w:szCs w:val="24"/>
          <w:highlight w:val="none"/>
        </w:rPr>
        <w:t>日期：</w:t>
      </w:r>
      <w:r>
        <w:rPr>
          <w:rFonts w:hint="eastAsia" w:ascii="宋体" w:hAnsi="宋体" w:eastAsia="宋体" w:cs="宋体"/>
          <w:b/>
          <w:bCs w:val="0"/>
          <w:color w:val="auto"/>
          <w:spacing w:val="0"/>
          <w:kern w:val="2"/>
          <w:sz w:val="32"/>
          <w:szCs w:val="32"/>
          <w:highlight w:val="none"/>
          <w:lang w:val="en-US" w:eastAsia="zh-CN" w:bidi="ar-SA"/>
        </w:rPr>
        <w:br w:type="page"/>
      </w:r>
    </w:p>
    <w:p w14:paraId="23E456EF">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2" w:name="_Toc20184"/>
      <w:r>
        <w:rPr>
          <w:rFonts w:hint="eastAsia" w:ascii="宋体" w:hAnsi="宋体" w:eastAsia="宋体" w:cs="宋体"/>
          <w:b/>
          <w:bCs/>
          <w:spacing w:val="20"/>
          <w:sz w:val="31"/>
          <w:szCs w:val="31"/>
          <w:lang w:val="en-US" w:eastAsia="zh-CN"/>
        </w:rPr>
        <w:t>第二章 供应商须知</w:t>
      </w:r>
      <w:bookmarkEnd w:id="2"/>
    </w:p>
    <w:p w14:paraId="626D2CFA">
      <w:pPr>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一、前附表</w:t>
      </w:r>
    </w:p>
    <w:tbl>
      <w:tblPr>
        <w:tblStyle w:val="33"/>
        <w:tblW w:w="505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
        <w:gridCol w:w="2040"/>
        <w:gridCol w:w="6519"/>
      </w:tblGrid>
      <w:tr w14:paraId="12BC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41" w:type="pct"/>
            <w:vAlign w:val="center"/>
          </w:tcPr>
          <w:p w14:paraId="49CC3BE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110" w:type="pct"/>
            <w:vAlign w:val="center"/>
          </w:tcPr>
          <w:p w14:paraId="75E31C5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条款名称</w:t>
            </w:r>
          </w:p>
        </w:tc>
        <w:tc>
          <w:tcPr>
            <w:tcW w:w="3548" w:type="pct"/>
            <w:vAlign w:val="center"/>
          </w:tcPr>
          <w:p w14:paraId="25E3DEE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内容及要求</w:t>
            </w:r>
          </w:p>
        </w:tc>
      </w:tr>
      <w:tr w14:paraId="496D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5538A4E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10" w:type="pct"/>
            <w:vAlign w:val="center"/>
          </w:tcPr>
          <w:p w14:paraId="39F53A8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划分采购包情况</w:t>
            </w:r>
          </w:p>
        </w:tc>
        <w:tc>
          <w:tcPr>
            <w:tcW w:w="3548" w:type="pct"/>
            <w:vAlign w:val="center"/>
          </w:tcPr>
          <w:p w14:paraId="4B86BDA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共1包</w:t>
            </w:r>
          </w:p>
        </w:tc>
      </w:tr>
      <w:tr w14:paraId="5E3B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2F53AD7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110" w:type="pct"/>
            <w:vAlign w:val="center"/>
          </w:tcPr>
          <w:p w14:paraId="0F91E23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采购方式</w:t>
            </w:r>
          </w:p>
        </w:tc>
        <w:tc>
          <w:tcPr>
            <w:tcW w:w="3548" w:type="pct"/>
            <w:vAlign w:val="center"/>
          </w:tcPr>
          <w:p w14:paraId="51F99D2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竞争性磋商</w:t>
            </w:r>
          </w:p>
        </w:tc>
      </w:tr>
      <w:tr w14:paraId="6246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02B407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110" w:type="pct"/>
            <w:vAlign w:val="center"/>
          </w:tcPr>
          <w:p w14:paraId="1BCE7C2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开</w:t>
            </w:r>
            <w:r>
              <w:rPr>
                <w:rFonts w:hint="eastAsia" w:ascii="宋体" w:hAnsi="宋体" w:eastAsia="宋体" w:cs="宋体"/>
                <w:sz w:val="24"/>
                <w:szCs w:val="24"/>
                <w:lang w:val="en-US" w:eastAsia="zh-CN"/>
              </w:rPr>
              <w:t>标</w:t>
            </w:r>
            <w:r>
              <w:rPr>
                <w:rFonts w:hint="eastAsia" w:ascii="宋体" w:hAnsi="宋体" w:eastAsia="宋体" w:cs="宋体"/>
                <w:sz w:val="24"/>
                <w:szCs w:val="24"/>
              </w:rPr>
              <w:t>方式</w:t>
            </w:r>
          </w:p>
        </w:tc>
        <w:tc>
          <w:tcPr>
            <w:tcW w:w="3548" w:type="pct"/>
            <w:vAlign w:val="center"/>
          </w:tcPr>
          <w:p w14:paraId="43A81C6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现场</w:t>
            </w:r>
            <w:r>
              <w:rPr>
                <w:rFonts w:hint="eastAsia" w:ascii="宋体" w:hAnsi="宋体" w:eastAsia="宋体" w:cs="宋体"/>
                <w:sz w:val="24"/>
                <w:szCs w:val="24"/>
              </w:rPr>
              <w:t>开标</w:t>
            </w:r>
          </w:p>
        </w:tc>
      </w:tr>
      <w:tr w14:paraId="0ED9A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356CBAC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110" w:type="pct"/>
            <w:vAlign w:val="center"/>
          </w:tcPr>
          <w:p w14:paraId="49450D4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评审方式</w:t>
            </w:r>
          </w:p>
        </w:tc>
        <w:tc>
          <w:tcPr>
            <w:tcW w:w="3548" w:type="pct"/>
            <w:vAlign w:val="center"/>
          </w:tcPr>
          <w:p w14:paraId="7B993EB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现场评标</w:t>
            </w:r>
          </w:p>
        </w:tc>
      </w:tr>
      <w:tr w14:paraId="2E6F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02602DB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110" w:type="pct"/>
            <w:vAlign w:val="center"/>
          </w:tcPr>
          <w:p w14:paraId="6851DE9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3548" w:type="pct"/>
            <w:vAlign w:val="center"/>
          </w:tcPr>
          <w:p w14:paraId="190D8FA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综合评分法</w:t>
            </w:r>
          </w:p>
        </w:tc>
      </w:tr>
      <w:tr w14:paraId="50B62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0338D9F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110" w:type="pct"/>
            <w:vAlign w:val="center"/>
          </w:tcPr>
          <w:p w14:paraId="26F871F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获取磋商文件时间</w:t>
            </w:r>
          </w:p>
        </w:tc>
        <w:tc>
          <w:tcPr>
            <w:tcW w:w="3548" w:type="pct"/>
            <w:vAlign w:val="center"/>
          </w:tcPr>
          <w:p w14:paraId="7EEB536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详见竞争性磋商公告</w:t>
            </w:r>
          </w:p>
        </w:tc>
      </w:tr>
      <w:tr w14:paraId="15B3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7BE42BE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110" w:type="pct"/>
            <w:vAlign w:val="center"/>
          </w:tcPr>
          <w:p w14:paraId="1ECD7C8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响应文件数量</w:t>
            </w:r>
          </w:p>
        </w:tc>
        <w:tc>
          <w:tcPr>
            <w:tcW w:w="3548" w:type="pct"/>
            <w:vAlign w:val="center"/>
          </w:tcPr>
          <w:p w14:paraId="5732F11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rPr>
            </w:pPr>
            <w:r>
              <w:rPr>
                <w:rFonts w:hint="eastAsia" w:ascii="宋体" w:hAnsi="宋体" w:eastAsia="宋体" w:cs="宋体"/>
                <w:snapToGrid w:val="0"/>
                <w:color w:val="000000"/>
                <w:kern w:val="0"/>
                <w:sz w:val="24"/>
                <w:szCs w:val="21"/>
                <w:lang w:val="en-US" w:eastAsia="zh-CN"/>
              </w:rPr>
              <w:t>纸质响应文件一式三份（一正二副），正本中所有页面必须加盖供应商公章，正本的复印件可以作为副本。若副本与正本不符，以正本为准。</w:t>
            </w:r>
          </w:p>
        </w:tc>
      </w:tr>
      <w:tr w14:paraId="5478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5B5716F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110" w:type="pct"/>
            <w:vAlign w:val="center"/>
          </w:tcPr>
          <w:p w14:paraId="491C13C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确定</w:t>
            </w:r>
          </w:p>
        </w:tc>
        <w:tc>
          <w:tcPr>
            <w:tcW w:w="3548" w:type="pct"/>
            <w:vAlign w:val="center"/>
          </w:tcPr>
          <w:p w14:paraId="0FAB1A3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采购人按照评审报告中推荐的成交候选人确定成交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w:t>
            </w:r>
          </w:p>
        </w:tc>
      </w:tr>
      <w:tr w14:paraId="0A50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7671AFA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110" w:type="pct"/>
            <w:vAlign w:val="center"/>
          </w:tcPr>
          <w:p w14:paraId="2F7DBC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联合体响应</w:t>
            </w:r>
          </w:p>
        </w:tc>
        <w:tc>
          <w:tcPr>
            <w:tcW w:w="3548" w:type="pct"/>
            <w:vAlign w:val="center"/>
          </w:tcPr>
          <w:p w14:paraId="2D18EE6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不接受</w:t>
            </w:r>
          </w:p>
        </w:tc>
      </w:tr>
      <w:tr w14:paraId="7DDA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7EBEAD9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10" w:type="pct"/>
            <w:vAlign w:val="center"/>
          </w:tcPr>
          <w:p w14:paraId="271F455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磋商保证金</w:t>
            </w:r>
          </w:p>
        </w:tc>
        <w:tc>
          <w:tcPr>
            <w:tcW w:w="3548" w:type="pct"/>
            <w:vAlign w:val="center"/>
          </w:tcPr>
          <w:p w14:paraId="0B13D23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不收取</w:t>
            </w:r>
          </w:p>
        </w:tc>
      </w:tr>
      <w:tr w14:paraId="533D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010E49D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10" w:type="pct"/>
            <w:vAlign w:val="center"/>
          </w:tcPr>
          <w:p w14:paraId="6C2DFE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采购代理机构代理费用</w:t>
            </w:r>
          </w:p>
        </w:tc>
        <w:tc>
          <w:tcPr>
            <w:tcW w:w="3548" w:type="pct"/>
            <w:vAlign w:val="center"/>
          </w:tcPr>
          <w:p w14:paraId="6F8C91F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收取</w:t>
            </w:r>
          </w:p>
        </w:tc>
      </w:tr>
      <w:tr w14:paraId="0CE8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7" w:type="dxa"/>
            <w:vAlign w:val="center"/>
          </w:tcPr>
          <w:p w14:paraId="1A9AB383">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napToGrid w:val="0"/>
                <w:color w:val="auto"/>
                <w:kern w:val="0"/>
                <w:sz w:val="24"/>
                <w:szCs w:val="21"/>
                <w:highlight w:val="none"/>
                <w:lang w:val="en-US" w:eastAsia="zh-CN"/>
              </w:rPr>
              <w:t>12</w:t>
            </w:r>
          </w:p>
        </w:tc>
        <w:tc>
          <w:tcPr>
            <w:tcW w:w="2038" w:type="dxa"/>
            <w:vAlign w:val="center"/>
          </w:tcPr>
          <w:p w14:paraId="107494D9">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rPr>
              <w:t>代理费用收取方式</w:t>
            </w:r>
          </w:p>
        </w:tc>
        <w:tc>
          <w:tcPr>
            <w:tcW w:w="6513" w:type="dxa"/>
            <w:vAlign w:val="center"/>
          </w:tcPr>
          <w:p w14:paraId="77D15325">
            <w:pPr>
              <w:keepNext w:val="0"/>
              <w:keepLines w:val="0"/>
              <w:pageBreakBefore w:val="0"/>
              <w:widowControl w:val="0"/>
              <w:kinsoku/>
              <w:wordWrap w:val="0"/>
              <w:overflowPunct/>
              <w:topLinePunct/>
              <w:autoSpaceDE/>
              <w:autoSpaceDN/>
              <w:bidi w:val="0"/>
              <w:adjustRightInd/>
              <w:snapToGrid/>
              <w:spacing w:line="480" w:lineRule="exact"/>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shd w:val="clear"/>
                <w:lang w:val="en-US" w:eastAsia="zh-CN"/>
              </w:rPr>
              <w:t>向采购人收取</w:t>
            </w:r>
          </w:p>
        </w:tc>
      </w:tr>
      <w:tr w14:paraId="1C4F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7" w:type="dxa"/>
            <w:vAlign w:val="center"/>
          </w:tcPr>
          <w:p w14:paraId="4326CCFC">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napToGrid w:val="0"/>
                <w:color w:val="auto"/>
                <w:kern w:val="0"/>
                <w:sz w:val="24"/>
                <w:szCs w:val="21"/>
                <w:highlight w:val="none"/>
              </w:rPr>
              <w:t>1</w:t>
            </w:r>
            <w:r>
              <w:rPr>
                <w:rFonts w:hint="eastAsia" w:ascii="宋体" w:hAnsi="宋体" w:eastAsia="宋体" w:cs="宋体"/>
                <w:snapToGrid w:val="0"/>
                <w:color w:val="auto"/>
                <w:kern w:val="0"/>
                <w:sz w:val="24"/>
                <w:szCs w:val="21"/>
                <w:highlight w:val="none"/>
                <w:lang w:val="en-US" w:eastAsia="zh-CN"/>
              </w:rPr>
              <w:t>3</w:t>
            </w:r>
          </w:p>
        </w:tc>
        <w:tc>
          <w:tcPr>
            <w:tcW w:w="2038" w:type="dxa"/>
            <w:vAlign w:val="center"/>
          </w:tcPr>
          <w:p w14:paraId="38FCDBD3">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rPr>
              <w:t>代理费用收取标准</w:t>
            </w:r>
          </w:p>
        </w:tc>
        <w:tc>
          <w:tcPr>
            <w:tcW w:w="6513" w:type="dxa"/>
            <w:vAlign w:val="center"/>
          </w:tcPr>
          <w:p w14:paraId="510D4C08">
            <w:pPr>
              <w:keepNext w:val="0"/>
              <w:keepLines w:val="0"/>
              <w:pageBreakBefore w:val="0"/>
              <w:widowControl w:val="0"/>
              <w:kinsoku/>
              <w:wordWrap w:val="0"/>
              <w:overflowPunct/>
              <w:topLinePunct/>
              <w:autoSpaceDE/>
              <w:autoSpaceDN/>
              <w:bidi w:val="0"/>
              <w:adjustRightInd/>
              <w:snapToGrid/>
              <w:spacing w:line="480" w:lineRule="exact"/>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auto"/>
                <w:kern w:val="0"/>
                <w:sz w:val="24"/>
                <w:szCs w:val="21"/>
                <w:highlight w:val="none"/>
                <w:lang w:val="en-US" w:eastAsia="zh-CN"/>
              </w:rPr>
              <w:t>3800.00元</w:t>
            </w:r>
          </w:p>
        </w:tc>
      </w:tr>
      <w:tr w14:paraId="15C9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145073B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110" w:type="pct"/>
            <w:vAlign w:val="center"/>
          </w:tcPr>
          <w:p w14:paraId="0AABF67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是否专门面向中小企业采购</w:t>
            </w:r>
          </w:p>
        </w:tc>
        <w:tc>
          <w:tcPr>
            <w:tcW w:w="3548" w:type="pct"/>
            <w:vAlign w:val="center"/>
          </w:tcPr>
          <w:p w14:paraId="77A1641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非专门面向中小企业采购</w:t>
            </w:r>
          </w:p>
        </w:tc>
      </w:tr>
      <w:tr w14:paraId="6AEA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5BFF72F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110" w:type="pct"/>
            <w:vAlign w:val="center"/>
          </w:tcPr>
          <w:p w14:paraId="50B13AB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有效供应商家数</w:t>
            </w:r>
          </w:p>
        </w:tc>
        <w:tc>
          <w:tcPr>
            <w:tcW w:w="3548" w:type="pct"/>
            <w:vAlign w:val="center"/>
          </w:tcPr>
          <w:p w14:paraId="0E77C1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此数约定了开标与评标过程中的最低有效供应商家数，当家数不足时项目将不得开标、评标或直接废标；文件中其他描述若与此规定矛盾以此为准。</w:t>
            </w:r>
            <w:r>
              <w:rPr>
                <w:rFonts w:hint="eastAsia" w:ascii="宋体" w:hAnsi="宋体" w:eastAsia="宋体" w:cs="宋体"/>
                <w:sz w:val="24"/>
                <w:szCs w:val="24"/>
                <w:lang w:eastAsia="zh-CN"/>
              </w:rPr>
              <w:t>）</w:t>
            </w:r>
          </w:p>
        </w:tc>
      </w:tr>
      <w:tr w14:paraId="5FD37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77822DD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110" w:type="pct"/>
            <w:vAlign w:val="center"/>
          </w:tcPr>
          <w:p w14:paraId="3CA01B5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报价形式</w:t>
            </w:r>
          </w:p>
        </w:tc>
        <w:tc>
          <w:tcPr>
            <w:tcW w:w="3548" w:type="pct"/>
            <w:vAlign w:val="center"/>
          </w:tcPr>
          <w:p w14:paraId="7E39EEC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总价</w:t>
            </w:r>
          </w:p>
        </w:tc>
      </w:tr>
      <w:tr w14:paraId="6425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7A1A114E">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110" w:type="pct"/>
            <w:vAlign w:val="center"/>
          </w:tcPr>
          <w:p w14:paraId="1B2DD93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现场考察</w:t>
            </w:r>
          </w:p>
        </w:tc>
        <w:tc>
          <w:tcPr>
            <w:tcW w:w="3548" w:type="pct"/>
            <w:vAlign w:val="center"/>
          </w:tcPr>
          <w:p w14:paraId="3962770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否</w:t>
            </w:r>
          </w:p>
        </w:tc>
      </w:tr>
      <w:tr w14:paraId="7DAF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1" w:type="pct"/>
            <w:vAlign w:val="center"/>
          </w:tcPr>
          <w:p w14:paraId="65D1324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10" w:type="pct"/>
            <w:vAlign w:val="center"/>
          </w:tcPr>
          <w:p w14:paraId="457AEEF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w:t>
            </w:r>
          </w:p>
        </w:tc>
        <w:tc>
          <w:tcPr>
            <w:tcW w:w="3548" w:type="pct"/>
            <w:vAlign w:val="center"/>
          </w:tcPr>
          <w:p w14:paraId="312816C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1、包封要求：</w:t>
            </w:r>
          </w:p>
          <w:p w14:paraId="4839BCC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将纸质响应文件包封在一起，并在封面上注明供应商名称、项目名称、项目编号等。</w:t>
            </w:r>
          </w:p>
          <w:p w14:paraId="4E25AA5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2、开标要求：如为法定代表人开标，则携带法定代表人身份证明及法定代表人身份证原件；如为委托代理人开标，则携带授权委托书及委托代理人身份证原件。不符合以上要求，按无效标处理。‌</w:t>
            </w:r>
          </w:p>
        </w:tc>
      </w:tr>
    </w:tbl>
    <w:p w14:paraId="2A164953">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二、说明</w:t>
      </w:r>
    </w:p>
    <w:p w14:paraId="3A1A6203">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1.总则</w:t>
      </w:r>
    </w:p>
    <w:p w14:paraId="7F126CF5">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本磋商文件依据《中华人民共和国政府采购法》《中华人民共和国政府采购法实施条例》和《政府采购竞争性磋商采购方式管理暂行办法》及国家和自治区有关法律、法规、规章制度编制。</w:t>
      </w:r>
    </w:p>
    <w:p w14:paraId="6935F809">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供应商应仔细阅读本项目信息公告及</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的所有内容（包括澄清或者修改），按照</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要求以及格式编制响应文件，并保证其真实性，否则一切后果自负。</w:t>
      </w:r>
    </w:p>
    <w:p w14:paraId="14D24523">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2.适用范围</w:t>
      </w:r>
    </w:p>
    <w:p w14:paraId="0D5C0AFF">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仅适用于本次</w:t>
      </w:r>
      <w:r>
        <w:rPr>
          <w:rFonts w:hint="eastAsia" w:ascii="宋体" w:hAnsi="宋体" w:eastAsia="宋体" w:cs="宋体"/>
          <w:b w:val="0"/>
          <w:bCs w:val="0"/>
          <w:color w:val="auto"/>
          <w:spacing w:val="0"/>
          <w:sz w:val="24"/>
          <w:szCs w:val="24"/>
          <w:highlight w:val="none"/>
          <w:lang w:val="en-US" w:eastAsia="zh-CN"/>
        </w:rPr>
        <w:t>磋商邀请</w:t>
      </w:r>
      <w:r>
        <w:rPr>
          <w:rFonts w:hint="default" w:ascii="宋体" w:hAnsi="宋体" w:eastAsia="宋体" w:cs="宋体"/>
          <w:b w:val="0"/>
          <w:bCs w:val="0"/>
          <w:color w:val="auto"/>
          <w:spacing w:val="0"/>
          <w:sz w:val="24"/>
          <w:szCs w:val="24"/>
          <w:highlight w:val="none"/>
          <w:lang w:val="en-US" w:eastAsia="zh-CN"/>
        </w:rPr>
        <w:t>中所涉及的项目和内容。</w:t>
      </w:r>
    </w:p>
    <w:p w14:paraId="5F3566D2">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3.相关费用</w:t>
      </w:r>
    </w:p>
    <w:p w14:paraId="1AF09EBC">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供应商应承担所有与准备和参加</w:t>
      </w:r>
      <w:r>
        <w:rPr>
          <w:rFonts w:hint="eastAsia" w:ascii="宋体" w:hAnsi="宋体" w:eastAsia="宋体" w:cs="宋体"/>
          <w:b w:val="0"/>
          <w:bCs w:val="0"/>
          <w:color w:val="auto"/>
          <w:spacing w:val="0"/>
          <w:sz w:val="24"/>
          <w:szCs w:val="24"/>
          <w:highlight w:val="none"/>
          <w:lang w:val="en-US" w:eastAsia="zh-CN"/>
        </w:rPr>
        <w:t>磋商</w:t>
      </w:r>
      <w:r>
        <w:rPr>
          <w:rFonts w:hint="default" w:ascii="宋体" w:hAnsi="宋体" w:eastAsia="宋体" w:cs="宋体"/>
          <w:b w:val="0"/>
          <w:bCs w:val="0"/>
          <w:color w:val="auto"/>
          <w:spacing w:val="0"/>
          <w:sz w:val="24"/>
          <w:szCs w:val="24"/>
          <w:highlight w:val="none"/>
          <w:lang w:val="en-US" w:eastAsia="zh-CN"/>
        </w:rPr>
        <w:t>有关的费用。不论</w:t>
      </w:r>
      <w:r>
        <w:rPr>
          <w:rFonts w:hint="eastAsia" w:ascii="宋体" w:hAnsi="宋体" w:eastAsia="宋体" w:cs="宋体"/>
          <w:b w:val="0"/>
          <w:bCs w:val="0"/>
          <w:color w:val="auto"/>
          <w:spacing w:val="0"/>
          <w:sz w:val="24"/>
          <w:szCs w:val="24"/>
          <w:highlight w:val="none"/>
          <w:lang w:val="en-US" w:eastAsia="zh-CN"/>
        </w:rPr>
        <w:t>磋商</w:t>
      </w:r>
      <w:r>
        <w:rPr>
          <w:rFonts w:hint="default" w:ascii="宋体" w:hAnsi="宋体" w:eastAsia="宋体" w:cs="宋体"/>
          <w:b w:val="0"/>
          <w:bCs w:val="0"/>
          <w:color w:val="auto"/>
          <w:spacing w:val="0"/>
          <w:sz w:val="24"/>
          <w:szCs w:val="24"/>
          <w:highlight w:val="none"/>
          <w:lang w:val="en-US" w:eastAsia="zh-CN"/>
        </w:rPr>
        <w:t>结果如何，采购人或采购代理机构均无义务和责任承担相关费用。</w:t>
      </w:r>
    </w:p>
    <w:p w14:paraId="40B45053">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4.各参与方</w:t>
      </w:r>
    </w:p>
    <w:p w14:paraId="3AA493B6">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4.1“采购人”是指依法进行政府采购的国家机关、事业单位、团体组织。本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的采购人特指</w:t>
      </w:r>
      <w:r>
        <w:rPr>
          <w:rFonts w:hint="eastAsia" w:ascii="宋体" w:hAnsi="宋体" w:eastAsia="宋体" w:cs="宋体"/>
          <w:i w:val="0"/>
          <w:iCs w:val="0"/>
          <w:caps w:val="0"/>
          <w:color w:val="000000"/>
          <w:spacing w:val="0"/>
          <w:sz w:val="24"/>
          <w:szCs w:val="24"/>
          <w:highlight w:val="none"/>
          <w:shd w:val="clear" w:fill="FFFFFF"/>
          <w:lang w:val="en-US" w:eastAsia="zh-CN"/>
        </w:rPr>
        <w:t>赤峰市生态环境局元宝山区分局</w:t>
      </w:r>
      <w:r>
        <w:rPr>
          <w:rFonts w:hint="default" w:ascii="宋体" w:hAnsi="宋体" w:eastAsia="宋体" w:cs="宋体"/>
          <w:b w:val="0"/>
          <w:bCs w:val="0"/>
          <w:color w:val="auto"/>
          <w:spacing w:val="0"/>
          <w:sz w:val="24"/>
          <w:szCs w:val="24"/>
          <w:highlight w:val="none"/>
          <w:lang w:val="en-US" w:eastAsia="zh-CN"/>
        </w:rPr>
        <w:t>。</w:t>
      </w:r>
    </w:p>
    <w:p w14:paraId="5EA859CA">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4.2“采购代理机构”是指集中采购机构和集中采购机构以外的采购代理机构。本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的采购代理机构特指赤峰天利和工程咨询有限公司。</w:t>
      </w:r>
    </w:p>
    <w:p w14:paraId="36A6D619">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4.3“供应商”是指向采购人提供货物、工程或者服务的法人、其他组织或者自然人。</w:t>
      </w:r>
    </w:p>
    <w:p w14:paraId="406EEBA4">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4</w:t>
      </w:r>
      <w:r>
        <w:rPr>
          <w:rFonts w:hint="default" w:ascii="宋体" w:hAnsi="宋体" w:eastAsia="宋体" w:cs="宋体"/>
          <w:b w:val="0"/>
          <w:bCs w:val="0"/>
          <w:color w:val="auto"/>
          <w:spacing w:val="0"/>
          <w:sz w:val="24"/>
          <w:szCs w:val="24"/>
          <w:highlight w:val="none"/>
          <w:lang w:val="en-US" w:eastAsia="zh-CN"/>
        </w:rPr>
        <w:t>“成交供应商”是指取得与采购人签订合同资格的供应商。</w:t>
      </w:r>
    </w:p>
    <w:p w14:paraId="557746E0">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5.合格的供应商</w:t>
      </w:r>
    </w:p>
    <w:p w14:paraId="6B53D1DC">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5.1符合本</w:t>
      </w:r>
      <w:r>
        <w:rPr>
          <w:rFonts w:hint="eastAsia" w:ascii="宋体" w:hAnsi="宋体" w:eastAsia="宋体" w:cs="宋体"/>
          <w:b w:val="0"/>
          <w:bCs w:val="0"/>
          <w:color w:val="auto"/>
          <w:spacing w:val="0"/>
          <w:sz w:val="24"/>
          <w:szCs w:val="24"/>
          <w:highlight w:val="none"/>
          <w:lang w:val="en-US" w:eastAsia="zh-CN"/>
        </w:rPr>
        <w:t>磋商文件</w:t>
      </w:r>
      <w:r>
        <w:rPr>
          <w:rFonts w:hint="default" w:ascii="宋体" w:hAnsi="宋体" w:eastAsia="宋体" w:cs="宋体"/>
          <w:b w:val="0"/>
          <w:bCs w:val="0"/>
          <w:color w:val="auto"/>
          <w:spacing w:val="0"/>
          <w:sz w:val="24"/>
          <w:szCs w:val="24"/>
          <w:highlight w:val="none"/>
          <w:lang w:val="en-US" w:eastAsia="zh-CN"/>
        </w:rPr>
        <w:t>规定的资格要求，并按照要求提供相关证明材料。</w:t>
      </w:r>
    </w:p>
    <w:p w14:paraId="590C1B0E">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5.2单位负责人为同一人或者存在直接控股、管理关系的不同供应商，不得参加同一合同项下的政府采购活动。</w:t>
      </w:r>
    </w:p>
    <w:p w14:paraId="1A06CC5B">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5.3为采购项目提供整体设计、规范编制或者项目管理、监理、检测等服务的供应商，不得再参加该采购项目的其他采购活动。</w:t>
      </w:r>
    </w:p>
    <w:p w14:paraId="6035F4E1">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6.以联合体形式进行政府采购的，应符合以下规定：</w:t>
      </w:r>
    </w:p>
    <w:p w14:paraId="0AE79E4B">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6.1联合体各方应签订联合体协议书，明确联合体牵头人和各方权利义务，并作为响应文件组成部分。</w:t>
      </w:r>
    </w:p>
    <w:p w14:paraId="1DDE6E7A">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6.2联合体各方均应当具备《中华人民共和国政府采购法》第二十二条规定的条件，并在响应文件中提供联合体各方的相关证明材料。</w:t>
      </w:r>
    </w:p>
    <w:p w14:paraId="548B52D1">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6.3联合体成员存在不良信用记录的，视同联合体存在不良信用记录。</w:t>
      </w:r>
    </w:p>
    <w:p w14:paraId="7352FB79">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6.4联合体中有同类资质的供应商按照联合体分工承担相同工作的，应当按照资质等级较低的供应商确定资质等级。</w:t>
      </w:r>
    </w:p>
    <w:p w14:paraId="1BF22E07">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6.5以联合体形式参加政府采购活动的，联合体各方不得再单独参加或者与其他供应商另外组成联合体参加同一合同项下的政府采购活动。</w:t>
      </w:r>
    </w:p>
    <w:p w14:paraId="400EFCDF">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6.6联合体各方应当共同与采购人签订采购合同，就合同约定的事项对采购人承担连带责任。</w:t>
      </w:r>
    </w:p>
    <w:p w14:paraId="3D211365">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6.7如要求缴纳保证金，以联合体牵头人名义缴纳，对联合体各方均具有约束力。</w:t>
      </w:r>
    </w:p>
    <w:p w14:paraId="2425F467">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7.语言文字以及计量单位</w:t>
      </w:r>
    </w:p>
    <w:p w14:paraId="10B94F16">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7.1所有文件使用的语言文字为简体中文。专用术语使用外文的，应附有简体中文注释，否则视为无效。</w:t>
      </w:r>
    </w:p>
    <w:p w14:paraId="14E60CEA">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7.2所有计量均采用中华人民共和国法定的计量单位。</w:t>
      </w:r>
    </w:p>
    <w:p w14:paraId="18A174EC">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7.3所有报价一律使用人民币，货币单位：元。</w:t>
      </w:r>
    </w:p>
    <w:p w14:paraId="7085E4BE">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8.其他条款</w:t>
      </w:r>
    </w:p>
    <w:p w14:paraId="70512058">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480" w:lineRule="exact"/>
        <w:ind w:left="0" w:leftChars="0" w:right="0" w:rightChars="0" w:firstLine="480" w:firstLineChars="200"/>
        <w:jc w:val="left"/>
        <w:textAlignment w:val="auto"/>
        <w:outlineLvl w:val="9"/>
        <w:rPr>
          <w:rFonts w:hint="default" w:ascii="宋体" w:hAnsi="宋体" w:eastAsia="宋体" w:cs="宋体"/>
          <w:b w:val="0"/>
          <w:bCs w:val="0"/>
          <w:color w:val="auto"/>
          <w:spacing w:val="0"/>
          <w:sz w:val="24"/>
          <w:szCs w:val="24"/>
          <w:highlight w:val="none"/>
          <w:lang w:val="en-US" w:eastAsia="zh-CN"/>
        </w:rPr>
      </w:pPr>
      <w:r>
        <w:rPr>
          <w:rFonts w:hint="default" w:ascii="宋体" w:hAnsi="宋体" w:eastAsia="宋体" w:cs="宋体"/>
          <w:b w:val="0"/>
          <w:bCs w:val="0"/>
          <w:color w:val="auto"/>
          <w:spacing w:val="0"/>
          <w:sz w:val="24"/>
          <w:szCs w:val="24"/>
          <w:highlight w:val="none"/>
          <w:lang w:val="en-US" w:eastAsia="zh-CN"/>
        </w:rPr>
        <w:t>无论成交与否供应商递交的响应文件均不予退还。</w:t>
      </w:r>
    </w:p>
    <w:p w14:paraId="06737441">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520" w:lineRule="exact"/>
        <w:ind w:left="0" w:leftChars="0" w:right="0" w:rightChars="0" w:firstLine="482" w:firstLineChars="200"/>
        <w:jc w:val="left"/>
        <w:textAlignment w:val="auto"/>
        <w:outlineLvl w:val="9"/>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三、磋商须知</w:t>
      </w:r>
    </w:p>
    <w:p w14:paraId="059559FD">
      <w:pPr>
        <w:keepNext w:val="0"/>
        <w:keepLines w:val="0"/>
        <w:pageBreakBefore w:val="0"/>
        <w:widowControl w:val="0"/>
        <w:numPr>
          <w:ilvl w:val="0"/>
          <w:numId w:val="0"/>
        </w:numPr>
        <w:tabs>
          <w:tab w:val="left" w:pos="954"/>
        </w:tabs>
        <w:kinsoku/>
        <w:wordWrap w:val="0"/>
        <w:overflowPunct/>
        <w:topLinePunct/>
        <w:autoSpaceDE/>
        <w:autoSpaceDN/>
        <w:bidi w:val="0"/>
        <w:adjustRightInd/>
        <w:snapToGrid/>
        <w:spacing w:before="0" w:line="520"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适用范围</w:t>
      </w:r>
    </w:p>
    <w:p w14:paraId="775448B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此次组织的采购活动</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其全部资金已经</w:t>
      </w:r>
      <w:r>
        <w:rPr>
          <w:rFonts w:hint="eastAsia" w:ascii="宋体" w:hAnsi="宋体" w:eastAsia="宋体" w:cs="宋体"/>
          <w:color w:val="auto"/>
          <w:spacing w:val="0"/>
          <w:sz w:val="24"/>
          <w:szCs w:val="24"/>
          <w:highlight w:val="none"/>
          <w:lang w:val="en-US" w:eastAsia="zh-CN"/>
        </w:rPr>
        <w:t>到位</w:t>
      </w:r>
      <w:r>
        <w:rPr>
          <w:rFonts w:hint="eastAsia" w:ascii="宋体" w:hAnsi="宋体" w:eastAsia="宋体" w:cs="宋体"/>
          <w:color w:val="auto"/>
          <w:spacing w:val="0"/>
          <w:sz w:val="24"/>
          <w:szCs w:val="24"/>
          <w:highlight w:val="none"/>
        </w:rPr>
        <w:t>并计划将这部分资金用于支付此次</w:t>
      </w:r>
      <w:r>
        <w:rPr>
          <w:rFonts w:hint="eastAsia" w:ascii="宋体" w:hAnsi="宋体" w:eastAsia="宋体" w:cs="宋体"/>
          <w:color w:val="auto"/>
          <w:spacing w:val="0"/>
          <w:sz w:val="24"/>
          <w:szCs w:val="24"/>
          <w:highlight w:val="none"/>
          <w:lang w:val="en-US" w:eastAsia="zh-CN"/>
        </w:rPr>
        <w:t>采购活动</w:t>
      </w:r>
      <w:r>
        <w:rPr>
          <w:rFonts w:hint="eastAsia" w:ascii="宋体" w:hAnsi="宋体" w:eastAsia="宋体" w:cs="宋体"/>
          <w:color w:val="auto"/>
          <w:spacing w:val="0"/>
          <w:sz w:val="24"/>
          <w:szCs w:val="24"/>
          <w:highlight w:val="none"/>
        </w:rPr>
        <w:t>所签订的政府采购合同。</w:t>
      </w:r>
    </w:p>
    <w:p w14:paraId="7694AF2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2</w:t>
      </w:r>
      <w:r>
        <w:rPr>
          <w:rFonts w:hint="eastAsia" w:ascii="宋体" w:hAnsi="宋体" w:eastAsia="宋体" w:cs="宋体"/>
          <w:b/>
          <w:color w:val="auto"/>
          <w:spacing w:val="0"/>
          <w:sz w:val="24"/>
          <w:szCs w:val="24"/>
          <w:highlight w:val="none"/>
        </w:rPr>
        <w:t>.</w:t>
      </w:r>
      <w:r>
        <w:rPr>
          <w:rFonts w:hint="eastAsia" w:ascii="宋体" w:hAnsi="宋体" w:eastAsia="宋体" w:cs="宋体"/>
          <w:b/>
          <w:color w:val="auto"/>
          <w:spacing w:val="0"/>
          <w:sz w:val="24"/>
          <w:szCs w:val="24"/>
          <w:highlight w:val="none"/>
          <w:lang w:val="en-US" w:eastAsia="zh-CN"/>
        </w:rPr>
        <w:t>项目</w:t>
      </w:r>
      <w:r>
        <w:rPr>
          <w:rFonts w:hint="eastAsia" w:ascii="宋体" w:hAnsi="宋体" w:eastAsia="宋体" w:cs="宋体"/>
          <w:b/>
          <w:color w:val="auto"/>
          <w:spacing w:val="0"/>
          <w:sz w:val="24"/>
          <w:szCs w:val="24"/>
          <w:highlight w:val="none"/>
        </w:rPr>
        <w:t>履约保证金</w:t>
      </w:r>
    </w:p>
    <w:p w14:paraId="148C8507">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履约保证金：</w:t>
      </w:r>
      <w:r>
        <w:rPr>
          <w:rFonts w:hint="eastAsia" w:ascii="宋体" w:hAnsi="宋体" w:eastAsia="宋体" w:cs="宋体"/>
          <w:color w:val="auto"/>
          <w:spacing w:val="0"/>
          <w:sz w:val="24"/>
          <w:szCs w:val="24"/>
          <w:highlight w:val="none"/>
          <w:lang w:val="en-US" w:eastAsia="zh-CN"/>
        </w:rPr>
        <w:t>不收取</w:t>
      </w:r>
    </w:p>
    <w:p w14:paraId="4CE1C978">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jc w:val="both"/>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磋商方式</w:t>
      </w:r>
    </w:p>
    <w:p w14:paraId="4DC43898">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jc w:val="both"/>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磋商小组所有成员应当集中与单一供应商分别进行磋商，并给予所有参与磋商的供应商平等的磋商机会。</w:t>
      </w:r>
    </w:p>
    <w:p w14:paraId="44508145">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jc w:val="both"/>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rPr>
        <w:t>响应文件组成</w:t>
      </w:r>
    </w:p>
    <w:p w14:paraId="4BAFD3E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响应文件应按照磋商文件第七章“响应文件格式与要求”进行编写，可以增加附页，并作为响应文件的组成部分。</w:t>
      </w:r>
    </w:p>
    <w:p w14:paraId="7E7E3E2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磋商内容及说明</w:t>
      </w:r>
    </w:p>
    <w:p w14:paraId="6306C59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5.1 </w:t>
      </w:r>
      <w:r>
        <w:rPr>
          <w:rFonts w:hint="eastAsia" w:ascii="宋体" w:hAnsi="宋体" w:eastAsia="宋体" w:cs="宋体"/>
          <w:color w:val="auto"/>
          <w:spacing w:val="0"/>
          <w:sz w:val="24"/>
          <w:szCs w:val="24"/>
          <w:highlight w:val="none"/>
        </w:rPr>
        <w:t>获取竞争性磋商文件的供应商应认真阅读竞争性磋商文件的所有内容，按照“响应文件组成”规定的内容编制完整的响应文件。</w:t>
      </w:r>
    </w:p>
    <w:p w14:paraId="1BC45D79">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5.2 </w:t>
      </w:r>
      <w:r>
        <w:rPr>
          <w:rFonts w:hint="eastAsia" w:ascii="宋体" w:hAnsi="宋体" w:eastAsia="宋体" w:cs="宋体"/>
          <w:color w:val="auto"/>
          <w:spacing w:val="0"/>
          <w:sz w:val="24"/>
          <w:szCs w:val="24"/>
          <w:highlight w:val="none"/>
        </w:rPr>
        <w:t>供应商必须保证响应文件所提供的全部资料和内容真实可靠，并接受采购人或有关部门对其中任何资料、任何内容进一步审查，如果发现供应商提供虚假资料或不实质性响应竞争性磋商文件要求的，报请</w:t>
      </w:r>
      <w:r>
        <w:rPr>
          <w:rFonts w:hint="eastAsia" w:ascii="宋体" w:hAnsi="宋体" w:eastAsia="宋体" w:cs="宋体"/>
          <w:color w:val="auto"/>
          <w:spacing w:val="0"/>
          <w:sz w:val="24"/>
          <w:szCs w:val="24"/>
          <w:highlight w:val="none"/>
          <w:lang w:val="en-US" w:eastAsia="zh-CN"/>
        </w:rPr>
        <w:t>相关</w:t>
      </w:r>
      <w:r>
        <w:rPr>
          <w:rFonts w:hint="eastAsia" w:ascii="宋体" w:hAnsi="宋体" w:eastAsia="宋体" w:cs="宋体"/>
          <w:color w:val="auto"/>
          <w:spacing w:val="0"/>
          <w:sz w:val="24"/>
          <w:szCs w:val="24"/>
          <w:highlight w:val="none"/>
        </w:rPr>
        <w:t>部门进行处理。</w:t>
      </w:r>
    </w:p>
    <w:p w14:paraId="77EA2F17">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5.3 </w:t>
      </w:r>
      <w:r>
        <w:rPr>
          <w:rFonts w:hint="eastAsia" w:ascii="宋体" w:hAnsi="宋体" w:eastAsia="宋体" w:cs="宋体"/>
          <w:color w:val="auto"/>
          <w:spacing w:val="0"/>
          <w:sz w:val="24"/>
          <w:szCs w:val="24"/>
          <w:highlight w:val="none"/>
        </w:rPr>
        <w:t>本项目磋商内容为本文件要求的全部内容及项目的服务规范、价格、其他条件等。</w:t>
      </w:r>
    </w:p>
    <w:p w14:paraId="328628F5">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供应商针对本项目提出的所有具体内容；</w:t>
      </w:r>
    </w:p>
    <w:p w14:paraId="352BBF1F">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供应商针对本项目</w:t>
      </w:r>
      <w:r>
        <w:rPr>
          <w:rFonts w:hint="eastAsia" w:ascii="宋体" w:hAnsi="宋体" w:eastAsia="宋体" w:cs="宋体"/>
          <w:color w:val="auto"/>
          <w:spacing w:val="0"/>
          <w:sz w:val="24"/>
          <w:szCs w:val="24"/>
          <w:highlight w:val="none"/>
          <w:lang w:val="en-US" w:eastAsia="zh-CN"/>
        </w:rPr>
        <w:t>的实施</w:t>
      </w:r>
      <w:r>
        <w:rPr>
          <w:rFonts w:hint="eastAsia" w:ascii="宋体" w:hAnsi="宋体" w:eastAsia="宋体" w:cs="宋体"/>
          <w:color w:val="auto"/>
          <w:spacing w:val="0"/>
          <w:sz w:val="24"/>
          <w:szCs w:val="24"/>
          <w:highlight w:val="none"/>
        </w:rPr>
        <w:t>方案；</w:t>
      </w:r>
    </w:p>
    <w:p w14:paraId="0EBB18A4">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其他需要磋商的内容。</w:t>
      </w:r>
    </w:p>
    <w:p w14:paraId="72E763E5">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6</w:t>
      </w:r>
      <w:r>
        <w:rPr>
          <w:rFonts w:hint="eastAsia" w:ascii="宋体" w:hAnsi="宋体" w:eastAsia="宋体" w:cs="宋体"/>
          <w:b/>
          <w:color w:val="auto"/>
          <w:spacing w:val="0"/>
          <w:sz w:val="24"/>
          <w:szCs w:val="24"/>
          <w:highlight w:val="none"/>
        </w:rPr>
        <w:t>.响应文件审查和澄清</w:t>
      </w:r>
    </w:p>
    <w:p w14:paraId="68B9B18C">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6.1 </w:t>
      </w:r>
      <w:r>
        <w:rPr>
          <w:rFonts w:hint="eastAsia" w:ascii="宋体" w:hAnsi="宋体" w:eastAsia="宋体" w:cs="宋体"/>
          <w:color w:val="auto"/>
          <w:spacing w:val="0"/>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CDBE8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6.2 </w:t>
      </w:r>
      <w:r>
        <w:rPr>
          <w:rFonts w:hint="eastAsia" w:ascii="宋体" w:hAnsi="宋体" w:eastAsia="宋体" w:cs="宋体"/>
          <w:color w:val="auto"/>
          <w:spacing w:val="0"/>
          <w:sz w:val="24"/>
          <w:szCs w:val="24"/>
          <w:highlight w:val="none"/>
        </w:rPr>
        <w:t>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14:paraId="655FF81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7.</w:t>
      </w:r>
      <w:r>
        <w:rPr>
          <w:rFonts w:hint="eastAsia" w:ascii="宋体" w:hAnsi="宋体" w:eastAsia="宋体" w:cs="宋体"/>
          <w:b/>
          <w:bCs/>
          <w:color w:val="auto"/>
          <w:spacing w:val="0"/>
          <w:sz w:val="24"/>
          <w:szCs w:val="24"/>
          <w:highlight w:val="none"/>
        </w:rPr>
        <w:t>对响应文件的修正</w:t>
      </w:r>
    </w:p>
    <w:p w14:paraId="0289D503">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val="0"/>
          <w:color w:val="auto"/>
          <w:spacing w:val="0"/>
          <w:sz w:val="24"/>
          <w:szCs w:val="24"/>
          <w:highlight w:val="none"/>
        </w:rPr>
        <w:t>磋</w:t>
      </w:r>
      <w:r>
        <w:rPr>
          <w:rFonts w:hint="eastAsia" w:ascii="宋体" w:hAnsi="宋体" w:eastAsia="宋体" w:cs="宋体"/>
          <w:color w:val="auto"/>
          <w:spacing w:val="0"/>
          <w:sz w:val="24"/>
          <w:szCs w:val="24"/>
          <w:highlight w:val="none"/>
        </w:rPr>
        <w:t>商中，对价格的计算错误按下述原则修正：</w:t>
      </w:r>
    </w:p>
    <w:p w14:paraId="4677E58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磋商时，响应文件中磋商报价表内容与响应文件中明细表内容不符的，以磋商报价表为准；</w:t>
      </w:r>
    </w:p>
    <w:p w14:paraId="530FEA2C">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响应文件的大写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089DB83">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供应商不同意以上修正，则其响应文件将被拒绝。</w:t>
      </w:r>
    </w:p>
    <w:p w14:paraId="6EA5C26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7</w:t>
      </w:r>
      <w:r>
        <w:rPr>
          <w:rFonts w:hint="eastAsia" w:ascii="宋体" w:hAnsi="宋体" w:eastAsia="宋体" w:cs="宋体"/>
          <w:b/>
          <w:color w:val="auto"/>
          <w:spacing w:val="0"/>
          <w:sz w:val="24"/>
          <w:szCs w:val="24"/>
          <w:highlight w:val="none"/>
        </w:rPr>
        <w:t>.磋商报价</w:t>
      </w:r>
    </w:p>
    <w:p w14:paraId="4314B387">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color w:val="auto"/>
          <w:spacing w:val="0"/>
          <w:sz w:val="24"/>
          <w:szCs w:val="24"/>
          <w:highlight w:val="none"/>
          <w:lang w:val="en-US" w:eastAsia="zh-CN"/>
        </w:rPr>
        <w:t xml:space="preserve">7.1 </w:t>
      </w:r>
      <w:r>
        <w:rPr>
          <w:rFonts w:hint="eastAsia" w:ascii="宋体" w:hAnsi="宋体" w:eastAsia="宋体" w:cs="宋体"/>
          <w:color w:val="auto"/>
          <w:spacing w:val="0"/>
          <w:sz w:val="24"/>
          <w:szCs w:val="24"/>
          <w:highlight w:val="none"/>
        </w:rPr>
        <w:t>供应商应当按竞争性磋商文件中要求做好最后报价的测算,以备磋商完毕进行最后报价。</w:t>
      </w:r>
    </w:p>
    <w:p w14:paraId="7354C6D3">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7.2 </w:t>
      </w:r>
      <w:r>
        <w:rPr>
          <w:rFonts w:hint="eastAsia" w:ascii="宋体" w:hAnsi="宋体" w:eastAsia="宋体" w:cs="宋体"/>
          <w:color w:val="auto"/>
          <w:spacing w:val="0"/>
          <w:sz w:val="24"/>
          <w:szCs w:val="24"/>
          <w:highlight w:val="none"/>
        </w:rPr>
        <w:t>供应商的最后报价包括竞争性磋商文件和合同包含的所有风险、责任等各项应有费用。</w:t>
      </w:r>
    </w:p>
    <w:p w14:paraId="78F52E43">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7.3 </w:t>
      </w:r>
      <w:r>
        <w:rPr>
          <w:rFonts w:hint="eastAsia" w:ascii="宋体" w:hAnsi="宋体" w:eastAsia="宋体" w:cs="宋体"/>
          <w:color w:val="auto"/>
          <w:spacing w:val="0"/>
          <w:sz w:val="24"/>
          <w:szCs w:val="24"/>
          <w:highlight w:val="none"/>
        </w:rPr>
        <w:t>磋商小组不接受任何选择报价。</w:t>
      </w:r>
    </w:p>
    <w:p w14:paraId="5363FB54">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7.4 </w:t>
      </w:r>
      <w:r>
        <w:rPr>
          <w:rFonts w:hint="eastAsia" w:ascii="宋体" w:hAnsi="宋体" w:eastAsia="宋体" w:cs="宋体"/>
          <w:color w:val="auto"/>
          <w:spacing w:val="0"/>
          <w:sz w:val="24"/>
          <w:szCs w:val="24"/>
          <w:highlight w:val="none"/>
        </w:rPr>
        <w:t>鼓励供应商不低于成本价的合理报价。</w:t>
      </w:r>
    </w:p>
    <w:p w14:paraId="6FB823F1">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7.5 </w:t>
      </w:r>
      <w:r>
        <w:rPr>
          <w:rFonts w:hint="eastAsia" w:ascii="宋体" w:hAnsi="宋体" w:eastAsia="宋体" w:cs="宋体"/>
          <w:color w:val="auto"/>
          <w:spacing w:val="0"/>
          <w:sz w:val="24"/>
          <w:szCs w:val="24"/>
          <w:highlight w:val="none"/>
        </w:rPr>
        <w:t>供应商成交后，其最后报价总额即作为与采购人签订采购合同的总价。</w:t>
      </w:r>
    </w:p>
    <w:p w14:paraId="5E44AC56">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8.</w:t>
      </w:r>
      <w:r>
        <w:rPr>
          <w:rFonts w:hint="eastAsia" w:ascii="宋体" w:hAnsi="宋体" w:eastAsia="宋体" w:cs="宋体"/>
          <w:b/>
          <w:bCs/>
          <w:color w:val="auto"/>
          <w:spacing w:val="0"/>
          <w:sz w:val="24"/>
          <w:szCs w:val="24"/>
          <w:highlight w:val="none"/>
        </w:rPr>
        <w:t>合同授予</w:t>
      </w:r>
    </w:p>
    <w:p w14:paraId="40A6929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b w:val="0"/>
          <w:bCs w:val="0"/>
          <w:color w:val="auto"/>
          <w:spacing w:val="0"/>
          <w:sz w:val="24"/>
          <w:szCs w:val="24"/>
          <w:highlight w:val="none"/>
          <w:lang w:val="en-US" w:eastAsia="zh-CN"/>
        </w:rPr>
        <w:t xml:space="preserve">8.1 </w:t>
      </w:r>
      <w:r>
        <w:rPr>
          <w:rFonts w:hint="eastAsia" w:ascii="宋体" w:hAnsi="宋体" w:eastAsia="宋体" w:cs="宋体"/>
          <w:color w:val="auto"/>
          <w:spacing w:val="0"/>
          <w:sz w:val="24"/>
          <w:szCs w:val="24"/>
          <w:highlight w:val="none"/>
        </w:rPr>
        <w:t>磋商文件、响应文件及磋商过程中有关补充文件均作为合同附件，并与合同具有相同的法律效力。</w:t>
      </w:r>
    </w:p>
    <w:p w14:paraId="0D3FEEAF">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8.2 应</w:t>
      </w:r>
      <w:r>
        <w:rPr>
          <w:rFonts w:hint="eastAsia" w:ascii="宋体" w:hAnsi="宋体" w:eastAsia="宋体" w:cs="宋体"/>
          <w:color w:val="auto"/>
          <w:spacing w:val="0"/>
          <w:sz w:val="24"/>
          <w:szCs w:val="24"/>
          <w:highlight w:val="none"/>
        </w:rPr>
        <w:t>当按照合同履行义务，完成磋商项目。未经采购人同意，成交供应商不得向他人转让成交项目。</w:t>
      </w:r>
    </w:p>
    <w:p w14:paraId="07743A0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8.3 </w:t>
      </w:r>
      <w:r>
        <w:rPr>
          <w:rFonts w:hint="eastAsia" w:ascii="宋体" w:hAnsi="宋体" w:eastAsia="宋体" w:cs="宋体"/>
          <w:color w:val="auto"/>
          <w:spacing w:val="0"/>
          <w:sz w:val="24"/>
          <w:szCs w:val="24"/>
          <w:highlight w:val="none"/>
        </w:rPr>
        <w:t>本项目磋商有效期为90个日</w:t>
      </w:r>
      <w:r>
        <w:rPr>
          <w:rFonts w:hint="eastAsia" w:ascii="宋体" w:hAnsi="宋体" w:eastAsia="宋体" w:cs="宋体"/>
          <w:snapToGrid w:val="0"/>
          <w:color w:val="auto"/>
          <w:spacing w:val="0"/>
          <w:kern w:val="0"/>
          <w:sz w:val="24"/>
          <w:szCs w:val="24"/>
          <w:highlight w:val="none"/>
        </w:rPr>
        <w:t>历天</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响</w:t>
      </w:r>
      <w:r>
        <w:rPr>
          <w:rFonts w:hint="eastAsia" w:ascii="宋体" w:hAnsi="宋体" w:eastAsia="宋体" w:cs="宋体"/>
          <w:color w:val="auto"/>
          <w:spacing w:val="0"/>
          <w:sz w:val="24"/>
          <w:szCs w:val="24"/>
          <w:highlight w:val="none"/>
        </w:rPr>
        <w:t>应文件中没有另行说明的即视为响应该有效期。</w:t>
      </w:r>
    </w:p>
    <w:p w14:paraId="47C55B2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2" w:firstLineChars="200"/>
        <w:textAlignment w:val="auto"/>
        <w:outlineLvl w:val="9"/>
        <w:rPr>
          <w:rFonts w:hint="eastAsia" w:ascii="宋体" w:hAnsi="宋体" w:eastAsia="宋体" w:cs="宋体"/>
          <w:b/>
          <w:bCs/>
          <w:color w:val="auto"/>
          <w:spacing w:val="0"/>
          <w:sz w:val="24"/>
          <w:szCs w:val="24"/>
          <w:highlight w:val="none"/>
        </w:rPr>
      </w:pPr>
      <w:r>
        <w:rPr>
          <w:rFonts w:hint="eastAsia" w:cs="宋体"/>
          <w:b/>
          <w:bCs/>
          <w:color w:val="auto"/>
          <w:spacing w:val="0"/>
          <w:sz w:val="24"/>
          <w:szCs w:val="24"/>
          <w:highlight w:val="none"/>
          <w:lang w:val="en-US" w:eastAsia="zh-CN"/>
        </w:rPr>
        <w:t>四、</w:t>
      </w:r>
      <w:r>
        <w:rPr>
          <w:rFonts w:hint="eastAsia" w:ascii="宋体" w:hAnsi="宋体" w:eastAsia="宋体" w:cs="宋体"/>
          <w:b/>
          <w:bCs/>
          <w:color w:val="auto"/>
          <w:spacing w:val="0"/>
          <w:sz w:val="24"/>
          <w:szCs w:val="24"/>
          <w:highlight w:val="none"/>
        </w:rPr>
        <w:t>询问、质疑与投诉</w:t>
      </w:r>
    </w:p>
    <w:p w14:paraId="65E4CEF4">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1.询问</w:t>
      </w:r>
    </w:p>
    <w:p w14:paraId="4E7D9AC9">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对政府采购活动事项有疑问的，可以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14:paraId="69185642">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2.质疑</w:t>
      </w:r>
    </w:p>
    <w:p w14:paraId="62F0BBC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2.1供应商认为采购文件、采购过程、成交结果使自己的权益受到损害的，可以在知道或者应知其权益受到损害之日起7个工作日内，以书面形式向采购人、采购代理机构提出质疑。</w:t>
      </w:r>
    </w:p>
    <w:p w14:paraId="1CF23CAD">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供应商在法定质疑期内应当一次性提出针对同一采购程序环节的质疑。</w:t>
      </w:r>
    </w:p>
    <w:p w14:paraId="35A8780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提出质疑的供应商应当是参与所质疑项目采购活动的供应商。</w:t>
      </w:r>
    </w:p>
    <w:p w14:paraId="00E96A8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AC4FC86">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2.2采购人、采购代理机构应当在收到供应商的书面质疑后7个工作日内作出答复，并以书面形式通知质疑供应商和其他有关供应商，但答复的内容不得涉及商业秘密。</w:t>
      </w:r>
    </w:p>
    <w:p w14:paraId="22E05651">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2.3询问或者质疑事项可能影响成交结果的，采购人应当暂停签订合同，已经签订合同的，应当中止履行合同。</w:t>
      </w:r>
    </w:p>
    <w:p w14:paraId="10B20A59">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2.4供应商提出质疑应当提交质疑函和必要的证明材料。质疑函应当包括下列内容：</w:t>
      </w:r>
    </w:p>
    <w:p w14:paraId="4617AD53">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供应商的姓名或者名称、地址、邮编、联系人及联系电话；</w:t>
      </w:r>
    </w:p>
    <w:p w14:paraId="2B153334">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二</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质疑项目的名称、编号；</w:t>
      </w:r>
    </w:p>
    <w:p w14:paraId="4156E53C">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三</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具体、明确的质疑事项和与质疑事项相关的请求；</w:t>
      </w:r>
    </w:p>
    <w:p w14:paraId="5487538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四</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事实依据；</w:t>
      </w:r>
    </w:p>
    <w:p w14:paraId="048A3A2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五</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必要的法律依据；</w:t>
      </w:r>
    </w:p>
    <w:p w14:paraId="0424CAAE">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六</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提出质疑的日期。</w:t>
      </w:r>
    </w:p>
    <w:p w14:paraId="089109A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1C6057E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供应商可以委托代理人进行质疑，代理人提出质疑时应当提交供应商签署的授权委托书。其授权委托书应当载明代理人的姓名或者名称、代理事项、具体权限、期限和相关事项。</w:t>
      </w:r>
    </w:p>
    <w:p w14:paraId="58CE2EE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2.5供应商提交的质疑函，应按照</w:t>
      </w:r>
      <w:r>
        <w:rPr>
          <w:rFonts w:hint="eastAsia" w:cs="宋体"/>
          <w:color w:val="auto"/>
          <w:spacing w:val="0"/>
          <w:sz w:val="24"/>
          <w:szCs w:val="24"/>
          <w:highlight w:val="none"/>
          <w:lang w:val="en-US" w:eastAsia="zh-CN"/>
        </w:rPr>
        <w:t>内蒙古自治区政府采购网发布</w:t>
      </w:r>
      <w:r>
        <w:rPr>
          <w:rFonts w:hint="eastAsia" w:ascii="宋体" w:hAnsi="宋体" w:eastAsia="宋体" w:cs="宋体"/>
          <w:color w:val="auto"/>
          <w:spacing w:val="0"/>
          <w:sz w:val="24"/>
          <w:szCs w:val="24"/>
          <w:highlight w:val="none"/>
        </w:rPr>
        <w:t>的“质疑函范本”制作。</w:t>
      </w:r>
    </w:p>
    <w:p w14:paraId="358CFC45">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2.6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06C50CD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接收质疑函的联系部门、联系电话、通讯地址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详见第一章</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w:t>
      </w:r>
    </w:p>
    <w:p w14:paraId="34A21AE2">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3.投诉</w:t>
      </w:r>
    </w:p>
    <w:p w14:paraId="561448B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3.1质疑人对采购人、采购代理机构的答复不满意或者采购人、采购代理机构未在规定的时间内作出书面答复的，可以在答复期满后15个工作日内向财政部门提起投诉。</w:t>
      </w:r>
    </w:p>
    <w:p w14:paraId="7C96D1CD">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供应商投诉的事项不得超出已质疑事项的范围，但基于质疑答复内容提出的投诉事项除外。</w:t>
      </w:r>
    </w:p>
    <w:p w14:paraId="47ABED3C">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3.2投诉人投诉时，应当提交投诉书和必要的证明材料，并按照被投诉采购人、采购代理机构</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以下简称被投诉人</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和与投诉事项有关的供应商数量提供投诉书的副本。投诉书应当包括下列内容：</w:t>
      </w:r>
    </w:p>
    <w:p w14:paraId="71BD0650">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一</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投诉人和被投诉人的姓名或者名称、通讯地址、邮编、联系人及联系电话；</w:t>
      </w:r>
    </w:p>
    <w:p w14:paraId="2EA44D9B">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二</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质疑和质疑答复情况说明及相关证明材料；</w:t>
      </w:r>
    </w:p>
    <w:p w14:paraId="58398005">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三</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具体、明确的投诉事项和与投诉事项相关的投诉请求；</w:t>
      </w:r>
    </w:p>
    <w:p w14:paraId="65A7E627">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四</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事实依据；</w:t>
      </w:r>
    </w:p>
    <w:p w14:paraId="675BA222">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五</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法律依据；</w:t>
      </w:r>
    </w:p>
    <w:p w14:paraId="25A80B44">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六</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提起投诉的日期。</w:t>
      </w:r>
    </w:p>
    <w:p w14:paraId="267DA4C7">
      <w:pPr>
        <w:pStyle w:val="3"/>
        <w:keepNext w:val="0"/>
        <w:keepLines w:val="0"/>
        <w:pageBreakBefore w:val="0"/>
        <w:widowControl w:val="0"/>
        <w:kinsoku/>
        <w:wordWrap w:val="0"/>
        <w:overflowPunct/>
        <w:topLinePunct/>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3A687406">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10E938CA">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rPr>
      </w:pPr>
      <w:bookmarkStart w:id="3" w:name="_Toc16132"/>
      <w:bookmarkStart w:id="4" w:name="_Toc21192"/>
      <w:r>
        <w:rPr>
          <w:rFonts w:hint="eastAsia" w:ascii="宋体" w:hAnsi="宋体" w:eastAsia="宋体" w:cs="宋体"/>
          <w:b/>
          <w:bCs/>
          <w:spacing w:val="20"/>
          <w:sz w:val="31"/>
          <w:szCs w:val="31"/>
        </w:rPr>
        <w:t>第三章</w:t>
      </w:r>
      <w:r>
        <w:rPr>
          <w:rFonts w:hint="eastAsia" w:ascii="宋体" w:hAnsi="宋体" w:eastAsia="宋体" w:cs="宋体"/>
          <w:b/>
          <w:bCs/>
          <w:spacing w:val="20"/>
          <w:sz w:val="31"/>
          <w:szCs w:val="31"/>
          <w:lang w:val="en-US" w:eastAsia="zh-CN"/>
        </w:rPr>
        <w:t xml:space="preserve"> </w:t>
      </w:r>
      <w:r>
        <w:rPr>
          <w:rFonts w:ascii="宋体" w:hAnsi="宋体" w:eastAsia="宋体" w:cs="宋体"/>
          <w:b/>
          <w:bCs/>
          <w:spacing w:val="20"/>
          <w:sz w:val="31"/>
          <w:szCs w:val="31"/>
        </w:rPr>
        <w:t>采购内容与技术要求</w:t>
      </w:r>
      <w:bookmarkEnd w:id="3"/>
      <w:bookmarkEnd w:id="4"/>
    </w:p>
    <w:p w14:paraId="070041E8">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highlight w:val="none"/>
          <w:u w:val="none"/>
          <w:shd w:val="clear" w:fill="FFFFFF"/>
          <w:lang w:val="en-US" w:eastAsia="zh-CN"/>
        </w:rPr>
        <w:t>赤峰市生态环境局元宝山区分局非现场执法监控设备安装工程及维护项目。</w:t>
      </w:r>
    </w:p>
    <w:p w14:paraId="571D22A5">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1.主要商务要求</w:t>
      </w:r>
    </w:p>
    <w:tbl>
      <w:tblPr>
        <w:tblStyle w:val="33"/>
        <w:tblW w:w="506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8"/>
        <w:gridCol w:w="7098"/>
      </w:tblGrid>
      <w:tr w14:paraId="0AE4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45" w:type="pct"/>
            <w:vAlign w:val="center"/>
          </w:tcPr>
          <w:p w14:paraId="3A23CD27">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供货期</w:t>
            </w:r>
          </w:p>
        </w:tc>
        <w:tc>
          <w:tcPr>
            <w:tcW w:w="3854" w:type="pct"/>
            <w:vAlign w:val="center"/>
          </w:tcPr>
          <w:p w14:paraId="421EDDBF">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签订合同后20日历日内完成供货安装并通过验收。</w:t>
            </w:r>
          </w:p>
        </w:tc>
      </w:tr>
      <w:tr w14:paraId="62B3B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45" w:type="pct"/>
            <w:vAlign w:val="center"/>
          </w:tcPr>
          <w:p w14:paraId="35583773">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维护期</w:t>
            </w:r>
          </w:p>
        </w:tc>
        <w:tc>
          <w:tcPr>
            <w:tcW w:w="3854" w:type="pct"/>
            <w:vAlign w:val="center"/>
          </w:tcPr>
          <w:p w14:paraId="48C8413D">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自通过验收之日起5年。</w:t>
            </w:r>
          </w:p>
        </w:tc>
      </w:tr>
      <w:tr w14:paraId="7DB1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45" w:type="pct"/>
            <w:vAlign w:val="center"/>
          </w:tcPr>
          <w:p w14:paraId="60BF704A">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供货地点</w:t>
            </w:r>
          </w:p>
        </w:tc>
        <w:tc>
          <w:tcPr>
            <w:tcW w:w="3854" w:type="pct"/>
            <w:vAlign w:val="center"/>
          </w:tcPr>
          <w:p w14:paraId="7086BE60">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u w:val="none"/>
                <w:shd w:val="clear" w:fill="FFFFFF"/>
                <w:lang w:val="en-US" w:eastAsia="zh-CN"/>
              </w:rPr>
              <w:t>赤峰市。</w:t>
            </w:r>
          </w:p>
        </w:tc>
      </w:tr>
      <w:tr w14:paraId="7D57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145" w:type="pct"/>
            <w:vAlign w:val="center"/>
          </w:tcPr>
          <w:p w14:paraId="4AC2ACDC">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付款方式</w:t>
            </w:r>
          </w:p>
        </w:tc>
        <w:tc>
          <w:tcPr>
            <w:tcW w:w="3854" w:type="pct"/>
            <w:vAlign w:val="center"/>
          </w:tcPr>
          <w:p w14:paraId="02C1325B">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（1）新设备安装、调试验收合格后，甲方需一次性向乙方以对公转账方式支付设备及安装费用和20%的维护费用，支付前提供相应面额的发票。</w:t>
            </w:r>
          </w:p>
          <w:p w14:paraId="569FDB03">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（2）剩余80%的维护费用分四年支付，自第二年起每年维护期满支付维护费用总额的20%，付清为止，支付前提供相应面额的发票。</w:t>
            </w:r>
          </w:p>
        </w:tc>
      </w:tr>
      <w:tr w14:paraId="4CCE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45" w:type="pct"/>
            <w:vAlign w:val="center"/>
          </w:tcPr>
          <w:p w14:paraId="18E56063">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验收要求</w:t>
            </w:r>
          </w:p>
        </w:tc>
        <w:tc>
          <w:tcPr>
            <w:tcW w:w="3854" w:type="pct"/>
            <w:vAlign w:val="center"/>
          </w:tcPr>
          <w:p w14:paraId="1C450A57">
            <w:pPr>
              <w:keepNext w:val="0"/>
              <w:keepLines w:val="0"/>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color w:val="auto"/>
                <w:sz w:val="24"/>
                <w:szCs w:val="24"/>
              </w:rPr>
            </w:pPr>
            <w:r>
              <w:rPr>
                <w:rFonts w:hint="eastAsia" w:ascii="宋体" w:hAnsi="宋体" w:eastAsia="宋体" w:cs="宋体"/>
                <w:sz w:val="24"/>
                <w:szCs w:val="24"/>
                <w:vertAlign w:val="baseline"/>
                <w:lang w:val="en-US" w:eastAsia="zh-CN"/>
              </w:rPr>
              <w:t>1期：供应商设备供应、调试完毕后，全部达到项目指标要求，由采购人组织相关技术人员进行验收，验收合格后签署《验收单》。</w:t>
            </w:r>
          </w:p>
        </w:tc>
      </w:tr>
      <w:tr w14:paraId="1A37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45" w:type="pct"/>
            <w:vAlign w:val="center"/>
          </w:tcPr>
          <w:p w14:paraId="074906CA">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其他</w:t>
            </w:r>
          </w:p>
        </w:tc>
        <w:tc>
          <w:tcPr>
            <w:tcW w:w="3854" w:type="pct"/>
            <w:vAlign w:val="top"/>
          </w:tcPr>
          <w:p w14:paraId="0BCF84E7">
            <w:pPr>
              <w:keepNext w:val="0"/>
              <w:keepLines w:val="0"/>
              <w:pageBreakBefore w:val="0"/>
              <w:kinsoku/>
              <w:overflowPunct/>
              <w:autoSpaceDE/>
              <w:autoSpaceDN/>
              <w:bidi w:val="0"/>
              <w:adjustRightInd/>
              <w:snapToGrid/>
              <w:spacing w:line="5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须按要求向</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提供符合国家产品质量标准的正品设备，不得以任何理由以次充好，如发现有非正品则乙方以一赔十。未经</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同意，不得随意更改方案。并提供各设备有关品质证明书，合格证，说明书，相关软件等资料。</w:t>
            </w:r>
          </w:p>
          <w:p w14:paraId="52B5DCF9">
            <w:pPr>
              <w:keepNext w:val="0"/>
              <w:keepLines w:val="0"/>
              <w:pageBreakBefore w:val="0"/>
              <w:kinsoku/>
              <w:overflowPunct/>
              <w:autoSpaceDE/>
              <w:autoSpaceDN/>
              <w:bidi w:val="0"/>
              <w:adjustRightInd/>
              <w:snapToGrid/>
              <w:spacing w:line="5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所提供合同内设备应保证产品内外包装完好无损，若不能达到要求，</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有权要求</w:t>
            </w:r>
            <w:r>
              <w:rPr>
                <w:rFonts w:hint="eastAsia" w:ascii="宋体" w:hAnsi="宋体" w:eastAsia="宋体" w:cs="宋体"/>
                <w:sz w:val="24"/>
                <w:szCs w:val="24"/>
                <w:lang w:val="en-US" w:eastAsia="zh-CN"/>
              </w:rPr>
              <w:t>其</w:t>
            </w:r>
            <w:r>
              <w:rPr>
                <w:rFonts w:hint="eastAsia" w:ascii="宋体" w:hAnsi="宋体" w:eastAsia="宋体" w:cs="宋体"/>
                <w:sz w:val="24"/>
                <w:szCs w:val="24"/>
                <w:lang w:eastAsia="zh-CN"/>
              </w:rPr>
              <w:t>立即更换合格产品直至解除合同。由此带来的一切损失由乙方负责。</w:t>
            </w:r>
          </w:p>
          <w:p w14:paraId="3A584B6F">
            <w:pPr>
              <w:keepNext w:val="0"/>
              <w:keepLines w:val="0"/>
              <w:pageBreakBefore w:val="0"/>
              <w:kinsoku/>
              <w:overflowPunct/>
              <w:autoSpaceDE/>
              <w:autoSpaceDN/>
              <w:bidi w:val="0"/>
              <w:adjustRightInd/>
              <w:snapToGrid/>
              <w:spacing w:line="52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售后服务：</w:t>
            </w:r>
          </w:p>
          <w:p w14:paraId="7F933892">
            <w:pPr>
              <w:keepNext w:val="0"/>
              <w:keepLines w:val="0"/>
              <w:pageBreakBefore w:val="0"/>
              <w:kinsoku/>
              <w:overflowPunct/>
              <w:autoSpaceDE/>
              <w:autoSpaceDN/>
              <w:bidi w:val="0"/>
              <w:adjustRightInd/>
              <w:snapToGrid/>
              <w:spacing w:line="5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所提供合同内设备，从验收之日起，所有产品及零配件质保期按投标书规定办理。在质保期内，若有产品质量问题，由</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负责免费更换或维修。质保期满后，设备维修时，</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按成本费计算。更换的产品必须是新的，且质保期限从当时算起。</w:t>
            </w:r>
          </w:p>
          <w:p w14:paraId="1E5C88D4">
            <w:pPr>
              <w:keepNext w:val="0"/>
              <w:keepLines w:val="0"/>
              <w:pageBreakBefore w:val="0"/>
              <w:kinsoku/>
              <w:overflowPunct/>
              <w:autoSpaceDE/>
              <w:autoSpaceDN/>
              <w:bidi w:val="0"/>
              <w:adjustRightInd/>
              <w:snapToGrid/>
              <w:spacing w:line="5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2、凡由产品质量问题引起的各类故障，</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在接到</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故障报修通知后，在4小时内响应，24小时内解决故障，若在24小时内不能排除故障的，则应由</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eastAsia="zh-CN"/>
              </w:rPr>
              <w:t>提供不低于原设备标准的备用产品保证设备正常运行。</w:t>
            </w:r>
          </w:p>
        </w:tc>
      </w:tr>
    </w:tbl>
    <w:p w14:paraId="4CA00D2D">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2.技术要求</w:t>
      </w:r>
    </w:p>
    <w:tbl>
      <w:tblPr>
        <w:tblStyle w:val="33"/>
        <w:tblW w:w="50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0"/>
        <w:gridCol w:w="2220"/>
        <w:gridCol w:w="552"/>
        <w:gridCol w:w="666"/>
        <w:gridCol w:w="1338"/>
        <w:gridCol w:w="1607"/>
        <w:gridCol w:w="1146"/>
        <w:gridCol w:w="1200"/>
      </w:tblGrid>
      <w:tr w14:paraId="73B1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281" w:type="pct"/>
            <w:vAlign w:val="center"/>
          </w:tcPr>
          <w:p w14:paraId="666226D8">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199" w:type="pct"/>
            <w:vAlign w:val="center"/>
          </w:tcPr>
          <w:p w14:paraId="2E963D40">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标的名称</w:t>
            </w:r>
          </w:p>
        </w:tc>
        <w:tc>
          <w:tcPr>
            <w:tcW w:w="298" w:type="pct"/>
            <w:vAlign w:val="center"/>
          </w:tcPr>
          <w:p w14:paraId="500627BA">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360" w:type="pct"/>
            <w:vAlign w:val="center"/>
          </w:tcPr>
          <w:p w14:paraId="032C4A74">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c>
          <w:tcPr>
            <w:tcW w:w="723" w:type="pct"/>
            <w:vAlign w:val="center"/>
          </w:tcPr>
          <w:p w14:paraId="161239AE">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单价</w:t>
            </w:r>
            <w:r>
              <w:rPr>
                <w:rFonts w:hint="default" w:ascii="宋体" w:hAnsi="宋体" w:eastAsia="宋体" w:cs="宋体"/>
                <w:i w:val="0"/>
                <w:iCs w:val="0"/>
                <w:caps w:val="0"/>
                <w:color w:val="auto"/>
                <w:spacing w:val="0"/>
                <w:sz w:val="24"/>
                <w:szCs w:val="24"/>
                <w:highlight w:val="none"/>
                <w:u w:val="none"/>
                <w:shd w:val="clear" w:fill="FFFFFF"/>
                <w:lang w:val="en-US" w:eastAsia="zh-CN"/>
              </w:rPr>
              <w:t>限价</w:t>
            </w:r>
          </w:p>
          <w:p w14:paraId="3DA8BA29">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highlight w:val="none"/>
                <w:u w:val="none"/>
                <w:shd w:val="clear" w:fill="FFFFFF"/>
                <w:lang w:val="en-US" w:eastAsia="zh-CN"/>
              </w:rPr>
              <w:t>（元）</w:t>
            </w:r>
          </w:p>
        </w:tc>
        <w:tc>
          <w:tcPr>
            <w:tcW w:w="868" w:type="pct"/>
            <w:vAlign w:val="center"/>
          </w:tcPr>
          <w:p w14:paraId="581CA3BA">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合价</w:t>
            </w:r>
            <w:r>
              <w:rPr>
                <w:rFonts w:hint="default" w:ascii="宋体" w:hAnsi="宋体" w:eastAsia="宋体" w:cs="宋体"/>
                <w:i w:val="0"/>
                <w:iCs w:val="0"/>
                <w:caps w:val="0"/>
                <w:color w:val="auto"/>
                <w:spacing w:val="0"/>
                <w:sz w:val="24"/>
                <w:szCs w:val="24"/>
                <w:highlight w:val="none"/>
                <w:u w:val="none"/>
                <w:shd w:val="clear" w:fill="FFFFFF"/>
                <w:lang w:val="en-US" w:eastAsia="zh-CN"/>
              </w:rPr>
              <w:t>限价</w:t>
            </w:r>
          </w:p>
          <w:p w14:paraId="7484E364">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（元）</w:t>
            </w:r>
          </w:p>
        </w:tc>
        <w:tc>
          <w:tcPr>
            <w:tcW w:w="619" w:type="pct"/>
            <w:vAlign w:val="center"/>
          </w:tcPr>
          <w:p w14:paraId="3E590DFD">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所属行业</w:t>
            </w:r>
          </w:p>
        </w:tc>
        <w:tc>
          <w:tcPr>
            <w:tcW w:w="648" w:type="pct"/>
            <w:vAlign w:val="center"/>
          </w:tcPr>
          <w:p w14:paraId="14B4CDB6">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技术要求</w:t>
            </w:r>
          </w:p>
        </w:tc>
      </w:tr>
      <w:tr w14:paraId="7CBB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281" w:type="pct"/>
            <w:vAlign w:val="center"/>
          </w:tcPr>
          <w:p w14:paraId="5F5A0653">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99" w:type="pct"/>
            <w:vAlign w:val="center"/>
          </w:tcPr>
          <w:p w14:paraId="75292022">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非现场执法监控设备采购及安装</w:t>
            </w:r>
          </w:p>
        </w:tc>
        <w:tc>
          <w:tcPr>
            <w:tcW w:w="298" w:type="pct"/>
            <w:vAlign w:val="center"/>
          </w:tcPr>
          <w:p w14:paraId="49783631">
            <w:pPr>
              <w:keepNext w:val="0"/>
              <w:keepLines w:val="0"/>
              <w:pageBreakBefore w:val="0"/>
              <w:kinsoku/>
              <w:overflowPunct/>
              <w:autoSpaceDE/>
              <w:autoSpaceDN/>
              <w:bidi w:val="0"/>
              <w:adjustRightInd/>
              <w:snapToGrid/>
              <w:spacing w:line="52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套</w:t>
            </w:r>
          </w:p>
        </w:tc>
        <w:tc>
          <w:tcPr>
            <w:tcW w:w="360" w:type="pct"/>
            <w:vAlign w:val="center"/>
          </w:tcPr>
          <w:p w14:paraId="65A90FCA">
            <w:pPr>
              <w:keepNext w:val="0"/>
              <w:keepLines w:val="0"/>
              <w:pageBreakBefore w:val="0"/>
              <w:kinsoku/>
              <w:overflowPunct/>
              <w:autoSpaceDE/>
              <w:autoSpaceDN/>
              <w:bidi w:val="0"/>
              <w:adjustRightInd/>
              <w:snapToGrid/>
              <w:spacing w:line="52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w:t>
            </w:r>
          </w:p>
        </w:tc>
        <w:tc>
          <w:tcPr>
            <w:tcW w:w="723" w:type="pct"/>
            <w:shd w:val="clear" w:color="auto" w:fill="auto"/>
            <w:vAlign w:val="center"/>
          </w:tcPr>
          <w:p w14:paraId="1551DFE9">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10620.00</w:t>
            </w:r>
          </w:p>
        </w:tc>
        <w:tc>
          <w:tcPr>
            <w:tcW w:w="868" w:type="pct"/>
            <w:shd w:val="clear" w:color="auto" w:fill="auto"/>
            <w:vAlign w:val="center"/>
          </w:tcPr>
          <w:p w14:paraId="43B66580">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138060.00</w:t>
            </w:r>
          </w:p>
        </w:tc>
        <w:tc>
          <w:tcPr>
            <w:tcW w:w="619" w:type="pct"/>
            <w:vAlign w:val="center"/>
          </w:tcPr>
          <w:p w14:paraId="59AA936D">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sz w:val="24"/>
                <w:szCs w:val="24"/>
                <w:lang w:val="en-US"/>
              </w:rPr>
            </w:pPr>
            <w:r>
              <w:rPr>
                <w:rFonts w:hint="eastAsia" w:ascii="宋体" w:hAnsi="宋体" w:eastAsia="宋体" w:cs="宋体"/>
                <w:sz w:val="24"/>
                <w:szCs w:val="24"/>
                <w:lang w:val="en-US" w:eastAsia="zh-CN"/>
              </w:rPr>
              <w:t>工业</w:t>
            </w:r>
          </w:p>
        </w:tc>
        <w:tc>
          <w:tcPr>
            <w:tcW w:w="648" w:type="pct"/>
            <w:vAlign w:val="center"/>
          </w:tcPr>
          <w:p w14:paraId="5D518E05">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详见附表</w:t>
            </w:r>
            <w:r>
              <w:rPr>
                <w:rFonts w:hint="eastAsia" w:ascii="宋体" w:hAnsi="宋体" w:eastAsia="宋体" w:cs="宋体"/>
                <w:sz w:val="24"/>
                <w:szCs w:val="24"/>
                <w:lang w:val="en-US" w:eastAsia="zh-CN"/>
              </w:rPr>
              <w:t>一</w:t>
            </w:r>
          </w:p>
        </w:tc>
      </w:tr>
      <w:tr w14:paraId="3B3F1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281" w:type="pct"/>
            <w:vAlign w:val="center"/>
          </w:tcPr>
          <w:p w14:paraId="7F8660C4">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99" w:type="pct"/>
            <w:vAlign w:val="center"/>
          </w:tcPr>
          <w:p w14:paraId="303EAA6E">
            <w:pPr>
              <w:keepNext w:val="0"/>
              <w:keepLines w:val="0"/>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sz w:val="24"/>
                <w:szCs w:val="24"/>
                <w:lang w:val="en-US" w:eastAsia="zh-CN"/>
              </w:rPr>
              <w:t>非现场执法监控设备维护</w:t>
            </w:r>
          </w:p>
        </w:tc>
        <w:tc>
          <w:tcPr>
            <w:tcW w:w="298" w:type="pct"/>
            <w:shd w:val="clear" w:color="auto" w:fill="auto"/>
            <w:vAlign w:val="center"/>
          </w:tcPr>
          <w:p w14:paraId="1D31E745">
            <w:pPr>
              <w:keepNext w:val="0"/>
              <w:keepLines w:val="0"/>
              <w:pageBreakBefore w:val="0"/>
              <w:kinsoku/>
              <w:overflowPunct/>
              <w:autoSpaceDE/>
              <w:autoSpaceDN/>
              <w:bidi w:val="0"/>
              <w:adjustRightInd/>
              <w:snapToGrid/>
              <w:spacing w:line="52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w:t>
            </w:r>
          </w:p>
        </w:tc>
        <w:tc>
          <w:tcPr>
            <w:tcW w:w="360" w:type="pct"/>
            <w:shd w:val="clear" w:color="auto" w:fill="auto"/>
            <w:vAlign w:val="center"/>
          </w:tcPr>
          <w:p w14:paraId="06520B66">
            <w:pPr>
              <w:keepNext w:val="0"/>
              <w:keepLines w:val="0"/>
              <w:pageBreakBefore w:val="0"/>
              <w:kinsoku/>
              <w:overflowPunct/>
              <w:autoSpaceDE/>
              <w:autoSpaceDN/>
              <w:bidi w:val="0"/>
              <w:adjustRightInd/>
              <w:snapToGrid/>
              <w:spacing w:line="52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p>
        </w:tc>
        <w:tc>
          <w:tcPr>
            <w:tcW w:w="723" w:type="pct"/>
            <w:vAlign w:val="center"/>
          </w:tcPr>
          <w:p w14:paraId="2CBDC41C">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50000.00</w:t>
            </w:r>
          </w:p>
        </w:tc>
        <w:tc>
          <w:tcPr>
            <w:tcW w:w="868" w:type="pct"/>
            <w:vAlign w:val="center"/>
          </w:tcPr>
          <w:p w14:paraId="08ECA7B7">
            <w:pPr>
              <w:keepNext w:val="0"/>
              <w:keepLines w:val="0"/>
              <w:pageBreakBefore w:val="0"/>
              <w:kinsoku/>
              <w:overflowPunct/>
              <w:autoSpaceDE/>
              <w:autoSpaceDN/>
              <w:bidi w:val="0"/>
              <w:adjustRightInd/>
              <w:snapToGrid/>
              <w:spacing w:line="520" w:lineRule="exact"/>
              <w:jc w:val="center"/>
              <w:rPr>
                <w:rFonts w:hint="default" w:ascii="宋体" w:hAnsi="宋体" w:eastAsia="宋体" w:cs="宋体"/>
                <w:i w:val="0"/>
                <w:iCs w:val="0"/>
                <w:caps w:val="0"/>
                <w:color w:val="auto"/>
                <w:spacing w:val="0"/>
                <w:sz w:val="24"/>
                <w:szCs w:val="24"/>
                <w:highlight w:val="none"/>
                <w:u w:val="none"/>
                <w:shd w:val="clear" w:fill="FFFFFF"/>
                <w:lang w:val="en-US" w:eastAsia="zh-CN"/>
              </w:rPr>
            </w:pPr>
            <w:r>
              <w:rPr>
                <w:rFonts w:hint="eastAsia" w:ascii="宋体" w:hAnsi="宋体" w:eastAsia="宋体" w:cs="宋体"/>
                <w:i w:val="0"/>
                <w:iCs w:val="0"/>
                <w:caps w:val="0"/>
                <w:color w:val="auto"/>
                <w:spacing w:val="0"/>
                <w:sz w:val="24"/>
                <w:szCs w:val="24"/>
                <w:highlight w:val="none"/>
                <w:u w:val="none"/>
                <w:shd w:val="clear" w:fill="FFFFFF"/>
                <w:lang w:val="en-US" w:eastAsia="zh-CN"/>
              </w:rPr>
              <w:t>250000.00</w:t>
            </w:r>
          </w:p>
        </w:tc>
        <w:tc>
          <w:tcPr>
            <w:tcW w:w="619" w:type="pct"/>
            <w:vAlign w:val="center"/>
          </w:tcPr>
          <w:p w14:paraId="53CDA4E8">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其他未列明行业</w:t>
            </w:r>
          </w:p>
        </w:tc>
        <w:tc>
          <w:tcPr>
            <w:tcW w:w="648" w:type="pct"/>
            <w:vAlign w:val="center"/>
          </w:tcPr>
          <w:p w14:paraId="45158263">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详见附表</w:t>
            </w:r>
            <w:r>
              <w:rPr>
                <w:rFonts w:hint="eastAsia" w:ascii="宋体" w:hAnsi="宋体" w:eastAsia="宋体" w:cs="宋体"/>
                <w:sz w:val="24"/>
                <w:szCs w:val="24"/>
                <w:lang w:val="en-US" w:eastAsia="zh-CN"/>
              </w:rPr>
              <w:t>二</w:t>
            </w:r>
          </w:p>
        </w:tc>
      </w:tr>
    </w:tbl>
    <w:p w14:paraId="56CD68BA">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附表一：非现场执法监控设备采购及安装</w:t>
      </w:r>
      <w:r>
        <w:rPr>
          <w:rFonts w:hint="eastAsia" w:ascii="宋体" w:hAnsi="宋体" w:eastAsia="宋体" w:cs="宋体"/>
          <w:b/>
          <w:bCs/>
          <w:i w:val="0"/>
          <w:iCs w:val="0"/>
          <w:caps w:val="0"/>
          <w:color w:val="auto"/>
          <w:spacing w:val="0"/>
          <w:sz w:val="24"/>
          <w:szCs w:val="24"/>
          <w:highlight w:val="none"/>
          <w:u w:val="none"/>
          <w:shd w:val="clear" w:fill="FFFFFF"/>
          <w:lang w:val="en-US" w:eastAsia="zh-CN"/>
        </w:rPr>
        <w:t xml:space="preserve">                    </w:t>
      </w:r>
      <w:r>
        <w:rPr>
          <w:rFonts w:hint="eastAsia" w:ascii="宋体" w:hAnsi="宋体" w:eastAsia="宋体" w:cs="宋体"/>
          <w:b/>
          <w:bCs/>
          <w:sz w:val="24"/>
          <w:szCs w:val="24"/>
        </w:rPr>
        <w:t xml:space="preserve">  是否允许进口：否</w:t>
      </w:r>
    </w:p>
    <w:tbl>
      <w:tblPr>
        <w:tblStyle w:val="33"/>
        <w:tblW w:w="506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7"/>
        <w:gridCol w:w="536"/>
        <w:gridCol w:w="7617"/>
      </w:tblGrid>
      <w:tr w14:paraId="1F212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center"/>
          </w:tcPr>
          <w:p w14:paraId="6003AFF6">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参数性质</w:t>
            </w:r>
          </w:p>
        </w:tc>
        <w:tc>
          <w:tcPr>
            <w:tcW w:w="291" w:type="pct"/>
            <w:vAlign w:val="center"/>
          </w:tcPr>
          <w:p w14:paraId="5234AAC0">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139" w:type="pct"/>
            <w:vAlign w:val="center"/>
          </w:tcPr>
          <w:p w14:paraId="3C781785">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具体技术(参数)要求</w:t>
            </w:r>
          </w:p>
        </w:tc>
      </w:tr>
      <w:tr w14:paraId="5A9D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center"/>
          </w:tcPr>
          <w:p w14:paraId="3592D205">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tc>
        <w:tc>
          <w:tcPr>
            <w:tcW w:w="291" w:type="pct"/>
            <w:vAlign w:val="center"/>
          </w:tcPr>
          <w:p w14:paraId="3F7E37C9">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39" w:type="pct"/>
            <w:vAlign w:val="top"/>
          </w:tcPr>
          <w:p w14:paraId="622F5411">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default" w:ascii="宋体" w:hAnsi="宋体" w:eastAsia="宋体" w:cs="宋体"/>
                <w:b/>
                <w:bCs/>
                <w:sz w:val="24"/>
                <w:szCs w:val="24"/>
                <w:lang w:val="en-US" w:eastAsia="zh-CN"/>
              </w:rPr>
              <w:t>网络高清智能球机</w:t>
            </w:r>
          </w:p>
          <w:p w14:paraId="7E1BED88">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1、400万像素，采用高灵敏度传感器，满足星光监控需求；</w:t>
            </w:r>
          </w:p>
          <w:p w14:paraId="1F0EC274">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2、最高分辨率可达2560 × 1440 @12.5 fps，在该分辨率下可输出实时图像支持平台远程配置低功耗模式：</w:t>
            </w:r>
          </w:p>
          <w:p w14:paraId="1946D119">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3、支持省电和超级省电两种工作模式支持萤石平台，</w:t>
            </w:r>
          </w:p>
          <w:p w14:paraId="1B66763C">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4、互联接入支持LTE-TDD/LTE-FDD 4G无线网络传输：</w:t>
            </w:r>
          </w:p>
          <w:p w14:paraId="730CE20B">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5、外置天线采用高效红外灯，使用寿命长，红外照射距离最远可达30 m：</w:t>
            </w:r>
          </w:p>
          <w:p w14:paraId="06A7AC22">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6、1个内置麦克风，1个内置扬声器，支持双向语音对讲支持：</w:t>
            </w:r>
          </w:p>
          <w:p w14:paraId="49648092">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7、MicroSD/MicroSDHC/MicroSDXC卡，最大512 GB：</w:t>
            </w:r>
          </w:p>
          <w:p w14:paraId="681B94D6">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8、符合IP66防尘防水设计，抗干扰能力强支持外插Nano SIM卡支持PIR+雷达双检测，报警更准确</w:t>
            </w:r>
          </w:p>
          <w:p w14:paraId="4160DAE8">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9、光学宽动态 120dB，根据环境亮度自动切换，满足高反差场景监控需求；</w:t>
            </w:r>
          </w:p>
          <w:p w14:paraId="0DA895D9">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10、自适应透雾，摄像机根据雾霾严重程度，自适应调节透雾等级；</w:t>
            </w:r>
          </w:p>
          <w:p w14:paraId="4D8CCF52">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11、支持 5MP/20fps，运动图像更流畅；</w:t>
            </w:r>
          </w:p>
          <w:p w14:paraId="65AF0183">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12、AAC-LC宽频音频编码，支持48KHz音频采样率；</w:t>
            </w:r>
          </w:p>
          <w:p w14:paraId="74DD29A3">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10、支持 DC12V±25%供电；</w:t>
            </w:r>
          </w:p>
          <w:p w14:paraId="5D956078">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11、支持音频1入1出，告警2入1出，1路RS485串口</w:t>
            </w:r>
            <w:r>
              <w:rPr>
                <w:rFonts w:hint="eastAsia" w:ascii="宋体" w:hAnsi="宋体" w:eastAsia="宋体" w:cs="宋体"/>
                <w:sz w:val="24"/>
                <w:szCs w:val="24"/>
                <w:lang w:val="en-US" w:eastAsia="zh-CN"/>
              </w:rPr>
              <w:t>。</w:t>
            </w:r>
          </w:p>
          <w:p w14:paraId="474A81F3">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二、太阳能储能供电系统</w:t>
            </w:r>
          </w:p>
          <w:p w14:paraId="7478B256">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1、组件材料：采用单晶硅电池：</w:t>
            </w:r>
          </w:p>
          <w:p w14:paraId="68020ABA">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2、光伏组件：单晶硅</w:t>
            </w:r>
          </w:p>
          <w:p w14:paraId="376162CD">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3、发电性能：受恶劣天气（风沙、雨雪）得影响较小，具备弱光电的性能。</w:t>
            </w:r>
          </w:p>
          <w:p w14:paraId="547AB6ED">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4、衰减率：一年内不大于5%，以后基本稳定。</w:t>
            </w:r>
          </w:p>
          <w:p w14:paraId="4CE2A673">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5、组件功率：200W120HA，单次充满可持续一周供电。</w:t>
            </w:r>
          </w:p>
          <w:p w14:paraId="0A165CF3">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6、工作电压：12V2A</w:t>
            </w:r>
          </w:p>
          <w:p w14:paraId="593B85B5">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7、寿命：25年</w:t>
            </w:r>
          </w:p>
          <w:p w14:paraId="0EB63932">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流量卡</w:t>
            </w:r>
          </w:p>
          <w:p w14:paraId="50F3384B">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1、五年流量（包五年流量费）</w:t>
            </w:r>
          </w:p>
          <w:p w14:paraId="47FFD2CD">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内存卡</w:t>
            </w:r>
          </w:p>
          <w:p w14:paraId="6645D287">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1、512G</w:t>
            </w:r>
          </w:p>
          <w:p w14:paraId="0496DBCD">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常规存储：30天</w:t>
            </w:r>
          </w:p>
          <w:p w14:paraId="482D83F4">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五、设备安拆</w:t>
            </w:r>
          </w:p>
          <w:p w14:paraId="2898184E">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在签订合同后，</w:t>
            </w:r>
            <w:r>
              <w:rPr>
                <w:rFonts w:hint="eastAsia" w:ascii="宋体" w:hAnsi="宋体" w:eastAsia="宋体" w:cs="宋体"/>
                <w:b w:val="0"/>
                <w:bCs w:val="0"/>
                <w:sz w:val="24"/>
                <w:szCs w:val="24"/>
                <w:lang w:val="en-US" w:eastAsia="zh-CN"/>
              </w:rPr>
              <w:t>成交供应商</w:t>
            </w:r>
            <w:r>
              <w:rPr>
                <w:rFonts w:hint="default" w:ascii="宋体" w:hAnsi="宋体" w:eastAsia="宋体" w:cs="宋体"/>
                <w:b w:val="0"/>
                <w:bCs w:val="0"/>
                <w:sz w:val="24"/>
                <w:szCs w:val="24"/>
                <w:lang w:val="en-US" w:eastAsia="zh-CN"/>
              </w:rPr>
              <w:t>按照</w:t>
            </w:r>
            <w:r>
              <w:rPr>
                <w:rFonts w:hint="eastAsia" w:ascii="宋体" w:hAnsi="宋体" w:eastAsia="宋体" w:cs="宋体"/>
                <w:b w:val="0"/>
                <w:bCs w:val="0"/>
                <w:sz w:val="24"/>
                <w:szCs w:val="24"/>
                <w:lang w:val="en-US" w:eastAsia="zh-CN"/>
              </w:rPr>
              <w:t>采购人</w:t>
            </w:r>
            <w:r>
              <w:rPr>
                <w:rFonts w:hint="default" w:ascii="宋体" w:hAnsi="宋体" w:eastAsia="宋体" w:cs="宋体"/>
                <w:b w:val="0"/>
                <w:bCs w:val="0"/>
                <w:sz w:val="24"/>
                <w:szCs w:val="24"/>
                <w:lang w:val="en-US" w:eastAsia="zh-CN"/>
              </w:rPr>
              <w:t>要求负责设备安装、调试，要求做到布局合理，布线规范，便于使用及维护，符合国家有关技术标准及《赤峰市环境视频监控系统建设技术要求》((2020)1号)，并确保设施设备符合赤峰市生态环境局在线平台接入要求及使用规范。</w:t>
            </w:r>
          </w:p>
          <w:p w14:paraId="3912C255">
            <w:pPr>
              <w:keepNext w:val="0"/>
              <w:keepLines w:val="0"/>
              <w:pageBreakBefore w:val="0"/>
              <w:kinsoku/>
              <w:overflowPunct/>
              <w:autoSpaceDE/>
              <w:autoSpaceDN/>
              <w:bidi w:val="0"/>
              <w:adjustRightInd/>
              <w:snapToGrid/>
              <w:spacing w:line="520" w:lineRule="exact"/>
              <w:rPr>
                <w:rFonts w:hint="eastAsia" w:eastAsia="宋体"/>
                <w:lang w:val="en-US" w:eastAsia="zh-CN"/>
              </w:rPr>
            </w:pPr>
            <w:r>
              <w:rPr>
                <w:rFonts w:hint="eastAsia" w:ascii="宋体" w:hAnsi="宋体" w:eastAsia="宋体" w:cs="宋体"/>
                <w:b/>
                <w:bCs/>
                <w:sz w:val="24"/>
                <w:szCs w:val="24"/>
              </w:rPr>
              <w:t>★供应商须完全满足以上技术参数要求，提供完全满足以上技术参数要求承诺书（承诺书格式自拟），不提供做无效标处理。（验收时货物参数与供应商承诺不一致，采购人有权取消供应商成交资格）</w:t>
            </w:r>
            <w:r>
              <w:rPr>
                <w:rFonts w:hint="eastAsia" w:ascii="宋体" w:hAnsi="宋体" w:eastAsia="宋体" w:cs="宋体"/>
                <w:b/>
                <w:bCs/>
                <w:sz w:val="24"/>
                <w:szCs w:val="24"/>
                <w:lang w:eastAsia="zh-CN"/>
              </w:rPr>
              <w:t>。</w:t>
            </w:r>
          </w:p>
        </w:tc>
      </w:tr>
      <w:tr w14:paraId="3948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top"/>
          </w:tcPr>
          <w:p w14:paraId="0872D320">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说明</w:t>
            </w:r>
          </w:p>
        </w:tc>
        <w:tc>
          <w:tcPr>
            <w:tcW w:w="4430" w:type="pct"/>
            <w:gridSpan w:val="2"/>
            <w:vAlign w:val="top"/>
          </w:tcPr>
          <w:p w14:paraId="70108044">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打“★”号条款为实质性条款，若有任何一条负偏离或不满足则导致响应无效。</w:t>
            </w:r>
          </w:p>
        </w:tc>
      </w:tr>
    </w:tbl>
    <w:p w14:paraId="2B00D136">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t>附表</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 xml:space="preserve">：非现场执法监控设备维护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是否允许进口：否</w:t>
      </w:r>
    </w:p>
    <w:tbl>
      <w:tblPr>
        <w:tblStyle w:val="33"/>
        <w:tblW w:w="50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6"/>
        <w:gridCol w:w="535"/>
        <w:gridCol w:w="7610"/>
      </w:tblGrid>
      <w:tr w14:paraId="07E3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center"/>
          </w:tcPr>
          <w:p w14:paraId="4443CF1B">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参数性质</w:t>
            </w:r>
          </w:p>
        </w:tc>
        <w:tc>
          <w:tcPr>
            <w:tcW w:w="291" w:type="pct"/>
            <w:vAlign w:val="center"/>
          </w:tcPr>
          <w:p w14:paraId="688F81C9">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139" w:type="pct"/>
            <w:vAlign w:val="center"/>
          </w:tcPr>
          <w:p w14:paraId="04B0D1D1">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具体技术(参数)要求</w:t>
            </w:r>
          </w:p>
        </w:tc>
      </w:tr>
      <w:tr w14:paraId="08FE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center"/>
          </w:tcPr>
          <w:p w14:paraId="63EE47EF">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tc>
        <w:tc>
          <w:tcPr>
            <w:tcW w:w="291" w:type="pct"/>
            <w:vAlign w:val="center"/>
          </w:tcPr>
          <w:p w14:paraId="0CD9E100">
            <w:pPr>
              <w:keepNext w:val="0"/>
              <w:keepLines w:val="0"/>
              <w:pageBreakBefore w:val="0"/>
              <w:widowControl/>
              <w:kinsoku/>
              <w:wordWrap w:val="0"/>
              <w:overflowPunct/>
              <w:topLinePunct/>
              <w:autoSpaceDE/>
              <w:autoSpaceDN/>
              <w:bidi w:val="0"/>
              <w:adjustRightInd/>
              <w:snapToGrid/>
              <w:spacing w:line="52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139" w:type="pct"/>
            <w:vAlign w:val="top"/>
          </w:tcPr>
          <w:p w14:paraId="12A69974">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非现场执法监控设备维护</w:t>
            </w:r>
          </w:p>
          <w:p w14:paraId="3C91590E">
            <w:pPr>
              <w:keepNext w:val="0"/>
              <w:keepLines w:val="0"/>
              <w:pageBreakBefore w:val="0"/>
              <w:widowControl/>
              <w:numPr>
                <w:ilvl w:val="0"/>
                <w:numId w:val="0"/>
              </w:numPr>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2、维护期：五年</w:t>
            </w:r>
          </w:p>
          <w:p w14:paraId="1D9C7DA6">
            <w:pPr>
              <w:pStyle w:val="2"/>
              <w:keepNext w:val="0"/>
              <w:keepLines w:val="0"/>
              <w:pageBreakBefore w:val="0"/>
              <w:kinsoku/>
              <w:overflowPunct/>
              <w:autoSpaceDE/>
              <w:autoSpaceDN/>
              <w:bidi w:val="0"/>
              <w:adjustRightInd/>
              <w:snapToGrid/>
              <w:spacing w:line="520" w:lineRule="exact"/>
              <w:ind w:left="0" w:leftChars="0" w:firstLine="0" w:firstLineChars="0"/>
              <w:rPr>
                <w:rFonts w:hint="default"/>
                <w:lang w:val="en-US" w:eastAsia="zh-CN"/>
              </w:rPr>
            </w:pPr>
            <w:r>
              <w:rPr>
                <w:rFonts w:hint="eastAsia" w:ascii="宋体" w:hAnsi="宋体" w:eastAsia="宋体" w:cs="宋体"/>
                <w:b/>
                <w:bCs/>
                <w:sz w:val="24"/>
                <w:szCs w:val="24"/>
              </w:rPr>
              <w:t>★供应商须完全满足以上技术参数要求，提供完全满足以上技术参数要求承诺书（承诺书格式自拟），不提供做无效标处理。</w:t>
            </w:r>
          </w:p>
        </w:tc>
      </w:tr>
      <w:tr w14:paraId="0F6A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69" w:type="pct"/>
            <w:vAlign w:val="top"/>
          </w:tcPr>
          <w:p w14:paraId="69ED4FE8">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说明</w:t>
            </w:r>
          </w:p>
        </w:tc>
        <w:tc>
          <w:tcPr>
            <w:tcW w:w="4430" w:type="pct"/>
            <w:gridSpan w:val="2"/>
            <w:vAlign w:val="top"/>
          </w:tcPr>
          <w:p w14:paraId="7D26B8F7">
            <w:pPr>
              <w:keepNext w:val="0"/>
              <w:keepLines w:val="0"/>
              <w:pageBreakBefore w:val="0"/>
              <w:widowControl/>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打“★”号条款为实质性条款，若有任何一条负偏离或不满足则导致响应无效。</w:t>
            </w:r>
          </w:p>
        </w:tc>
      </w:tr>
    </w:tbl>
    <w:p w14:paraId="44F72009">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53894509">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5" w:name="_Toc31364"/>
      <w:bookmarkStart w:id="6" w:name="_Toc15036"/>
      <w:r>
        <w:rPr>
          <w:rFonts w:hint="eastAsia" w:ascii="宋体" w:hAnsi="宋体" w:eastAsia="宋体" w:cs="宋体"/>
          <w:b/>
          <w:bCs/>
          <w:spacing w:val="20"/>
          <w:sz w:val="31"/>
          <w:szCs w:val="31"/>
          <w:lang w:val="en-US" w:eastAsia="zh-CN"/>
        </w:rPr>
        <w:t>第四章 供应商应当提交的资格、资信证明文件</w:t>
      </w:r>
      <w:bookmarkEnd w:id="5"/>
      <w:bookmarkEnd w:id="6"/>
    </w:p>
    <w:p w14:paraId="4610B764">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供应商应提交证明其有资格参加</w:t>
      </w:r>
      <w:r>
        <w:rPr>
          <w:rFonts w:hint="eastAsia" w:ascii="宋体" w:hAnsi="宋体" w:eastAsia="宋体" w:cs="宋体"/>
          <w:sz w:val="24"/>
          <w:szCs w:val="24"/>
          <w:lang w:eastAsia="zh-CN"/>
        </w:rPr>
        <w:t>磋商</w:t>
      </w:r>
      <w:r>
        <w:rPr>
          <w:rFonts w:hint="eastAsia" w:ascii="宋体" w:hAnsi="宋体" w:eastAsia="宋体" w:cs="宋体"/>
          <w:sz w:val="24"/>
          <w:szCs w:val="24"/>
        </w:rPr>
        <w:t>和成交后有能力履行合同的相关文件，并作为其响应文件的一部分，所有文件必须真实可靠、不得伪造，否则将按相关规定予以处罚。</w:t>
      </w:r>
    </w:p>
    <w:p w14:paraId="6C6DFF7B">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w:t>
      </w:r>
      <w:r>
        <w:rPr>
          <w:rFonts w:hint="eastAsia" w:ascii="宋体" w:hAnsi="宋体" w:eastAsia="宋体" w:cs="宋体"/>
          <w:sz w:val="24"/>
          <w:szCs w:val="24"/>
          <w:lang w:eastAsia="zh-CN"/>
        </w:rPr>
        <w:t>（</w:t>
      </w:r>
      <w:r>
        <w:rPr>
          <w:rFonts w:hint="eastAsia" w:ascii="宋体" w:hAnsi="宋体" w:eastAsia="宋体" w:cs="宋体"/>
          <w:sz w:val="24"/>
          <w:szCs w:val="24"/>
        </w:rPr>
        <w:t>包括合伙企业</w:t>
      </w:r>
      <w:r>
        <w:rPr>
          <w:rFonts w:hint="eastAsia" w:ascii="宋体" w:hAnsi="宋体" w:eastAsia="宋体" w:cs="宋体"/>
          <w:sz w:val="24"/>
          <w:szCs w:val="24"/>
          <w:lang w:eastAsia="zh-CN"/>
        </w:rPr>
        <w:t>）</w:t>
      </w:r>
      <w:r>
        <w:rPr>
          <w:rFonts w:hint="eastAsia" w:ascii="宋体" w:hAnsi="宋体" w:eastAsia="宋体" w:cs="宋体"/>
          <w:sz w:val="24"/>
          <w:szCs w:val="24"/>
        </w:rPr>
        <w:t>,要提供在市场监督管理部门注册的有效“企业法人营业执照”或“营业执照”</w:t>
      </w:r>
      <w:r>
        <w:rPr>
          <w:rFonts w:hint="eastAsia" w:ascii="宋体" w:hAnsi="宋体" w:eastAsia="宋体" w:cs="宋体"/>
          <w:sz w:val="24"/>
          <w:szCs w:val="24"/>
          <w:lang w:eastAsia="zh-CN"/>
        </w:rPr>
        <w:t>；</w:t>
      </w:r>
      <w:r>
        <w:rPr>
          <w:rFonts w:hint="eastAsia" w:ascii="宋体" w:hAnsi="宋体" w:eastAsia="宋体" w:cs="宋体"/>
          <w:sz w:val="24"/>
          <w:szCs w:val="24"/>
        </w:rPr>
        <w:t>如供应商是事业单位，要提供有效的“事业单位法人证书”</w:t>
      </w:r>
      <w:r>
        <w:rPr>
          <w:rFonts w:hint="eastAsia" w:ascii="宋体" w:hAnsi="宋体" w:eastAsia="宋体" w:cs="宋体"/>
          <w:sz w:val="24"/>
          <w:szCs w:val="24"/>
          <w:lang w:eastAsia="zh-CN"/>
        </w:rPr>
        <w:t>；</w:t>
      </w:r>
      <w:r>
        <w:rPr>
          <w:rFonts w:hint="eastAsia" w:ascii="宋体" w:hAnsi="宋体" w:eastAsia="宋体" w:cs="宋体"/>
          <w:sz w:val="24"/>
          <w:szCs w:val="24"/>
        </w:rPr>
        <w:t>供应商是非企业专业服务机构，如律师事务所、会计师事务所，要提供有效的执业许可证等证明文件；如供应商是个体工商户，要提供有效的“个体工商户营业执照”</w:t>
      </w:r>
      <w:r>
        <w:rPr>
          <w:rFonts w:hint="eastAsia" w:ascii="宋体" w:hAnsi="宋体" w:eastAsia="宋体" w:cs="宋体"/>
          <w:sz w:val="24"/>
          <w:szCs w:val="24"/>
          <w:lang w:eastAsia="zh-CN"/>
        </w:rPr>
        <w:t>；</w:t>
      </w:r>
      <w:r>
        <w:rPr>
          <w:rFonts w:hint="eastAsia" w:ascii="宋体" w:hAnsi="宋体" w:eastAsia="宋体" w:cs="宋体"/>
          <w:sz w:val="24"/>
          <w:szCs w:val="24"/>
        </w:rPr>
        <w:t>如供应商是自然人，要提供有效的自然人身份证明。</w:t>
      </w:r>
    </w:p>
    <w:p w14:paraId="2C3B1418">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分公司不是独立法人，不具备政府采购法第二十二条规定的供应商应当具备独立承担民事责任能力的条件。分公司经总公司授权，可以以分公司的名义参加政府采购活动，但其民事责任由总公司承担。</w:t>
      </w:r>
    </w:p>
    <w:p w14:paraId="5E358963">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二、</w:t>
      </w:r>
      <w:r>
        <w:rPr>
          <w:rFonts w:hint="eastAsia" w:ascii="宋体" w:hAnsi="宋体" w:eastAsia="宋体" w:cs="宋体"/>
          <w:sz w:val="24"/>
          <w:szCs w:val="24"/>
        </w:rPr>
        <w:t>具备履行合同所必需的设备和专业技术能力的证明材料。</w:t>
      </w:r>
    </w:p>
    <w:p w14:paraId="36B0A643">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、参加政府采购活动前3年内在经营活动中没有重大违法记录的书面声明。</w:t>
      </w:r>
    </w:p>
    <w:p w14:paraId="4772F362">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、按照</w:t>
      </w:r>
      <w:r>
        <w:rPr>
          <w:rFonts w:hint="eastAsia" w:ascii="宋体" w:hAnsi="宋体" w:eastAsia="宋体" w:cs="宋体"/>
          <w:sz w:val="24"/>
          <w:szCs w:val="24"/>
          <w:lang w:eastAsia="zh-CN"/>
        </w:rPr>
        <w:t>磋商</w:t>
      </w:r>
      <w:r>
        <w:rPr>
          <w:rFonts w:hint="eastAsia" w:ascii="宋体" w:hAnsi="宋体" w:eastAsia="宋体" w:cs="宋体"/>
          <w:sz w:val="24"/>
          <w:szCs w:val="24"/>
        </w:rPr>
        <w:t>文件要求，供应商应当提交的其他资格、资信证明文件。</w:t>
      </w:r>
    </w:p>
    <w:p w14:paraId="0CF7A4D7">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6B402D68">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7" w:name="_Toc18888"/>
      <w:r>
        <w:rPr>
          <w:rFonts w:hint="eastAsia" w:ascii="宋体" w:hAnsi="宋体" w:eastAsia="宋体" w:cs="宋体"/>
          <w:b/>
          <w:bCs/>
          <w:spacing w:val="20"/>
          <w:sz w:val="31"/>
          <w:szCs w:val="31"/>
          <w:lang w:val="en-US" w:eastAsia="zh-CN"/>
        </w:rPr>
        <w:t>第五章 评审</w:t>
      </w:r>
      <w:bookmarkEnd w:id="7"/>
    </w:p>
    <w:p w14:paraId="13C6237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一、评审要求</w:t>
      </w:r>
    </w:p>
    <w:p w14:paraId="15C7AD37">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1.评审方法</w:t>
      </w:r>
    </w:p>
    <w:p w14:paraId="21FE0A7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231D9FD">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2.评审原则</w:t>
      </w:r>
    </w:p>
    <w:p w14:paraId="1B8923D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2.1磋商小组成员应当遵循客观、公正、审慎的原则，根据磋商文件规定的评审程序、评审方法和评审标准进行独立评审。</w:t>
      </w:r>
    </w:p>
    <w:p w14:paraId="2593294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2.2具体评审事项由磋商小组负责，并按磋商文件规定的办法进行评审。</w:t>
      </w:r>
    </w:p>
    <w:p w14:paraId="02995BCB">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3.磋商小组</w:t>
      </w:r>
    </w:p>
    <w:p w14:paraId="6F8122CB">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3.1磋商小组由采购人代表和评审专家共3人组成，其中评审专家人数不得少于磋商小组成员总数的2/3。采购人代表不得以评审专家身份参加本部门或本单位采购项目的评审。</w:t>
      </w:r>
    </w:p>
    <w:p w14:paraId="4A3D76C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rPr>
        <w:t>3.2磋商小组成</w:t>
      </w:r>
      <w:r>
        <w:rPr>
          <w:rFonts w:hint="eastAsia" w:ascii="宋体" w:hAnsi="宋体" w:eastAsia="宋体" w:cs="宋体"/>
          <w:sz w:val="24"/>
          <w:szCs w:val="24"/>
        </w:rPr>
        <w:t>员有下列情形之一的，应当回避：</w:t>
      </w:r>
    </w:p>
    <w:p w14:paraId="4101F336">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参加政府采购活动前3年内，与供应商存在劳动关系，或者担任过供应商的董事、监事，或者是供应商的控股股东或实际控制人；</w:t>
      </w:r>
    </w:p>
    <w:p w14:paraId="52861A6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与供应商的法定代表人或者负责人有夫妻、直系血亲、三代以内旁系血亲或者近姻亲关系；</w:t>
      </w:r>
    </w:p>
    <w:p w14:paraId="5BF374F7">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与供应商有其他可能影响政府采购活动公平、公正进行的关系；</w:t>
      </w:r>
    </w:p>
    <w:p w14:paraId="15D20A1B">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3.3磋商小组负责具体评审事务，并独立履行下列职责：</w:t>
      </w:r>
    </w:p>
    <w:p w14:paraId="16AE98E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对响应文件的有效性、完整性和响应程度进行审查；</w:t>
      </w:r>
    </w:p>
    <w:p w14:paraId="2A66F27B">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要求供应商对响应文件有关事项作出澄清、说明或更正；</w:t>
      </w:r>
    </w:p>
    <w:p w14:paraId="586B180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磋商小组所有成员应当集中与单一供应商分别进行磋商；</w:t>
      </w:r>
    </w:p>
    <w:p w14:paraId="6C925DD0">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对响应文件进行比较和评价；</w:t>
      </w:r>
    </w:p>
    <w:p w14:paraId="067118E3">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确定成交候选人名单，以及根据采购人委托直接确定成交供应商；</w:t>
      </w:r>
    </w:p>
    <w:p w14:paraId="6CF052F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向采购人、采购代理机构或者有关部门报告评审中发现的违法行为；</w:t>
      </w:r>
    </w:p>
    <w:p w14:paraId="7E782BD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法律法规规定的其他职责。</w:t>
      </w:r>
    </w:p>
    <w:p w14:paraId="0ACC603E">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4.澄清</w:t>
      </w:r>
    </w:p>
    <w:p w14:paraId="78495BF7">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B4A443">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3F353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4.1磋商小组不接受供应商主动提出的澄清、说明或更正。</w:t>
      </w:r>
    </w:p>
    <w:p w14:paraId="37EA6E02">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4.2磋商小组对供应商提交的澄清、说明或更正有疑问的，可以要求供应商进一步澄清、说明或更正。</w:t>
      </w:r>
    </w:p>
    <w:p w14:paraId="0ED371B4">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5.有下列情形之一的，属于恶意串通，并追究法律责任：</w:t>
      </w:r>
    </w:p>
    <w:p w14:paraId="79C3978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供应商直接或者间接从采购人或者采购代理机构处获得其他供应商的相关情况并修改其响应文件；</w:t>
      </w:r>
    </w:p>
    <w:p w14:paraId="6985416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供应商按照采购人或者采购代理机构的授意撤换、修改响应文件；</w:t>
      </w:r>
    </w:p>
    <w:p w14:paraId="4F3F9C0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供应商之间协商报价、技术方案等响应文件的实质性内容；</w:t>
      </w:r>
    </w:p>
    <w:p w14:paraId="5C85C3D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属于同一集团、协会、商会等组织成员的供应商按照该组织要求协同参加政府采购活动；</w:t>
      </w:r>
    </w:p>
    <w:p w14:paraId="28AD0F8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供应商之间事先约定由某一特定供应商成交；</w:t>
      </w:r>
    </w:p>
    <w:p w14:paraId="60AC145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供应商之间商定部分供应商放弃参加政府采购活动或者放弃成交；</w:t>
      </w:r>
    </w:p>
    <w:p w14:paraId="6781FFC2">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供应商与采购人或者采购代理机构之间、供应商相互之间，为谋求特定供应商成交或者排斥其他供应商的其他串通行为。</w:t>
      </w:r>
    </w:p>
    <w:p w14:paraId="2A55C063">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6.响应无效的情形</w:t>
      </w:r>
    </w:p>
    <w:p w14:paraId="02F8FEEA">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供应商未按照磋商文件要求提交磋商保证金的，响应无效；</w:t>
      </w:r>
    </w:p>
    <w:p w14:paraId="4FFE5955">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在提交响应文件截止时间后递交响应文件的，响应无效；</w:t>
      </w:r>
    </w:p>
    <w:p w14:paraId="61508385">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未实质性响应磋商文件的，响应无效；</w:t>
      </w:r>
    </w:p>
    <w:p w14:paraId="496CE16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法律、法规和磋商文件规定的其他无效情形。</w:t>
      </w:r>
    </w:p>
    <w:p w14:paraId="1662DA7D">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7.终止的情形</w:t>
      </w:r>
    </w:p>
    <w:p w14:paraId="70261C0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出现下列情形之一的，采购人或者采购代理机构应当终止竞争性磋商采购活动，发布公告并说明原因，重新开展采购活动：</w:t>
      </w:r>
    </w:p>
    <w:p w14:paraId="199B9173">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因情况变化，不再符合规定的竞争性磋商采购方式适用情形的；</w:t>
      </w:r>
    </w:p>
    <w:p w14:paraId="2CE58CCA">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出现影响采购公正的违法、违规行为的；</w:t>
      </w:r>
    </w:p>
    <w:p w14:paraId="7050AAA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除《政府采购竞争性磋商采购方式管理暂行办法》及其补充通知规定的情形外，在采购过程中符合要求的供应商或者报价未超过采购预算的供应商不足3家的。</w:t>
      </w:r>
    </w:p>
    <w:p w14:paraId="5FE79E36">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法律、法规以及磋商文件规定的其他情形。</w:t>
      </w:r>
    </w:p>
    <w:p w14:paraId="34E75BA2">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8.成交</w:t>
      </w:r>
    </w:p>
    <w:p w14:paraId="439231FA">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评审结束后，磋商小组根据采购人书面授权直接确定成交供应商或者由采购人从评审报告提出的成交候选供应商中按顺序确定成交供应商。</w:t>
      </w:r>
    </w:p>
    <w:p w14:paraId="370C11A4">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二、落实政府采购政策</w:t>
      </w:r>
    </w:p>
    <w:p w14:paraId="4FE3D00A">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1.节约能源、保护环境</w:t>
      </w:r>
    </w:p>
    <w:p w14:paraId="11C69AB7">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19285778">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2.促进中小企业发展</w:t>
      </w:r>
    </w:p>
    <w:p w14:paraId="301047B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2.1采购人在政府采购活动中应当通过加强采购需求管理，落实预留采购份额、价格评审优惠、优先采购等措施，提高中小企业在政府采购中的份额，支持中小企业发展。</w:t>
      </w:r>
    </w:p>
    <w:p w14:paraId="369DAE93">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AEC667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2.3在政府采购活动中，供应商提供的货物、工程或者服务符合下列情形的，享受《政府采购促进中小企业发展管理办法》规定的中小企业扶持政策：</w:t>
      </w:r>
    </w:p>
    <w:p w14:paraId="6C9B1E37">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在货物采购项目中，货物由中小企业制造，即货物由中小企业生产且使用该中小企业商号或者注册商标；</w:t>
      </w:r>
    </w:p>
    <w:p w14:paraId="66471B3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在工程采购项目中，工程由中小企业承建，即工程施工单位为中小企业；</w:t>
      </w:r>
    </w:p>
    <w:p w14:paraId="72559996">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在服务采购项目中，服务由中小企业承接，即提供服务的人员为中小企业依照《中华人民共和国劳动合同法》订立劳动合同的从业人员。</w:t>
      </w:r>
    </w:p>
    <w:p w14:paraId="52F70479">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在货物采购项目中，供应商提供的货物既有中小企业制造货物，也有大型企业制造货物的，不享受《政府采购促进中小企业发展管理办法》规定的中小企业扶持政策。</w:t>
      </w:r>
    </w:p>
    <w:p w14:paraId="41E6C88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479D9B19">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依照《政府采购促进中小企业发展管理办法》《关于政府采购支持监狱企业发展有关问题的通知》和《财政部民政部中国残疾人联合会关于促进残疾人就业政府采购政策的通知》的规定，凡符合要求的小型、微型企业、监狱企业或残疾人福利性单位，按照以下比例给予相应的价格扣除：</w:t>
      </w:r>
    </w:p>
    <w:p w14:paraId="25756368">
      <w:pPr>
        <w:keepNext w:val="0"/>
        <w:keepLines w:val="0"/>
        <w:pageBreakBefore w:val="0"/>
        <w:widowControl w:val="0"/>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（赤峰市生态环境局元宝山区分局非现场执法监控设备安装工程及维护项目）</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83"/>
        <w:gridCol w:w="1340"/>
        <w:gridCol w:w="1134"/>
        <w:gridCol w:w="4721"/>
      </w:tblGrid>
      <w:tr w14:paraId="76D2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noWrap w:val="0"/>
            <w:vAlign w:val="center"/>
          </w:tcPr>
          <w:p w14:paraId="214B1425">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序号</w:t>
            </w:r>
          </w:p>
        </w:tc>
        <w:tc>
          <w:tcPr>
            <w:tcW w:w="745" w:type="pct"/>
            <w:noWrap w:val="0"/>
            <w:vAlign w:val="center"/>
          </w:tcPr>
          <w:p w14:paraId="3C0763B7">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情形</w:t>
            </w:r>
          </w:p>
        </w:tc>
        <w:tc>
          <w:tcPr>
            <w:tcW w:w="722" w:type="pct"/>
            <w:noWrap w:val="0"/>
            <w:vAlign w:val="center"/>
          </w:tcPr>
          <w:p w14:paraId="57F9586E">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适用对象</w:t>
            </w:r>
          </w:p>
        </w:tc>
        <w:tc>
          <w:tcPr>
            <w:tcW w:w="611" w:type="pct"/>
            <w:noWrap w:val="0"/>
            <w:vAlign w:val="center"/>
          </w:tcPr>
          <w:p w14:paraId="6F1B844F">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价格扣除比例</w:t>
            </w:r>
          </w:p>
        </w:tc>
        <w:tc>
          <w:tcPr>
            <w:tcW w:w="2541" w:type="pct"/>
            <w:noWrap w:val="0"/>
            <w:vAlign w:val="center"/>
          </w:tcPr>
          <w:p w14:paraId="4272316A">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计算公式</w:t>
            </w:r>
          </w:p>
        </w:tc>
      </w:tr>
      <w:tr w14:paraId="5E94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noWrap w:val="0"/>
            <w:vAlign w:val="center"/>
          </w:tcPr>
          <w:p w14:paraId="0F3865AF">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center"/>
              <w:textAlignment w:val="auto"/>
              <w:rPr>
                <w:rFonts w:hint="default"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i w:val="0"/>
                <w:iCs w:val="0"/>
                <w:color w:val="auto"/>
                <w:spacing w:val="0"/>
                <w:kern w:val="0"/>
                <w:sz w:val="24"/>
                <w:szCs w:val="24"/>
                <w:highlight w:val="none"/>
                <w:lang w:val="en-US" w:eastAsia="zh-CN" w:bidi="ar"/>
              </w:rPr>
              <w:t>1</w:t>
            </w:r>
          </w:p>
        </w:tc>
        <w:tc>
          <w:tcPr>
            <w:tcW w:w="1383" w:type="dxa"/>
            <w:noWrap w:val="0"/>
            <w:vAlign w:val="center"/>
          </w:tcPr>
          <w:p w14:paraId="5520FB62">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小型、微型企业，监狱企业，残疾人福利性单位</w:t>
            </w:r>
          </w:p>
        </w:tc>
        <w:tc>
          <w:tcPr>
            <w:tcW w:w="1340" w:type="dxa"/>
            <w:noWrap w:val="0"/>
            <w:vAlign w:val="center"/>
          </w:tcPr>
          <w:p w14:paraId="13F9D304">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非联合体</w:t>
            </w:r>
          </w:p>
        </w:tc>
        <w:tc>
          <w:tcPr>
            <w:tcW w:w="1134" w:type="dxa"/>
            <w:noWrap w:val="0"/>
            <w:vAlign w:val="center"/>
          </w:tcPr>
          <w:p w14:paraId="54EF8692">
            <w:pPr>
              <w:pageBreakBefore w:val="0"/>
              <w:widowControl/>
              <w:kinsoku/>
              <w:wordWrap w:val="0"/>
              <w:overflowPunct/>
              <w:topLinePunct/>
              <w:autoSpaceDE/>
              <w:autoSpaceDN/>
              <w:bidi w:val="0"/>
              <w:adjustRightInd/>
              <w:snapToGrid/>
              <w:spacing w:line="520" w:lineRule="exact"/>
              <w:ind w:left="0" w:leftChars="0" w:right="0" w:rightChars="0" w:firstLine="0" w:firstLineChars="0"/>
              <w:jc w:val="center"/>
              <w:textAlignment w:val="baseline"/>
              <w:rPr>
                <w:rFonts w:hint="default"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p>
        </w:tc>
        <w:tc>
          <w:tcPr>
            <w:tcW w:w="4721" w:type="dxa"/>
            <w:noWrap w:val="0"/>
            <w:vAlign w:val="center"/>
          </w:tcPr>
          <w:p w14:paraId="036370E4">
            <w:pPr>
              <w:pageBreakBefore w:val="0"/>
              <w:widowControl/>
              <w:kinsoku/>
              <w:wordWrap w:val="0"/>
              <w:overflowPunct/>
              <w:topLinePunct/>
              <w:autoSpaceDE/>
              <w:autoSpaceDN/>
              <w:bidi w:val="0"/>
              <w:adjustRightInd/>
              <w:snapToGrid/>
              <w:spacing w:line="520" w:lineRule="exact"/>
              <w:jc w:val="both"/>
              <w:textAlignment w:val="baseline"/>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b w:val="0"/>
                <w:bCs w:val="0"/>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7DE4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00" w:type="pct"/>
            <w:gridSpan w:val="5"/>
            <w:noWrap w:val="0"/>
            <w:vAlign w:val="top"/>
          </w:tcPr>
          <w:p w14:paraId="4F245507">
            <w:pPr>
              <w:keepNext w:val="0"/>
              <w:keepLines w:val="0"/>
              <w:pageBreakBefore w:val="0"/>
              <w:widowControl w:val="0"/>
              <w:suppressLineNumbers w:val="0"/>
              <w:kinsoku w:val="0"/>
              <w:wordWrap/>
              <w:overflowPunct w:val="0"/>
              <w:topLinePunct w:val="0"/>
              <w:autoSpaceDE w:val="0"/>
              <w:autoSpaceDN w:val="0"/>
              <w:bidi w:val="0"/>
              <w:adjustRightInd/>
              <w:snapToGrid/>
              <w:spacing w:line="520" w:lineRule="exact"/>
              <w:jc w:val="both"/>
              <w:textAlignment w:val="auto"/>
              <w:rPr>
                <w:rFonts w:hint="eastAsia" w:ascii="宋体" w:hAnsi="宋体" w:eastAsia="宋体" w:cs="宋体"/>
                <w:i w:val="0"/>
                <w:iCs w:val="0"/>
                <w:color w:val="auto"/>
                <w:spacing w:val="0"/>
                <w:kern w:val="0"/>
                <w:sz w:val="24"/>
                <w:szCs w:val="24"/>
                <w:highlight w:val="none"/>
                <w:lang w:val="en-US" w:eastAsia="zh-CN" w:bidi="ar"/>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：(1)上述评标价仅用于计算价格评分，成交金额以实际投标价为准。(2)组成联合体的大中型企业和其他自然人、法人或者其他组织，与小型、微型企业之间不得存在投资关系。</w:t>
            </w:r>
          </w:p>
        </w:tc>
      </w:tr>
    </w:tbl>
    <w:p w14:paraId="35986E0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2.5供应商属于中小企业的，应提供《中小企业声明函》;属于监狱企业的，应提供由省级以上监狱管理局、戒毒管理局</w:t>
      </w:r>
      <w:r>
        <w:rPr>
          <w:rFonts w:hint="eastAsia" w:ascii="宋体" w:hAnsi="宋体" w:eastAsia="宋体" w:cs="宋体"/>
          <w:sz w:val="24"/>
          <w:szCs w:val="24"/>
          <w:lang w:eastAsia="zh-CN"/>
        </w:rPr>
        <w:t>（</w:t>
      </w:r>
      <w:r>
        <w:rPr>
          <w:rFonts w:hint="eastAsia" w:ascii="宋体" w:hAnsi="宋体" w:eastAsia="宋体" w:cs="宋体"/>
          <w:sz w:val="24"/>
          <w:szCs w:val="24"/>
        </w:rPr>
        <w:t>含新疆生产建设兵团</w:t>
      </w:r>
      <w:r>
        <w:rPr>
          <w:rFonts w:hint="eastAsia" w:ascii="宋体" w:hAnsi="宋体" w:eastAsia="宋体" w:cs="宋体"/>
          <w:sz w:val="24"/>
          <w:szCs w:val="24"/>
          <w:lang w:eastAsia="zh-CN"/>
        </w:rPr>
        <w:t>）</w:t>
      </w:r>
      <w:r>
        <w:rPr>
          <w:rFonts w:hint="eastAsia" w:ascii="宋体" w:hAnsi="宋体" w:eastAsia="宋体" w:cs="宋体"/>
          <w:sz w:val="24"/>
          <w:szCs w:val="24"/>
        </w:rPr>
        <w:t>出具的属于监狱企业的证明文件；属于残疾人福利性单位的，应提供《残疾人福利性单位声明函》。供应商应当按照《中小企业声明函》《残疾人福利性单位声明函》规定格式提供</w:t>
      </w:r>
      <w:r>
        <w:rPr>
          <w:rFonts w:hint="eastAsia" w:ascii="宋体" w:hAnsi="宋体" w:eastAsia="宋体" w:cs="宋体"/>
          <w:sz w:val="24"/>
          <w:szCs w:val="24"/>
          <w:lang w:eastAsia="zh-CN"/>
        </w:rPr>
        <w:t>（</w:t>
      </w:r>
      <w:r>
        <w:rPr>
          <w:rFonts w:hint="eastAsia" w:ascii="宋体" w:hAnsi="宋体" w:eastAsia="宋体" w:cs="宋体"/>
          <w:sz w:val="24"/>
          <w:szCs w:val="24"/>
        </w:rPr>
        <w:t>格式附后，不可修改</w:t>
      </w:r>
      <w:r>
        <w:rPr>
          <w:rFonts w:hint="eastAsia" w:ascii="宋体" w:hAnsi="宋体" w:eastAsia="宋体" w:cs="宋体"/>
          <w:sz w:val="24"/>
          <w:szCs w:val="24"/>
          <w:lang w:eastAsia="zh-CN"/>
        </w:rPr>
        <w:t>）</w:t>
      </w:r>
      <w:r>
        <w:rPr>
          <w:rFonts w:hint="eastAsia" w:ascii="宋体" w:hAnsi="宋体" w:eastAsia="宋体" w:cs="宋体"/>
          <w:sz w:val="24"/>
          <w:szCs w:val="24"/>
        </w:rPr>
        <w:t>,未按规定提供的，不得享受相关中小企业扶持政策。</w:t>
      </w:r>
    </w:p>
    <w:p w14:paraId="0D2DB325">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供应商应当对提供材料的真实性负责，若有虚假，将追究其法律责任。</w:t>
      </w:r>
    </w:p>
    <w:p w14:paraId="111A22D4">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三、评审程序</w:t>
      </w:r>
    </w:p>
    <w:p w14:paraId="418AD788">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1.资格审查</w:t>
      </w:r>
    </w:p>
    <w:p w14:paraId="6AF994C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1.1磋商小组依据法律法规和磋商文件的规定，对响应文件中的资格证明文件等进行审查，以确定供应商是否具备响应资格。</w:t>
      </w:r>
    </w:p>
    <w:p w14:paraId="5DA2F242">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1.2资格审查中有任意一项未通过的，审查结果为未通过，未通过资格审查的供应商按无效响应处理。</w:t>
      </w:r>
    </w:p>
    <w:p w14:paraId="50B1C406">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1.3信用记录查询</w:t>
      </w:r>
    </w:p>
    <w:p w14:paraId="7DEB035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查询渠道：通过“信用中国”网站</w:t>
      </w:r>
      <w:r>
        <w:rPr>
          <w:rFonts w:hint="eastAsia" w:ascii="宋体" w:hAnsi="宋体" w:eastAsia="宋体" w:cs="宋体"/>
          <w:sz w:val="24"/>
          <w:szCs w:val="24"/>
          <w:lang w:eastAsia="zh-CN"/>
        </w:rPr>
        <w:t>（</w:t>
      </w:r>
      <w:r>
        <w:rPr>
          <w:rFonts w:hint="eastAsia" w:ascii="宋体" w:hAnsi="宋体" w:eastAsia="宋体" w:cs="宋体"/>
          <w:sz w:val="24"/>
          <w:szCs w:val="24"/>
        </w:rPr>
        <w:t>www.creditchina.gov.cn</w:t>
      </w:r>
      <w:r>
        <w:rPr>
          <w:rFonts w:hint="eastAsia" w:ascii="宋体" w:hAnsi="宋体" w:eastAsia="宋体" w:cs="宋体"/>
          <w:sz w:val="24"/>
          <w:szCs w:val="24"/>
          <w:lang w:eastAsia="zh-CN"/>
        </w:rPr>
        <w:t>）</w:t>
      </w:r>
      <w:r>
        <w:rPr>
          <w:rFonts w:hint="eastAsia" w:ascii="宋体" w:hAnsi="宋体" w:eastAsia="宋体" w:cs="宋体"/>
          <w:sz w:val="24"/>
          <w:szCs w:val="24"/>
        </w:rPr>
        <w:t>和“中国政府采购网”</w:t>
      </w:r>
      <w:r>
        <w:rPr>
          <w:rFonts w:hint="eastAsia" w:ascii="宋体" w:hAnsi="宋体" w:eastAsia="宋体" w:cs="宋体"/>
          <w:sz w:val="24"/>
          <w:szCs w:val="24"/>
          <w:lang w:eastAsia="zh-CN"/>
        </w:rPr>
        <w:t>（</w:t>
      </w:r>
      <w:r>
        <w:rPr>
          <w:rFonts w:hint="eastAsia" w:ascii="宋体" w:hAnsi="宋体" w:eastAsia="宋体" w:cs="宋体"/>
          <w:sz w:val="24"/>
          <w:szCs w:val="24"/>
        </w:rPr>
        <w:t>www.ccgp.gov.cn</w:t>
      </w:r>
      <w:r>
        <w:rPr>
          <w:rFonts w:hint="eastAsia" w:ascii="宋体" w:hAnsi="宋体" w:eastAsia="宋体" w:cs="宋体"/>
          <w:sz w:val="24"/>
          <w:szCs w:val="24"/>
          <w:lang w:eastAsia="zh-CN"/>
        </w:rPr>
        <w:t>）</w:t>
      </w:r>
      <w:r>
        <w:rPr>
          <w:rFonts w:hint="eastAsia" w:ascii="宋体" w:hAnsi="宋体" w:eastAsia="宋体" w:cs="宋体"/>
          <w:sz w:val="24"/>
          <w:szCs w:val="24"/>
        </w:rPr>
        <w:t>进行查询；</w:t>
      </w:r>
    </w:p>
    <w:p w14:paraId="16C65412">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查询截止时点：本项目资格审查时查询；</w:t>
      </w:r>
    </w:p>
    <w:p w14:paraId="29C11BAE">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查询记录：对列入失信被执行人、税收违法黑名单、政府采购严重违法失信行为记录名单；</w:t>
      </w:r>
    </w:p>
    <w:p w14:paraId="61E6C7F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磋商小组应当按照查询渠道、查询时间节点、查询记录内容进行查询，并存档。对信用记录查询结果中显示被列入失信被执行人、税收违法黑名单、政府采购严重违法失信行为记录名单的供应商作无效响应处理。</w:t>
      </w:r>
    </w:p>
    <w:p w14:paraId="48B180B1">
      <w:pPr>
        <w:keepNext w:val="0"/>
        <w:keepLines w:val="0"/>
        <w:pageBreakBefore w:val="0"/>
        <w:widowControl w:val="0"/>
        <w:kinsoku/>
        <w:wordWrap w:val="0"/>
        <w:overflowPunct/>
        <w:topLinePunct/>
        <w:autoSpaceDE/>
        <w:autoSpaceDN/>
        <w:bidi w:val="0"/>
        <w:adjustRightInd/>
        <w:snapToGrid/>
        <w:spacing w:line="520" w:lineRule="exact"/>
        <w:jc w:val="center"/>
        <w:rPr>
          <w:rFonts w:hint="eastAsia" w:ascii="宋体" w:hAnsi="宋体" w:eastAsia="宋体" w:cs="宋体"/>
          <w:b/>
          <w:bCs/>
          <w:sz w:val="24"/>
          <w:szCs w:val="24"/>
        </w:rPr>
      </w:pPr>
      <w:r>
        <w:rPr>
          <w:rFonts w:hint="eastAsia" w:ascii="宋体" w:hAnsi="宋体" w:eastAsia="宋体" w:cs="宋体"/>
          <w:b/>
          <w:bCs/>
          <w:sz w:val="24"/>
          <w:szCs w:val="24"/>
        </w:rPr>
        <w:t>资格审查表</w:t>
      </w:r>
    </w:p>
    <w:p w14:paraId="2A727256">
      <w:pPr>
        <w:keepNext w:val="0"/>
        <w:keepLines w:val="0"/>
        <w:pageBreakBefore w:val="0"/>
        <w:widowControl w:val="0"/>
        <w:kinsoku/>
        <w:wordWrap w:val="0"/>
        <w:overflowPunct/>
        <w:topLinePunct/>
        <w:autoSpaceDE/>
        <w:autoSpaceDN/>
        <w:bidi w:val="0"/>
        <w:adjustRightInd/>
        <w:snapToGrid/>
        <w:spacing w:line="52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赤峰市生态环境局元宝山区分局非现场执法监控设备安装工程及维护项目</w:t>
      </w:r>
    </w:p>
    <w:tbl>
      <w:tblPr>
        <w:tblStyle w:val="33"/>
        <w:tblW w:w="50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32"/>
        <w:gridCol w:w="6639"/>
      </w:tblGrid>
      <w:tr w14:paraId="01186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380" w:type="pct"/>
            <w:vAlign w:val="center"/>
          </w:tcPr>
          <w:p w14:paraId="1A9F3732">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3619" w:type="pct"/>
            <w:vAlign w:val="center"/>
          </w:tcPr>
          <w:p w14:paraId="16D1A35B">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审查供应商有效的营业执照或事业单位法人证书或执业许可证或自然人的身份证明。</w:t>
            </w:r>
          </w:p>
        </w:tc>
      </w:tr>
      <w:tr w14:paraId="4668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380" w:type="pct"/>
            <w:vAlign w:val="center"/>
          </w:tcPr>
          <w:p w14:paraId="0BBBB3CD">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具有良好的商业信誉和健全的财务会计制度</w:t>
            </w:r>
          </w:p>
        </w:tc>
        <w:tc>
          <w:tcPr>
            <w:tcW w:w="3619" w:type="pct"/>
            <w:vAlign w:val="center"/>
          </w:tcPr>
          <w:p w14:paraId="51EF6E46">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审查供应商出具的“具有良好的商业信誉和健全的财务会计制度”承诺书。（格式自拟）</w:t>
            </w:r>
          </w:p>
        </w:tc>
      </w:tr>
      <w:tr w14:paraId="3189A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80" w:type="pct"/>
            <w:vAlign w:val="center"/>
          </w:tcPr>
          <w:p w14:paraId="234EE179">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有依法缴纳税收和社会保障资金的良好记录</w:t>
            </w:r>
          </w:p>
        </w:tc>
        <w:tc>
          <w:tcPr>
            <w:tcW w:w="3619" w:type="pct"/>
            <w:vAlign w:val="center"/>
          </w:tcPr>
          <w:p w14:paraId="7306A1D9">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审查供应商出具的“具有依法缴纳税收和社会保障资金的良好记录”承诺书。（格式自拟）</w:t>
            </w:r>
          </w:p>
        </w:tc>
      </w:tr>
      <w:tr w14:paraId="3E49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1380" w:type="pct"/>
            <w:vAlign w:val="center"/>
          </w:tcPr>
          <w:p w14:paraId="6B54798F">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具有履行合同所必须的设备和专业技术能力</w:t>
            </w:r>
          </w:p>
        </w:tc>
        <w:tc>
          <w:tcPr>
            <w:tcW w:w="3619" w:type="pct"/>
            <w:vAlign w:val="center"/>
          </w:tcPr>
          <w:p w14:paraId="7132389C">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审查供应商出具的“具有履行合同所必须的设备和专业技术能力”声明。</w:t>
            </w:r>
          </w:p>
        </w:tc>
      </w:tr>
      <w:tr w14:paraId="6A6F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380" w:type="pct"/>
            <w:vAlign w:val="center"/>
          </w:tcPr>
          <w:p w14:paraId="25347223">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参加采购活动前3年内，在经营活动中没有重大违法记录</w:t>
            </w:r>
          </w:p>
        </w:tc>
        <w:tc>
          <w:tcPr>
            <w:tcW w:w="3619" w:type="pct"/>
            <w:vAlign w:val="center"/>
          </w:tcPr>
          <w:p w14:paraId="6AAC6711">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审查“参加采购活动前3年内，在经营活动中没有重大违法记录”供应商书面声明函。</w:t>
            </w:r>
          </w:p>
        </w:tc>
      </w:tr>
      <w:tr w14:paraId="0C0D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0" w:type="pct"/>
            <w:vAlign w:val="center"/>
          </w:tcPr>
          <w:p w14:paraId="138C9894">
            <w:pPr>
              <w:keepNext w:val="0"/>
              <w:keepLines w:val="0"/>
              <w:pageBreakBefore w:val="0"/>
              <w:widowControl w:val="0"/>
              <w:kinsoku/>
              <w:wordWrap w:val="0"/>
              <w:overflowPunct/>
              <w:topLinePunct/>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信用记录</w:t>
            </w:r>
          </w:p>
        </w:tc>
        <w:tc>
          <w:tcPr>
            <w:tcW w:w="3619" w:type="pct"/>
            <w:vAlign w:val="center"/>
          </w:tcPr>
          <w:p w14:paraId="6E07AA7B">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到提交响应文件的截止时间，供应商未被列入失信被执行人、重大税收违法案件当事人名单、政府采购严重违法失信行为记录名单。</w:t>
            </w:r>
          </w:p>
        </w:tc>
      </w:tr>
    </w:tbl>
    <w:p w14:paraId="2479C987">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2.符合性审查</w:t>
      </w:r>
    </w:p>
    <w:p w14:paraId="5C21D442">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2.1磋商小组依据磋商文件的规定，从响应文件的有效性、完整性和对磋商文件的响应程度进行审查，以确定是否对磋商文件的实质性要求作出响应。</w:t>
      </w:r>
    </w:p>
    <w:p w14:paraId="38F753BE">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2.2符合性审查中有任意一项未通过的，评审结果为未通过，未通过符合性审查的供应商按无效响应处理。</w:t>
      </w:r>
    </w:p>
    <w:p w14:paraId="3C2B3EB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符合性审查表</w:t>
      </w:r>
    </w:p>
    <w:p w14:paraId="7E7E79BB">
      <w:pPr>
        <w:keepNext w:val="0"/>
        <w:keepLines w:val="0"/>
        <w:pageBreakBefore w:val="0"/>
        <w:widowControl w:val="0"/>
        <w:kinsoku/>
        <w:wordWrap w:val="0"/>
        <w:overflowPunct/>
        <w:topLinePunct/>
        <w:autoSpaceDE/>
        <w:autoSpaceDN/>
        <w:bidi w:val="0"/>
        <w:adjustRightInd/>
        <w:snapToGrid/>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赤峰市生态环境局元宝山区分局非现场执法监控设备安装工程及维护项目</w:t>
      </w:r>
    </w:p>
    <w:tbl>
      <w:tblPr>
        <w:tblStyle w:val="33"/>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596"/>
        <w:gridCol w:w="6493"/>
      </w:tblGrid>
      <w:tr w14:paraId="49FFA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428" w:type="pct"/>
            <w:vAlign w:val="center"/>
          </w:tcPr>
          <w:p w14:paraId="45DA781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投标及保证金缴纳情况</w:t>
            </w:r>
          </w:p>
        </w:tc>
        <w:tc>
          <w:tcPr>
            <w:tcW w:w="3571" w:type="pct"/>
            <w:vAlign w:val="center"/>
          </w:tcPr>
          <w:p w14:paraId="19F0B420">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按要求进行响应和保证金缴纳。</w:t>
            </w:r>
          </w:p>
        </w:tc>
      </w:tr>
      <w:tr w14:paraId="41A8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28" w:type="pct"/>
            <w:vAlign w:val="center"/>
          </w:tcPr>
          <w:p w14:paraId="2681BE0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571" w:type="pct"/>
            <w:vAlign w:val="center"/>
          </w:tcPr>
          <w:p w14:paraId="0B6455DB">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报价</w:t>
            </w:r>
            <w:r>
              <w:rPr>
                <w:rFonts w:hint="eastAsia" w:ascii="宋体" w:hAnsi="宋体" w:eastAsia="宋体" w:cs="宋体"/>
                <w:sz w:val="24"/>
                <w:szCs w:val="24"/>
                <w:lang w:eastAsia="zh-CN"/>
              </w:rPr>
              <w:t>（</w:t>
            </w:r>
            <w:r>
              <w:rPr>
                <w:rFonts w:hint="eastAsia" w:ascii="宋体" w:hAnsi="宋体" w:eastAsia="宋体" w:cs="宋体"/>
                <w:sz w:val="24"/>
                <w:szCs w:val="24"/>
              </w:rPr>
              <w:t>包括分项报价、总报价</w:t>
            </w:r>
            <w:r>
              <w:rPr>
                <w:rFonts w:hint="eastAsia" w:ascii="宋体" w:hAnsi="宋体" w:eastAsia="宋体" w:cs="宋体"/>
                <w:sz w:val="24"/>
                <w:szCs w:val="24"/>
                <w:lang w:eastAsia="zh-CN"/>
              </w:rPr>
              <w:t>）</w:t>
            </w:r>
            <w:r>
              <w:rPr>
                <w:rFonts w:hint="eastAsia" w:ascii="宋体" w:hAnsi="宋体" w:eastAsia="宋体" w:cs="宋体"/>
                <w:sz w:val="24"/>
                <w:szCs w:val="24"/>
              </w:rPr>
              <w:t>只能有一个有效报价且不超过采购预算或最高限价。</w:t>
            </w:r>
          </w:p>
        </w:tc>
      </w:tr>
      <w:tr w14:paraId="1C8D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428" w:type="pct"/>
            <w:vAlign w:val="center"/>
          </w:tcPr>
          <w:p w14:paraId="2E416457">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响应文件</w:t>
            </w:r>
            <w:r>
              <w:rPr>
                <w:rFonts w:hint="eastAsia" w:ascii="宋体" w:hAnsi="宋体" w:eastAsia="宋体" w:cs="宋体"/>
                <w:sz w:val="24"/>
                <w:szCs w:val="24"/>
              </w:rPr>
              <w:t>规范性、符合性</w:t>
            </w:r>
          </w:p>
        </w:tc>
        <w:tc>
          <w:tcPr>
            <w:tcW w:w="3571" w:type="pct"/>
            <w:vAlign w:val="center"/>
          </w:tcPr>
          <w:p w14:paraId="605CAF47">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响应文件的签署、盖章、涂改、删除、插字、公章使用等符合</w:t>
            </w:r>
            <w:r>
              <w:rPr>
                <w:rFonts w:hint="eastAsia" w:ascii="宋体" w:hAnsi="宋体" w:eastAsia="宋体" w:cs="宋体"/>
                <w:sz w:val="24"/>
                <w:szCs w:val="24"/>
                <w:lang w:eastAsia="zh-CN"/>
              </w:rPr>
              <w:t>磋商</w:t>
            </w:r>
            <w:r>
              <w:rPr>
                <w:rFonts w:hint="eastAsia" w:ascii="宋体" w:hAnsi="宋体" w:eastAsia="宋体" w:cs="宋体"/>
                <w:sz w:val="24"/>
                <w:szCs w:val="24"/>
              </w:rPr>
              <w:t>文件要求；响应文件文件的格式、文字、目录等符合</w:t>
            </w:r>
            <w:r>
              <w:rPr>
                <w:rFonts w:hint="eastAsia" w:ascii="宋体" w:hAnsi="宋体" w:eastAsia="宋体" w:cs="宋体"/>
                <w:sz w:val="24"/>
                <w:szCs w:val="24"/>
                <w:lang w:eastAsia="zh-CN"/>
              </w:rPr>
              <w:t>磋商</w:t>
            </w:r>
            <w:r>
              <w:rPr>
                <w:rFonts w:hint="eastAsia" w:ascii="宋体" w:hAnsi="宋体" w:eastAsia="宋体" w:cs="宋体"/>
                <w:sz w:val="24"/>
                <w:szCs w:val="24"/>
              </w:rPr>
              <w:t>文件要求或对投标无实质性影响。</w:t>
            </w:r>
          </w:p>
        </w:tc>
      </w:tr>
      <w:tr w14:paraId="3E1D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28" w:type="pct"/>
            <w:vAlign w:val="center"/>
          </w:tcPr>
          <w:p w14:paraId="6B3070E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主要商务条款</w:t>
            </w:r>
          </w:p>
        </w:tc>
        <w:tc>
          <w:tcPr>
            <w:tcW w:w="3571" w:type="pct"/>
            <w:vAlign w:val="center"/>
          </w:tcPr>
          <w:p w14:paraId="0329B842">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审查供应商出具的“满足主要商务条款的承诺书”,且进行盖章。</w:t>
            </w:r>
          </w:p>
        </w:tc>
      </w:tr>
      <w:tr w14:paraId="73E26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428" w:type="pct"/>
            <w:vAlign w:val="center"/>
          </w:tcPr>
          <w:p w14:paraId="386C1236">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3571" w:type="pct"/>
            <w:vAlign w:val="center"/>
          </w:tcPr>
          <w:p w14:paraId="15EC9DB6">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符合关于联合体投标的相关规定</w:t>
            </w:r>
          </w:p>
        </w:tc>
      </w:tr>
      <w:tr w14:paraId="4AA9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28" w:type="pct"/>
            <w:vAlign w:val="center"/>
          </w:tcPr>
          <w:p w14:paraId="69F02D7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技术部分实质性内容</w:t>
            </w:r>
          </w:p>
        </w:tc>
        <w:tc>
          <w:tcPr>
            <w:tcW w:w="3571" w:type="pct"/>
            <w:vAlign w:val="center"/>
          </w:tcPr>
          <w:p w14:paraId="7D1AF5C6">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1.明确所投标的的产品品牌、规格型号或服务内容或工程量；2.响应文件应当对</w:t>
            </w:r>
            <w:r>
              <w:rPr>
                <w:rFonts w:hint="eastAsia" w:ascii="宋体" w:hAnsi="宋体" w:eastAsia="宋体" w:cs="宋体"/>
                <w:sz w:val="24"/>
                <w:szCs w:val="24"/>
                <w:lang w:eastAsia="zh-CN"/>
              </w:rPr>
              <w:t>磋商</w:t>
            </w:r>
            <w:r>
              <w:rPr>
                <w:rFonts w:hint="eastAsia" w:ascii="宋体" w:hAnsi="宋体" w:eastAsia="宋体" w:cs="宋体"/>
                <w:sz w:val="24"/>
                <w:szCs w:val="24"/>
              </w:rPr>
              <w:t>文件提出的要求和条件作出明确响应并满足</w:t>
            </w:r>
            <w:r>
              <w:rPr>
                <w:rFonts w:hint="eastAsia" w:ascii="宋体" w:hAnsi="宋体" w:eastAsia="宋体" w:cs="宋体"/>
                <w:sz w:val="24"/>
                <w:szCs w:val="24"/>
                <w:lang w:eastAsia="zh-CN"/>
              </w:rPr>
              <w:t>磋商</w:t>
            </w:r>
            <w:r>
              <w:rPr>
                <w:rFonts w:hint="eastAsia" w:ascii="宋体" w:hAnsi="宋体" w:eastAsia="宋体" w:cs="宋体"/>
                <w:sz w:val="24"/>
                <w:szCs w:val="24"/>
              </w:rPr>
              <w:t>文件全部实质性要求。</w:t>
            </w:r>
          </w:p>
        </w:tc>
      </w:tr>
      <w:tr w14:paraId="1F90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28" w:type="pct"/>
            <w:vAlign w:val="center"/>
          </w:tcPr>
          <w:p w14:paraId="26E011B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其他要求</w:t>
            </w:r>
          </w:p>
        </w:tc>
        <w:tc>
          <w:tcPr>
            <w:tcW w:w="3571" w:type="pct"/>
            <w:vAlign w:val="center"/>
          </w:tcPr>
          <w:p w14:paraId="5375628F">
            <w:pPr>
              <w:keepNext w:val="0"/>
              <w:keepLines w:val="0"/>
              <w:pageBreakBefore w:val="0"/>
              <w:widowControl w:val="0"/>
              <w:kinsoku/>
              <w:wordWrap w:val="0"/>
              <w:overflowPunct/>
              <w:topLinePunct/>
              <w:autoSpaceDE/>
              <w:autoSpaceDN/>
              <w:bidi w:val="0"/>
              <w:adjustRightInd/>
              <w:snapToGrid/>
              <w:spacing w:line="52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文件要求的其他无效投标情形；围标、串标和法律法规规定的其它无效投标条款。</w:t>
            </w:r>
          </w:p>
        </w:tc>
      </w:tr>
    </w:tbl>
    <w:p w14:paraId="640E29F0">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3.磋商</w:t>
      </w:r>
    </w:p>
    <w:p w14:paraId="2BACC8C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磋商小组所有成员应当集中与单一供应商分别进行磋商，并给予所有参加磋商的供应商平等的磋商机会。</w:t>
      </w:r>
    </w:p>
    <w:p w14:paraId="5CBF1AB1">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B6F950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对磋商文件作出的实质性变动是磋商文件的有效组成部分，磋商小组应当及时通过政府采购云平台同时通知所有参加磋商的供应商。</w:t>
      </w:r>
    </w:p>
    <w:p w14:paraId="4BB73C27">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D2DCE2">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4.最后报价</w:t>
      </w:r>
    </w:p>
    <w:p w14:paraId="5E79320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磋商结束后，磋商小组应当要求所有实质性响应的供应商在规定时间内提交最后报价。最后报价是供应商响应文件的有效组成部分。</w:t>
      </w:r>
    </w:p>
    <w:p w14:paraId="28B0735E">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已提交响应文件的供应商，在提交最后报价之前，可以根据磋商情况退出磋商。</w:t>
      </w:r>
    </w:p>
    <w:p w14:paraId="2058EA64">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5.政府采购政策功能落实</w:t>
      </w:r>
    </w:p>
    <w:p w14:paraId="50D73BD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依据《政府采购促进中小企业发展管理办法》等规定，对符合条件的小微企业、监狱企业或残疾人福利性单位给予价格扣除。</w:t>
      </w:r>
    </w:p>
    <w:p w14:paraId="0BE21DA7">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6.综合评分</w:t>
      </w:r>
    </w:p>
    <w:p w14:paraId="4B7B545B">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由磋商小组采用综合评分法对提交最后报价的供应商的响应文件和最后报价进行综合评分</w:t>
      </w:r>
      <w:r>
        <w:rPr>
          <w:rFonts w:hint="eastAsia" w:ascii="宋体" w:hAnsi="宋体" w:eastAsia="宋体" w:cs="宋体"/>
          <w:sz w:val="24"/>
          <w:szCs w:val="24"/>
          <w:lang w:eastAsia="zh-CN"/>
        </w:rPr>
        <w:t>（</w:t>
      </w:r>
      <w:r>
        <w:rPr>
          <w:rFonts w:hint="eastAsia" w:ascii="宋体" w:hAnsi="宋体" w:eastAsia="宋体" w:cs="宋体"/>
          <w:sz w:val="24"/>
          <w:szCs w:val="24"/>
        </w:rPr>
        <w:t>得分四舍五入保留两位小数</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256B5B5">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baseline"/>
        <w:rPr>
          <w:rFonts w:hint="default" w:ascii="宋体" w:hAnsi="宋体" w:eastAsia="宋体" w:cs="宋体"/>
          <w:sz w:val="24"/>
          <w:szCs w:val="24"/>
          <w:lang w:val="en-US"/>
        </w:rPr>
      </w:pPr>
      <w:r>
        <w:rPr>
          <w:rFonts w:hint="eastAsia" w:ascii="宋体" w:hAnsi="宋体" w:eastAsia="宋体" w:cs="宋体"/>
          <w:sz w:val="24"/>
          <w:szCs w:val="24"/>
          <w:lang w:eastAsia="zh-CN"/>
        </w:rPr>
        <w:t>赤峰市生态环境局元宝山区分局非现场执法监控设备安装工程及维护项目</w:t>
      </w:r>
    </w:p>
    <w:tbl>
      <w:tblPr>
        <w:tblStyle w:val="33"/>
        <w:tblW w:w="55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6"/>
        <w:gridCol w:w="1849"/>
        <w:gridCol w:w="6842"/>
      </w:tblGrid>
      <w:tr w14:paraId="49A4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Align w:val="top"/>
          </w:tcPr>
          <w:p w14:paraId="6BF299FC">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宋体" w:hAnsi="宋体" w:eastAsia="宋体" w:cs="宋体"/>
                <w:b/>
                <w:bCs/>
                <w:sz w:val="24"/>
                <w:szCs w:val="24"/>
              </w:rPr>
            </w:pPr>
            <w:r>
              <w:rPr>
                <w:rFonts w:hint="eastAsia" w:ascii="宋体" w:hAnsi="宋体" w:eastAsia="宋体" w:cs="宋体"/>
                <w:b/>
                <w:bCs/>
                <w:spacing w:val="-2"/>
                <w:sz w:val="24"/>
                <w:szCs w:val="24"/>
              </w:rPr>
              <w:t>评审因素</w:t>
            </w:r>
          </w:p>
        </w:tc>
        <w:tc>
          <w:tcPr>
            <w:tcW w:w="4333" w:type="pct"/>
            <w:gridSpan w:val="2"/>
            <w:vAlign w:val="top"/>
          </w:tcPr>
          <w:p w14:paraId="764D8531">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宋体" w:hAnsi="宋体" w:eastAsia="宋体" w:cs="宋体"/>
                <w:b/>
                <w:bCs/>
                <w:sz w:val="24"/>
                <w:szCs w:val="24"/>
              </w:rPr>
            </w:pPr>
            <w:r>
              <w:rPr>
                <w:rFonts w:hint="eastAsia" w:ascii="宋体" w:hAnsi="宋体" w:eastAsia="宋体" w:cs="宋体"/>
                <w:b/>
                <w:bCs/>
                <w:spacing w:val="-2"/>
                <w:sz w:val="24"/>
                <w:szCs w:val="24"/>
              </w:rPr>
              <w:t>评审标准</w:t>
            </w:r>
          </w:p>
        </w:tc>
      </w:tr>
      <w:tr w14:paraId="2C4C4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Align w:val="center"/>
          </w:tcPr>
          <w:p w14:paraId="2EF64A1A">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宋体" w:hAnsi="宋体" w:eastAsia="宋体" w:cs="宋体"/>
                <w:sz w:val="24"/>
                <w:szCs w:val="24"/>
              </w:rPr>
            </w:pPr>
            <w:r>
              <w:rPr>
                <w:rFonts w:hint="eastAsia" w:ascii="宋体" w:hAnsi="宋体" w:eastAsia="宋体" w:cs="宋体"/>
                <w:spacing w:val="-2"/>
                <w:sz w:val="24"/>
                <w:szCs w:val="24"/>
              </w:rPr>
              <w:t>分值构成</w:t>
            </w:r>
          </w:p>
        </w:tc>
        <w:tc>
          <w:tcPr>
            <w:tcW w:w="4333" w:type="pct"/>
            <w:gridSpan w:val="2"/>
            <w:vAlign w:val="top"/>
          </w:tcPr>
          <w:p w14:paraId="1FA83CEC">
            <w:pPr>
              <w:keepNext w:val="0"/>
              <w:keepLines w:val="0"/>
              <w:pageBreakBefore w:val="0"/>
              <w:widowControl w:val="0"/>
              <w:kinsoku/>
              <w:wordWrap w:val="0"/>
              <w:overflowPunct/>
              <w:topLinePunct/>
              <w:autoSpaceDE/>
              <w:autoSpaceDN/>
              <w:bidi w:val="0"/>
              <w:adjustRightInd/>
              <w:snapToGrid/>
              <w:spacing w:line="360" w:lineRule="auto"/>
              <w:ind w:left="0" w:right="0"/>
              <w:rPr>
                <w:rFonts w:hint="eastAsia" w:ascii="宋体" w:hAnsi="宋体" w:eastAsia="宋体" w:cs="宋体"/>
                <w:spacing w:val="-1"/>
                <w:sz w:val="24"/>
                <w:szCs w:val="24"/>
              </w:rPr>
            </w:pPr>
            <w:r>
              <w:rPr>
                <w:rFonts w:hint="eastAsia" w:ascii="宋体" w:hAnsi="宋体" w:eastAsia="宋体" w:cs="宋体"/>
                <w:spacing w:val="-1"/>
                <w:sz w:val="24"/>
                <w:szCs w:val="24"/>
              </w:rPr>
              <w:t>技术部分</w:t>
            </w:r>
            <w:r>
              <w:rPr>
                <w:rFonts w:hint="eastAsia" w:ascii="宋体" w:hAnsi="宋体" w:eastAsia="宋体" w:cs="宋体"/>
                <w:spacing w:val="-1"/>
                <w:sz w:val="24"/>
                <w:szCs w:val="24"/>
                <w:lang w:val="en-US" w:eastAsia="zh-CN"/>
              </w:rPr>
              <w:t>70</w:t>
            </w:r>
            <w:r>
              <w:rPr>
                <w:rFonts w:hint="eastAsia" w:ascii="宋体" w:hAnsi="宋体" w:eastAsia="宋体" w:cs="宋体"/>
                <w:spacing w:val="-1"/>
                <w:sz w:val="24"/>
                <w:szCs w:val="24"/>
              </w:rPr>
              <w:t>.0分</w:t>
            </w:r>
          </w:p>
          <w:p w14:paraId="35638AC6">
            <w:pPr>
              <w:keepNext w:val="0"/>
              <w:keepLines w:val="0"/>
              <w:pageBreakBefore w:val="0"/>
              <w:widowControl w:val="0"/>
              <w:kinsoku/>
              <w:wordWrap w:val="0"/>
              <w:overflowPunct/>
              <w:topLinePunct/>
              <w:autoSpaceDE/>
              <w:autoSpaceDN/>
              <w:bidi w:val="0"/>
              <w:adjustRightInd/>
              <w:snapToGrid/>
              <w:spacing w:line="360" w:lineRule="auto"/>
              <w:ind w:left="0" w:right="0"/>
              <w:rPr>
                <w:rFonts w:hint="eastAsia" w:ascii="宋体" w:hAnsi="宋体" w:eastAsia="宋体" w:cs="宋体"/>
                <w:spacing w:val="-1"/>
                <w:sz w:val="24"/>
                <w:szCs w:val="24"/>
              </w:rPr>
            </w:pPr>
            <w:r>
              <w:rPr>
                <w:rFonts w:hint="eastAsia" w:ascii="宋体" w:hAnsi="宋体" w:eastAsia="宋体" w:cs="宋体"/>
                <w:spacing w:val="-1"/>
                <w:sz w:val="24"/>
                <w:szCs w:val="24"/>
              </w:rPr>
              <w:t>商务部分</w:t>
            </w:r>
            <w:r>
              <w:rPr>
                <w:rFonts w:hint="eastAsia" w:ascii="宋体" w:hAnsi="宋体" w:eastAsia="宋体" w:cs="宋体"/>
                <w:spacing w:val="-1"/>
                <w:sz w:val="24"/>
                <w:szCs w:val="24"/>
                <w:lang w:val="en-US" w:eastAsia="zh-CN"/>
              </w:rPr>
              <w:t>20</w:t>
            </w:r>
            <w:r>
              <w:rPr>
                <w:rFonts w:hint="eastAsia" w:ascii="宋体" w:hAnsi="宋体" w:eastAsia="宋体" w:cs="宋体"/>
                <w:spacing w:val="-1"/>
                <w:sz w:val="24"/>
                <w:szCs w:val="24"/>
              </w:rPr>
              <w:t>.0分</w:t>
            </w:r>
          </w:p>
          <w:p w14:paraId="64CBD116">
            <w:pPr>
              <w:keepNext w:val="0"/>
              <w:keepLines w:val="0"/>
              <w:pageBreakBefore w:val="0"/>
              <w:widowControl w:val="0"/>
              <w:kinsoku/>
              <w:wordWrap w:val="0"/>
              <w:overflowPunct/>
              <w:topLinePunct/>
              <w:autoSpaceDE/>
              <w:autoSpaceDN/>
              <w:bidi w:val="0"/>
              <w:adjustRightInd/>
              <w:snapToGrid/>
              <w:spacing w:line="360" w:lineRule="auto"/>
              <w:ind w:left="0" w:right="0"/>
              <w:rPr>
                <w:rFonts w:hint="eastAsia" w:ascii="宋体" w:hAnsi="宋体" w:eastAsia="宋体" w:cs="宋体"/>
                <w:sz w:val="24"/>
                <w:szCs w:val="24"/>
              </w:rPr>
            </w:pPr>
            <w:r>
              <w:rPr>
                <w:rFonts w:hint="eastAsia" w:ascii="宋体" w:hAnsi="宋体" w:eastAsia="宋体" w:cs="宋体"/>
                <w:sz w:val="24"/>
                <w:szCs w:val="24"/>
              </w:rPr>
              <w:t>报价得分</w:t>
            </w:r>
            <w:r>
              <w:rPr>
                <w:rFonts w:hint="eastAsia" w:ascii="宋体" w:hAnsi="宋体" w:cs="宋体"/>
                <w:sz w:val="24"/>
                <w:szCs w:val="24"/>
                <w:lang w:val="en-US" w:eastAsia="zh-CN"/>
              </w:rPr>
              <w:t>1</w:t>
            </w:r>
            <w:r>
              <w:rPr>
                <w:rFonts w:hint="eastAsia" w:ascii="宋体" w:hAnsi="宋体" w:eastAsia="宋体" w:cs="宋体"/>
                <w:sz w:val="24"/>
                <w:szCs w:val="24"/>
              </w:rPr>
              <w:t>0.0分</w:t>
            </w:r>
          </w:p>
        </w:tc>
      </w:tr>
      <w:tr w14:paraId="2CA76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Merge w:val="restart"/>
            <w:vAlign w:val="center"/>
          </w:tcPr>
          <w:p w14:paraId="5FBA6CE8">
            <w:pPr>
              <w:keepNext w:val="0"/>
              <w:keepLines w:val="0"/>
              <w:pageBreakBefore w:val="0"/>
              <w:widowControl w:val="0"/>
              <w:suppressLineNumbers w:val="0"/>
              <w:kinsoku/>
              <w:wordWrap w:val="0"/>
              <w:overflowPunct/>
              <w:topLinePunct/>
              <w:autoSpaceDE/>
              <w:autoSpaceDN/>
              <w:bidi w:val="0"/>
              <w:adjustRightInd/>
              <w:snapToGrid/>
              <w:spacing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snapToGrid w:val="0"/>
                <w:color w:val="auto"/>
                <w:spacing w:val="9"/>
                <w:kern w:val="0"/>
                <w:position w:val="15"/>
                <w:sz w:val="24"/>
                <w:szCs w:val="24"/>
                <w:lang w:val="en-US" w:eastAsia="zh-CN" w:bidi="zh-CN"/>
              </w:rPr>
            </w:pPr>
            <w:r>
              <w:rPr>
                <w:rFonts w:hint="eastAsia" w:asciiTheme="minorEastAsia" w:hAnsiTheme="minorEastAsia" w:eastAsiaTheme="minorEastAsia" w:cstheme="minorEastAsia"/>
                <w:snapToGrid w:val="0"/>
                <w:color w:val="auto"/>
                <w:spacing w:val="9"/>
                <w:kern w:val="0"/>
                <w:position w:val="15"/>
                <w:sz w:val="24"/>
                <w:szCs w:val="24"/>
                <w:lang w:val="en-US" w:eastAsia="zh-CN" w:bidi="zh-CN"/>
              </w:rPr>
              <w:t>技术部分</w:t>
            </w:r>
          </w:p>
          <w:p w14:paraId="43C6A115">
            <w:pPr>
              <w:keepNext w:val="0"/>
              <w:keepLines w:val="0"/>
              <w:pageBreakBefore w:val="0"/>
              <w:widowControl w:val="0"/>
              <w:suppressLineNumbers w:val="0"/>
              <w:kinsoku/>
              <w:wordWrap w:val="0"/>
              <w:overflowPunct/>
              <w:topLinePunct/>
              <w:autoSpaceDE/>
              <w:autoSpaceDN/>
              <w:bidi w:val="0"/>
              <w:adjustRightInd/>
              <w:snapToGrid/>
              <w:spacing w:beforeAutospacing="0" w:after="0" w:afterAutospacing="0" w:line="360" w:lineRule="auto"/>
              <w:ind w:left="0" w:leftChars="0" w:right="0" w:firstLine="0" w:firstLineChars="0"/>
              <w:jc w:val="center"/>
              <w:textAlignment w:val="auto"/>
              <w:rPr>
                <w:rFonts w:hint="eastAsia" w:asciiTheme="minorEastAsia" w:hAnsiTheme="minorEastAsia" w:eastAsiaTheme="minorEastAsia" w:cstheme="minorEastAsia"/>
                <w:snapToGrid w:val="0"/>
                <w:color w:val="auto"/>
                <w:spacing w:val="9"/>
                <w:kern w:val="0"/>
                <w:position w:val="15"/>
                <w:sz w:val="24"/>
                <w:szCs w:val="24"/>
                <w:lang w:val="zh-CN" w:eastAsia="zh-CN" w:bidi="zh-CN"/>
              </w:rPr>
            </w:pPr>
            <w:r>
              <w:rPr>
                <w:rFonts w:hint="eastAsia" w:asciiTheme="minorEastAsia" w:hAnsiTheme="minorEastAsia" w:cstheme="minorEastAsia"/>
                <w:snapToGrid w:val="0"/>
                <w:color w:val="auto"/>
                <w:spacing w:val="9"/>
                <w:kern w:val="0"/>
                <w:position w:val="15"/>
                <w:sz w:val="24"/>
                <w:szCs w:val="24"/>
                <w:lang w:val="en-US" w:eastAsia="zh-CN" w:bidi="zh-CN"/>
              </w:rPr>
              <w:t>7</w:t>
            </w:r>
            <w:r>
              <w:rPr>
                <w:rFonts w:hint="eastAsia" w:asciiTheme="minorEastAsia" w:hAnsiTheme="minorEastAsia" w:eastAsiaTheme="minorEastAsia" w:cstheme="minorEastAsia"/>
                <w:snapToGrid w:val="0"/>
                <w:color w:val="auto"/>
                <w:spacing w:val="9"/>
                <w:kern w:val="0"/>
                <w:position w:val="15"/>
                <w:sz w:val="24"/>
                <w:szCs w:val="24"/>
                <w:lang w:val="en-US" w:eastAsia="zh-CN" w:bidi="zh-CN"/>
              </w:rPr>
              <w:t>0.0分</w:t>
            </w:r>
          </w:p>
        </w:tc>
        <w:tc>
          <w:tcPr>
            <w:tcW w:w="922" w:type="pct"/>
            <w:vAlign w:val="center"/>
          </w:tcPr>
          <w:p w14:paraId="2E0AD394">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供货方案</w:t>
            </w:r>
          </w:p>
          <w:p w14:paraId="140A4224">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(15.0分）</w:t>
            </w:r>
          </w:p>
        </w:tc>
        <w:tc>
          <w:tcPr>
            <w:tcW w:w="3410" w:type="pct"/>
            <w:vAlign w:val="center"/>
          </w:tcPr>
          <w:p w14:paraId="776C2112">
            <w:pPr>
              <w:keepNext w:val="0"/>
              <w:keepLines w:val="0"/>
              <w:pageBreakBefore w:val="0"/>
              <w:widowControl w:val="0"/>
              <w:suppressLineNumbers w:val="0"/>
              <w:kinsoku/>
              <w:wordWrap w:val="0"/>
              <w:overflowPunct/>
              <w:topLinePunct/>
              <w:autoSpaceDE/>
              <w:autoSpaceDN/>
              <w:bidi w:val="0"/>
              <w:adjustRightInd/>
              <w:snapToGrid/>
              <w:spacing w:line="360" w:lineRule="auto"/>
              <w:jc w:val="both"/>
              <w:rPr>
                <w:rFonts w:hint="default" w:asciiTheme="minorEastAsia" w:hAnsiTheme="minorEastAsia" w:eastAsiaTheme="minorEastAsia" w:cstheme="minorEastAsia"/>
                <w:snapToGrid w:val="0"/>
                <w:color w:val="auto"/>
                <w:spacing w:val="9"/>
                <w:kern w:val="0"/>
                <w:position w:val="15"/>
                <w:sz w:val="24"/>
                <w:szCs w:val="24"/>
                <w:lang w:val="en-US" w:eastAsia="zh-CN"/>
              </w:rPr>
            </w:pPr>
            <w:r>
              <w:rPr>
                <w:rFonts w:hint="eastAsia" w:ascii="宋体" w:hAnsi="宋体" w:eastAsia="宋体" w:cs="宋体"/>
                <w:sz w:val="24"/>
                <w:szCs w:val="24"/>
              </w:rPr>
              <w:t>根据供应商提供的供货方案进行评审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①</w:t>
            </w:r>
            <w:r>
              <w:rPr>
                <w:rFonts w:hint="eastAsia" w:ascii="宋体" w:hAnsi="宋体" w:eastAsia="宋体" w:cs="宋体"/>
                <w:sz w:val="24"/>
                <w:szCs w:val="24"/>
                <w:lang w:eastAsia="zh-CN"/>
              </w:rPr>
              <w:t>方案中供货流程清晰合理、产品供货过程中的保护措施完善、突发事件的应急处理方式可行的得</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②</w:t>
            </w:r>
            <w:r>
              <w:rPr>
                <w:rFonts w:hint="eastAsia" w:ascii="宋体" w:hAnsi="宋体" w:eastAsia="宋体" w:cs="宋体"/>
                <w:sz w:val="24"/>
                <w:szCs w:val="24"/>
                <w:lang w:eastAsia="zh-CN"/>
              </w:rPr>
              <w:t>方案中的供货流程较为清晰、产品的运输及供货等内容能保证项目顺利实施的得</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③</w:t>
            </w:r>
            <w:r>
              <w:rPr>
                <w:rFonts w:hint="eastAsia" w:ascii="宋体" w:hAnsi="宋体" w:eastAsia="宋体" w:cs="宋体"/>
                <w:sz w:val="24"/>
                <w:szCs w:val="24"/>
                <w:lang w:eastAsia="zh-CN"/>
              </w:rPr>
              <w:t>方案中供货流程简单、产品的运输及供货基本符合要求的得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分；④未提供的得0分。</w:t>
            </w:r>
          </w:p>
        </w:tc>
      </w:tr>
      <w:tr w14:paraId="43627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Merge w:val="continue"/>
            <w:vAlign w:val="center"/>
          </w:tcPr>
          <w:p w14:paraId="21E49F78">
            <w:pPr>
              <w:keepNext w:val="0"/>
              <w:keepLines w:val="0"/>
              <w:pageBreakBefore w:val="0"/>
              <w:widowControl w:val="0"/>
              <w:suppressLineNumbers w:val="0"/>
              <w:kinsoku/>
              <w:wordWrap w:val="0"/>
              <w:overflowPunct/>
              <w:topLinePunct/>
              <w:autoSpaceDE/>
              <w:autoSpaceDN/>
              <w:bidi w:val="0"/>
              <w:adjustRightInd/>
              <w:snapToGrid/>
              <w:spacing w:beforeAutospacing="0" w:after="0" w:afterAutospacing="0" w:line="360" w:lineRule="auto"/>
              <w:ind w:left="0" w:leftChars="0" w:right="0" w:firstLine="0" w:firstLineChars="0"/>
              <w:jc w:val="center"/>
              <w:textAlignment w:val="auto"/>
              <w:rPr>
                <w:rFonts w:hint="eastAsia" w:asciiTheme="minorEastAsia" w:hAnsiTheme="minorEastAsia" w:cstheme="minorEastAsia"/>
                <w:snapToGrid w:val="0"/>
                <w:color w:val="auto"/>
                <w:spacing w:val="9"/>
                <w:kern w:val="0"/>
                <w:position w:val="15"/>
                <w:sz w:val="24"/>
                <w:szCs w:val="24"/>
                <w:lang w:val="en-US" w:eastAsia="zh-CN" w:bidi="zh-CN"/>
              </w:rPr>
            </w:pPr>
          </w:p>
        </w:tc>
        <w:tc>
          <w:tcPr>
            <w:tcW w:w="922" w:type="pct"/>
            <w:vAlign w:val="center"/>
          </w:tcPr>
          <w:p w14:paraId="471B912A">
            <w:pPr>
              <w:bidi w:val="0"/>
              <w:spacing w:line="36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进度计划</w:t>
            </w:r>
          </w:p>
          <w:p w14:paraId="3D38D068">
            <w:pPr>
              <w:pStyle w:val="2"/>
              <w:ind w:left="0" w:leftChars="0" w:right="0" w:rightChars="0" w:firstLine="0" w:firstLineChars="0"/>
              <w:jc w:val="center"/>
              <w:rPr>
                <w:rFonts w:hint="eastAsia"/>
                <w:lang w:val="en-US" w:eastAsia="zh-CN"/>
              </w:rPr>
            </w:pPr>
            <w:r>
              <w:rPr>
                <w:rFonts w:hint="eastAsia" w:ascii="宋体" w:eastAsia="宋体" w:cs="宋体"/>
                <w:sz w:val="24"/>
                <w:szCs w:val="24"/>
                <w:lang w:val="en-US" w:eastAsia="zh-CN"/>
              </w:rPr>
              <w:t>（15.0分）</w:t>
            </w:r>
          </w:p>
        </w:tc>
        <w:tc>
          <w:tcPr>
            <w:tcW w:w="3410" w:type="pct"/>
            <w:vAlign w:val="center"/>
          </w:tcPr>
          <w:p w14:paraId="4EF3DC41">
            <w:pPr>
              <w:keepNext w:val="0"/>
              <w:keepLines w:val="0"/>
              <w:pageBreakBefore w:val="0"/>
              <w:widowControl w:val="0"/>
              <w:suppressLineNumbers w:val="0"/>
              <w:kinsoku/>
              <w:wordWrap w:val="0"/>
              <w:overflowPunct/>
              <w:topLinePunct/>
              <w:autoSpaceDE/>
              <w:autoSpaceDN/>
              <w:bidi w:val="0"/>
              <w:adjustRightInd/>
              <w:snapToGrid/>
              <w:spacing w:line="360" w:lineRule="auto"/>
              <w:jc w:val="both"/>
              <w:rPr>
                <w:rFonts w:hint="eastAsia" w:ascii="宋体" w:hAnsi="宋体" w:eastAsia="宋体" w:cs="宋体"/>
                <w:sz w:val="24"/>
                <w:szCs w:val="24"/>
              </w:rPr>
            </w:pPr>
            <w:r>
              <w:rPr>
                <w:rFonts w:hint="eastAsia" w:ascii="宋体" w:hAnsi="宋体" w:eastAsia="宋体" w:cs="宋体"/>
                <w:sz w:val="24"/>
                <w:szCs w:val="24"/>
              </w:rPr>
              <w:t>根据供应商提供的进度计划进行评审：</w:t>
            </w:r>
            <w:r>
              <w:rPr>
                <w:rFonts w:hint="eastAsia" w:ascii="宋体" w:hAnsi="宋体" w:eastAsia="宋体" w:cs="宋体"/>
                <w:sz w:val="24"/>
                <w:szCs w:val="24"/>
                <w:lang w:val="en-US" w:eastAsia="zh-CN"/>
              </w:rPr>
              <w:t>①</w:t>
            </w:r>
            <w:r>
              <w:rPr>
                <w:rFonts w:hint="eastAsia" w:ascii="宋体" w:hAnsi="宋体" w:eastAsia="宋体" w:cs="宋体"/>
                <w:sz w:val="24"/>
                <w:szCs w:val="24"/>
              </w:rPr>
              <w:t>项目实施进度计划内容完善、时间安排切实可行、进度监控及应急措施完整的得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r>
              <w:rPr>
                <w:rFonts w:hint="eastAsia" w:ascii="宋体" w:hAnsi="宋体" w:eastAsia="宋体" w:cs="宋体"/>
                <w:sz w:val="24"/>
                <w:szCs w:val="24"/>
                <w:lang w:val="en-US" w:eastAsia="zh-CN"/>
              </w:rPr>
              <w:t>②</w:t>
            </w:r>
            <w:r>
              <w:rPr>
                <w:rFonts w:hint="eastAsia" w:ascii="宋体" w:hAnsi="宋体" w:eastAsia="宋体" w:cs="宋体"/>
                <w:sz w:val="24"/>
                <w:szCs w:val="24"/>
              </w:rPr>
              <w:t>项目实施进度计划内容较为完善、时间安排较为可行、进度监控及应急措施较为完整的得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r>
              <w:rPr>
                <w:rFonts w:hint="eastAsia" w:ascii="宋体" w:hAnsi="宋体" w:eastAsia="宋体" w:cs="宋体"/>
                <w:sz w:val="24"/>
                <w:szCs w:val="24"/>
                <w:lang w:val="en-US" w:eastAsia="zh-CN"/>
              </w:rPr>
              <w:t>③</w:t>
            </w:r>
            <w:r>
              <w:rPr>
                <w:rFonts w:hint="eastAsia" w:ascii="宋体" w:hAnsi="宋体" w:eastAsia="宋体" w:cs="宋体"/>
                <w:sz w:val="24"/>
                <w:szCs w:val="24"/>
              </w:rPr>
              <w:t>项目实施进度计划内容一般完善、时间安排一般可行、进度监控及应急措施一般完整的得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④</w:t>
            </w:r>
            <w:r>
              <w:rPr>
                <w:rFonts w:hint="eastAsia" w:ascii="宋体" w:hAnsi="宋体" w:eastAsia="宋体" w:cs="宋体"/>
                <w:sz w:val="24"/>
                <w:szCs w:val="24"/>
              </w:rPr>
              <w:t>未提供的得0分。</w:t>
            </w:r>
          </w:p>
        </w:tc>
      </w:tr>
      <w:tr w14:paraId="78D0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Merge w:val="continue"/>
            <w:vAlign w:val="center"/>
          </w:tcPr>
          <w:p w14:paraId="4B17C1E5">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Theme="minorEastAsia" w:hAnsiTheme="minorEastAsia" w:eastAsiaTheme="minorEastAsia" w:cstheme="minorEastAsia"/>
                <w:snapToGrid w:val="0"/>
                <w:color w:val="auto"/>
                <w:spacing w:val="9"/>
                <w:kern w:val="0"/>
                <w:position w:val="15"/>
                <w:sz w:val="24"/>
                <w:szCs w:val="24"/>
              </w:rPr>
            </w:pPr>
          </w:p>
        </w:tc>
        <w:tc>
          <w:tcPr>
            <w:tcW w:w="922" w:type="pct"/>
            <w:vAlign w:val="center"/>
          </w:tcPr>
          <w:p w14:paraId="2EEE2EE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质量保证措施(15.0分）</w:t>
            </w:r>
          </w:p>
        </w:tc>
        <w:tc>
          <w:tcPr>
            <w:tcW w:w="3410" w:type="pct"/>
            <w:vAlign w:val="center"/>
          </w:tcPr>
          <w:p w14:paraId="028613D3">
            <w:pPr>
              <w:keepNext w:val="0"/>
              <w:keepLines w:val="0"/>
              <w:pageBreakBefore w:val="0"/>
              <w:widowControl w:val="0"/>
              <w:suppressLineNumbers w:val="0"/>
              <w:kinsoku/>
              <w:wordWrap w:val="0"/>
              <w:overflowPunct/>
              <w:topLinePunct/>
              <w:autoSpaceDE/>
              <w:autoSpaceDN/>
              <w:bidi w:val="0"/>
              <w:adjustRightInd/>
              <w:snapToGrid/>
              <w:spacing w:line="360" w:lineRule="auto"/>
              <w:jc w:val="both"/>
              <w:rPr>
                <w:rFonts w:hint="eastAsia" w:asciiTheme="minorEastAsia" w:hAnsiTheme="minorEastAsia" w:eastAsiaTheme="minorEastAsia" w:cstheme="minorEastAsia"/>
                <w:snapToGrid w:val="0"/>
                <w:color w:val="auto"/>
                <w:spacing w:val="9"/>
                <w:kern w:val="0"/>
                <w:position w:val="15"/>
                <w:sz w:val="24"/>
                <w:szCs w:val="24"/>
              </w:rPr>
            </w:pPr>
            <w:r>
              <w:rPr>
                <w:rFonts w:hint="eastAsia" w:ascii="宋体" w:hAnsi="宋体" w:eastAsia="宋体" w:cs="宋体"/>
                <w:sz w:val="24"/>
                <w:szCs w:val="24"/>
              </w:rPr>
              <w:t>根据供应商提供的</w:t>
            </w:r>
            <w:r>
              <w:rPr>
                <w:rFonts w:hint="eastAsia" w:ascii="宋体" w:hAnsi="宋体" w:eastAsia="宋体" w:cs="宋体"/>
                <w:sz w:val="24"/>
                <w:szCs w:val="24"/>
                <w:lang w:val="en-US" w:eastAsia="zh-CN"/>
              </w:rPr>
              <w:t>质量保证措施</w:t>
            </w:r>
            <w:r>
              <w:rPr>
                <w:rFonts w:hint="eastAsia" w:ascii="宋体" w:hAnsi="宋体" w:eastAsia="宋体" w:cs="宋体"/>
                <w:sz w:val="24"/>
                <w:szCs w:val="24"/>
              </w:rPr>
              <w:t>进行评审：①质量保证措施整体内容描述清晰完整，切实可行的，完全符合项目采购项目实际需求的得1</w:t>
            </w:r>
            <w:r>
              <w:rPr>
                <w:rFonts w:hint="eastAsia" w:ascii="宋体" w:hAnsi="宋体" w:eastAsia="宋体" w:cs="宋体"/>
                <w:sz w:val="24"/>
                <w:szCs w:val="24"/>
                <w:lang w:val="en-US" w:eastAsia="zh-CN"/>
              </w:rPr>
              <w:t>5</w:t>
            </w:r>
            <w:r>
              <w:rPr>
                <w:rFonts w:hint="eastAsia" w:ascii="宋体" w:hAnsi="宋体" w:eastAsia="宋体" w:cs="宋体"/>
                <w:sz w:val="24"/>
                <w:szCs w:val="24"/>
              </w:rPr>
              <w:t>分；②质量保证措施整体内容描述比较清晰完整，合理性较强，具有较强可行性，能满足项目需求的得</w:t>
            </w:r>
            <w:r>
              <w:rPr>
                <w:rFonts w:hint="eastAsia" w:ascii="宋体" w:hAnsi="宋体" w:eastAsia="宋体" w:cs="宋体"/>
                <w:sz w:val="24"/>
                <w:szCs w:val="24"/>
                <w:lang w:val="en-US" w:eastAsia="zh-CN"/>
              </w:rPr>
              <w:t>10</w:t>
            </w:r>
            <w:r>
              <w:rPr>
                <w:rFonts w:hint="eastAsia" w:ascii="宋体" w:hAnsi="宋体" w:eastAsia="宋体" w:cs="宋体"/>
                <w:sz w:val="24"/>
                <w:szCs w:val="24"/>
              </w:rPr>
              <w:t>分；③质量保证措施整体内容基本完整，条理清晰度一般，可操作性一般，能基本满足项目需求的得</w:t>
            </w:r>
            <w:r>
              <w:rPr>
                <w:rFonts w:hint="eastAsia" w:ascii="宋体" w:hAnsi="宋体" w:eastAsia="宋体" w:cs="宋体"/>
                <w:sz w:val="24"/>
                <w:szCs w:val="24"/>
                <w:lang w:val="en-US" w:eastAsia="zh-CN"/>
              </w:rPr>
              <w:t>5</w:t>
            </w:r>
            <w:r>
              <w:rPr>
                <w:rFonts w:hint="eastAsia" w:ascii="宋体" w:hAnsi="宋体" w:eastAsia="宋体" w:cs="宋体"/>
                <w:sz w:val="24"/>
                <w:szCs w:val="24"/>
              </w:rPr>
              <w:t>分；④未提供</w:t>
            </w:r>
            <w:r>
              <w:rPr>
                <w:rFonts w:hint="eastAsia" w:ascii="宋体" w:hAnsi="宋体" w:eastAsia="宋体" w:cs="宋体"/>
                <w:sz w:val="24"/>
                <w:szCs w:val="24"/>
                <w:lang w:val="en-US" w:eastAsia="zh-CN"/>
              </w:rPr>
              <w:t>的</w:t>
            </w:r>
            <w:r>
              <w:rPr>
                <w:rFonts w:hint="eastAsia" w:ascii="宋体" w:hAnsi="宋体" w:eastAsia="宋体" w:cs="宋体"/>
                <w:sz w:val="24"/>
                <w:szCs w:val="24"/>
              </w:rPr>
              <w:t>得0分。</w:t>
            </w:r>
          </w:p>
        </w:tc>
      </w:tr>
      <w:tr w14:paraId="6F5F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Merge w:val="continue"/>
            <w:vAlign w:val="center"/>
          </w:tcPr>
          <w:p w14:paraId="1B9AF00A">
            <w:pPr>
              <w:keepNext w:val="0"/>
              <w:keepLines w:val="0"/>
              <w:pageBreakBefore w:val="0"/>
              <w:widowControl w:val="0"/>
              <w:kinsoku/>
              <w:wordWrap w:val="0"/>
              <w:overflowPunct/>
              <w:topLinePunct/>
              <w:autoSpaceDE/>
              <w:autoSpaceDN/>
              <w:bidi w:val="0"/>
              <w:adjustRightInd/>
              <w:snapToGrid/>
              <w:spacing w:line="360" w:lineRule="auto"/>
              <w:ind w:left="0" w:right="0"/>
              <w:jc w:val="center"/>
              <w:textAlignment w:val="baseline"/>
              <w:rPr>
                <w:rFonts w:hint="eastAsia" w:asciiTheme="minorEastAsia" w:hAnsiTheme="minorEastAsia" w:eastAsiaTheme="minorEastAsia" w:cstheme="minorEastAsia"/>
                <w:snapToGrid w:val="0"/>
                <w:color w:val="auto"/>
                <w:spacing w:val="9"/>
                <w:kern w:val="0"/>
                <w:position w:val="15"/>
                <w:sz w:val="24"/>
                <w:szCs w:val="24"/>
              </w:rPr>
            </w:pPr>
          </w:p>
        </w:tc>
        <w:tc>
          <w:tcPr>
            <w:tcW w:w="922" w:type="pct"/>
            <w:vAlign w:val="center"/>
          </w:tcPr>
          <w:p w14:paraId="1D28E1F8">
            <w:pPr>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维护方案</w:t>
            </w:r>
          </w:p>
          <w:p w14:paraId="6490614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(15.0分）</w:t>
            </w:r>
          </w:p>
        </w:tc>
        <w:tc>
          <w:tcPr>
            <w:tcW w:w="3410" w:type="pct"/>
            <w:vAlign w:val="center"/>
          </w:tcPr>
          <w:p w14:paraId="6BE5037C">
            <w:pPr>
              <w:keepNext w:val="0"/>
              <w:keepLines w:val="0"/>
              <w:pageBreakBefore w:val="0"/>
              <w:widowControl w:val="0"/>
              <w:suppressLineNumbers w:val="0"/>
              <w:kinsoku/>
              <w:wordWrap w:val="0"/>
              <w:overflowPunct/>
              <w:topLinePunct/>
              <w:autoSpaceDE/>
              <w:autoSpaceDN/>
              <w:bidi w:val="0"/>
              <w:adjustRightInd/>
              <w:snapToGrid/>
              <w:spacing w:line="360" w:lineRule="auto"/>
              <w:jc w:val="both"/>
              <w:rPr>
                <w:rFonts w:hint="eastAsia" w:asciiTheme="minorEastAsia" w:hAnsiTheme="minorEastAsia" w:eastAsiaTheme="minorEastAsia" w:cstheme="minorEastAsia"/>
                <w:snapToGrid w:val="0"/>
                <w:color w:val="auto"/>
                <w:spacing w:val="9"/>
                <w:kern w:val="0"/>
                <w:position w:val="15"/>
                <w:sz w:val="24"/>
                <w:szCs w:val="24"/>
              </w:rPr>
            </w:pPr>
            <w:r>
              <w:rPr>
                <w:rFonts w:hint="eastAsia" w:ascii="宋体" w:hAnsi="宋体" w:eastAsia="宋体" w:cs="宋体"/>
                <w:sz w:val="24"/>
                <w:szCs w:val="24"/>
              </w:rPr>
              <w:t>根据供应商提供的</w:t>
            </w:r>
            <w:r>
              <w:rPr>
                <w:rFonts w:hint="eastAsia" w:ascii="宋体" w:hAnsi="宋体" w:eastAsia="宋体" w:cs="宋体"/>
                <w:sz w:val="24"/>
                <w:szCs w:val="24"/>
                <w:lang w:val="en-US" w:eastAsia="zh-CN"/>
              </w:rPr>
              <w:t>维护</w:t>
            </w:r>
            <w:r>
              <w:rPr>
                <w:rFonts w:hint="eastAsia" w:ascii="宋体" w:hAnsi="宋体" w:eastAsia="宋体" w:cs="宋体"/>
                <w:sz w:val="24"/>
                <w:szCs w:val="24"/>
              </w:rPr>
              <w:t>方案进行评审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①维护方案详细、具体、周到，解决问题方案考虑全面，维护体系完全满足本次项目采购需求的得15分；②维护方案相对详细、具体、周到，解决问题方案考虑相对全面，有完善的维护体系相对满足本次项目采购需求的得10分；③维护方案基本详细、具体、周到，解决问题方案、维护体系基本满足本次项目采购需求的得5分；</w:t>
            </w:r>
            <w:r>
              <w:rPr>
                <w:rFonts w:hint="eastAsia" w:ascii="宋体" w:hAnsi="宋体" w:eastAsia="宋体" w:cs="宋体"/>
                <w:sz w:val="24"/>
                <w:szCs w:val="24"/>
              </w:rPr>
              <w:t>④未提供</w:t>
            </w:r>
            <w:r>
              <w:rPr>
                <w:rFonts w:hint="eastAsia" w:ascii="宋体" w:hAnsi="宋体" w:eastAsia="宋体" w:cs="宋体"/>
                <w:sz w:val="24"/>
                <w:szCs w:val="24"/>
                <w:lang w:val="en-US" w:eastAsia="zh-CN"/>
              </w:rPr>
              <w:t>的</w:t>
            </w:r>
            <w:r>
              <w:rPr>
                <w:rFonts w:hint="eastAsia" w:ascii="宋体" w:hAnsi="宋体" w:eastAsia="宋体" w:cs="宋体"/>
                <w:sz w:val="24"/>
                <w:szCs w:val="24"/>
              </w:rPr>
              <w:t>得0分</w:t>
            </w:r>
            <w:r>
              <w:rPr>
                <w:rFonts w:hint="eastAsia" w:ascii="宋体" w:hAnsi="宋体" w:eastAsia="宋体" w:cs="宋体"/>
                <w:sz w:val="24"/>
                <w:szCs w:val="24"/>
                <w:lang w:val="en-US" w:eastAsia="zh-CN"/>
              </w:rPr>
              <w:t>。</w:t>
            </w:r>
          </w:p>
        </w:tc>
      </w:tr>
      <w:tr w14:paraId="2B053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Merge w:val="continue"/>
            <w:vAlign w:val="center"/>
          </w:tcPr>
          <w:p w14:paraId="38AF5315">
            <w:pPr>
              <w:keepNext w:val="0"/>
              <w:keepLines w:val="0"/>
              <w:pageBreakBefore w:val="0"/>
              <w:widowControl w:val="0"/>
              <w:kinsoku/>
              <w:wordWrap w:val="0"/>
              <w:overflowPunct/>
              <w:topLinePunct/>
              <w:autoSpaceDE/>
              <w:autoSpaceDN/>
              <w:bidi w:val="0"/>
              <w:adjustRightInd/>
              <w:snapToGrid/>
              <w:spacing w:line="360" w:lineRule="auto"/>
              <w:ind w:left="0" w:leftChars="0" w:right="0" w:rightChars="0"/>
              <w:jc w:val="both"/>
              <w:textAlignment w:val="baseline"/>
              <w:rPr>
                <w:sz w:val="24"/>
                <w:szCs w:val="24"/>
              </w:rPr>
            </w:pPr>
          </w:p>
        </w:tc>
        <w:tc>
          <w:tcPr>
            <w:tcW w:w="922" w:type="pct"/>
            <w:vAlign w:val="center"/>
          </w:tcPr>
          <w:p w14:paraId="373AD093">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售后服务方案(10.0分）</w:t>
            </w:r>
          </w:p>
        </w:tc>
        <w:tc>
          <w:tcPr>
            <w:tcW w:w="3410" w:type="pct"/>
            <w:vAlign w:val="center"/>
          </w:tcPr>
          <w:p w14:paraId="5FA94674">
            <w:pPr>
              <w:keepNext w:val="0"/>
              <w:keepLines w:val="0"/>
              <w:pageBreakBefore w:val="0"/>
              <w:widowControl w:val="0"/>
              <w:suppressLineNumbers w:val="0"/>
              <w:kinsoku/>
              <w:wordWrap w:val="0"/>
              <w:overflowPunct/>
              <w:topLinePunct/>
              <w:autoSpaceDE/>
              <w:autoSpaceDN/>
              <w:bidi w:val="0"/>
              <w:adjustRightInd/>
              <w:snapToGrid/>
              <w:spacing w:line="360" w:lineRule="auto"/>
              <w:jc w:val="both"/>
              <w:rPr>
                <w:rFonts w:hint="eastAsia" w:eastAsia="宋体" w:asciiTheme="minorEastAsia" w:hAnsiTheme="minorEastAsia" w:cstheme="minorEastAsia"/>
                <w:snapToGrid w:val="0"/>
                <w:color w:val="auto"/>
                <w:spacing w:val="9"/>
                <w:kern w:val="0"/>
                <w:position w:val="15"/>
                <w:sz w:val="24"/>
                <w:szCs w:val="24"/>
                <w:lang w:val="en-US" w:eastAsia="zh-CN"/>
              </w:rPr>
            </w:pPr>
            <w:r>
              <w:rPr>
                <w:rFonts w:hint="eastAsia" w:ascii="宋体" w:hAnsi="宋体" w:eastAsia="宋体" w:cs="宋体"/>
                <w:sz w:val="24"/>
                <w:szCs w:val="24"/>
                <w:lang w:val="en-US" w:eastAsia="zh-CN"/>
              </w:rPr>
              <w:t>根据供应商提供的售后服务方案进行评审：①售后服务制度完善、售后服务内容完整明确、服务保障措施完善的得10分；②售后服务制度比较完善、售后服务内容比较完整、服务保障措施比较完善的得7分；③售后服务制度简单、售后服务内容含糊不明确、服务保障措施一般的得4分；④售后服务制度不可行或未提供售后服务方案的得0分。</w:t>
            </w:r>
          </w:p>
        </w:tc>
      </w:tr>
      <w:tr w14:paraId="6ECBB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Align w:val="center"/>
          </w:tcPr>
          <w:p w14:paraId="13C044BC">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eastAsia" w:asciiTheme="minorEastAsia" w:hAnsiTheme="minorEastAsia" w:eastAsiaTheme="minorEastAsia" w:cstheme="minorEastAsia"/>
                <w:snapToGrid w:val="0"/>
                <w:color w:val="auto"/>
                <w:spacing w:val="9"/>
                <w:kern w:val="0"/>
                <w:position w:val="15"/>
                <w:sz w:val="24"/>
                <w:szCs w:val="24"/>
                <w:highlight w:val="none"/>
                <w:lang w:val="en-US" w:eastAsia="zh-CN"/>
              </w:rPr>
            </w:pPr>
            <w:r>
              <w:rPr>
                <w:rFonts w:hint="eastAsia" w:asciiTheme="minorEastAsia" w:hAnsiTheme="minorEastAsia" w:eastAsiaTheme="minorEastAsia" w:cstheme="minorEastAsia"/>
                <w:snapToGrid w:val="0"/>
                <w:color w:val="auto"/>
                <w:spacing w:val="9"/>
                <w:kern w:val="0"/>
                <w:position w:val="15"/>
                <w:sz w:val="24"/>
                <w:szCs w:val="24"/>
                <w:highlight w:val="none"/>
                <w:lang w:val="en-US" w:eastAsia="zh-CN"/>
              </w:rPr>
              <w:t>商务部分</w:t>
            </w:r>
          </w:p>
          <w:p w14:paraId="30C4B0AC">
            <w:pPr>
              <w:keepNext w:val="0"/>
              <w:keepLines w:val="0"/>
              <w:pageBreakBefore w:val="0"/>
              <w:widowControl w:val="0"/>
              <w:kinsoku/>
              <w:wordWrap w:val="0"/>
              <w:overflowPunct/>
              <w:topLinePunct/>
              <w:autoSpaceDE/>
              <w:autoSpaceDN/>
              <w:bidi w:val="0"/>
              <w:adjustRightInd/>
              <w:snapToGrid/>
              <w:spacing w:line="360" w:lineRule="auto"/>
              <w:ind w:left="0" w:right="0"/>
              <w:jc w:val="center"/>
              <w:rPr>
                <w:rFonts w:hint="default" w:ascii="宋体" w:hAnsi="宋体" w:eastAsia="宋体" w:cs="宋体"/>
                <w:spacing w:val="-2"/>
                <w:sz w:val="24"/>
                <w:szCs w:val="24"/>
                <w:highlight w:val="none"/>
                <w:lang w:val="en-US" w:eastAsia="zh-CN"/>
              </w:rPr>
            </w:pPr>
            <w:r>
              <w:rPr>
                <w:rFonts w:hint="eastAsia" w:asciiTheme="minorEastAsia" w:hAnsiTheme="minorEastAsia" w:cstheme="minorEastAsia"/>
                <w:snapToGrid w:val="0"/>
                <w:color w:val="auto"/>
                <w:spacing w:val="9"/>
                <w:kern w:val="0"/>
                <w:position w:val="15"/>
                <w:sz w:val="24"/>
                <w:szCs w:val="24"/>
                <w:highlight w:val="none"/>
                <w:lang w:val="en-US" w:eastAsia="zh-CN"/>
              </w:rPr>
              <w:t>20</w:t>
            </w:r>
            <w:r>
              <w:rPr>
                <w:rFonts w:hint="eastAsia" w:asciiTheme="minorEastAsia" w:hAnsiTheme="minorEastAsia" w:eastAsiaTheme="minorEastAsia" w:cstheme="minorEastAsia"/>
                <w:snapToGrid w:val="0"/>
                <w:color w:val="auto"/>
                <w:spacing w:val="9"/>
                <w:kern w:val="0"/>
                <w:position w:val="15"/>
                <w:sz w:val="24"/>
                <w:szCs w:val="24"/>
                <w:highlight w:val="none"/>
                <w:lang w:val="en-US" w:eastAsia="zh-CN"/>
              </w:rPr>
              <w:t>.0分</w:t>
            </w:r>
          </w:p>
        </w:tc>
        <w:tc>
          <w:tcPr>
            <w:tcW w:w="922" w:type="pct"/>
            <w:vAlign w:val="center"/>
          </w:tcPr>
          <w:p w14:paraId="2465BE5D">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企业业绩</w:t>
            </w:r>
          </w:p>
          <w:p w14:paraId="21413714">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(20.0分）</w:t>
            </w:r>
          </w:p>
        </w:tc>
        <w:tc>
          <w:tcPr>
            <w:tcW w:w="3410" w:type="pct"/>
            <w:vAlign w:val="center"/>
          </w:tcPr>
          <w:p w14:paraId="50D4DA91">
            <w:pPr>
              <w:keepNext w:val="0"/>
              <w:keepLines w:val="0"/>
              <w:pageBreakBefore w:val="0"/>
              <w:widowControl w:val="0"/>
              <w:suppressLineNumbers w:val="0"/>
              <w:kinsoku/>
              <w:wordWrap w:val="0"/>
              <w:overflowPunct/>
              <w:topLinePunct/>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根据供应商提供的近三年同类业绩进行评审，每提供一份得10分，本项最高20分；（响应文件中需提供合同原件的扫描件或复印件，以签订合同时间为准）</w:t>
            </w:r>
          </w:p>
        </w:tc>
      </w:tr>
      <w:tr w14:paraId="46EB9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66" w:type="pct"/>
            <w:vAlign w:val="center"/>
          </w:tcPr>
          <w:p w14:paraId="1D9B4D03">
            <w:pPr>
              <w:keepNext w:val="0"/>
              <w:keepLines w:val="0"/>
              <w:pageBreakBefore w:val="0"/>
              <w:widowControl w:val="0"/>
              <w:kinsoku/>
              <w:wordWrap w:val="0"/>
              <w:overflowPunct/>
              <w:topLinePunct/>
              <w:autoSpaceDE/>
              <w:autoSpaceDN/>
              <w:bidi w:val="0"/>
              <w:adjustRightInd/>
              <w:snapToGrid/>
              <w:spacing w:line="360" w:lineRule="auto"/>
              <w:ind w:left="0" w:leftChars="0" w:right="0"/>
              <w:jc w:val="both"/>
              <w:rPr>
                <w:rFonts w:hint="eastAsia" w:ascii="宋体" w:hAnsi="宋体" w:eastAsia="宋体" w:cs="宋体"/>
                <w:spacing w:val="-2"/>
                <w:sz w:val="24"/>
                <w:szCs w:val="24"/>
              </w:rPr>
            </w:pPr>
            <w:r>
              <w:rPr>
                <w:rFonts w:hint="eastAsia" w:ascii="宋体" w:hAnsi="宋体" w:eastAsia="宋体" w:cs="宋体"/>
                <w:spacing w:val="-2"/>
                <w:sz w:val="24"/>
                <w:szCs w:val="24"/>
              </w:rPr>
              <w:t>投标报价</w:t>
            </w:r>
          </w:p>
          <w:p w14:paraId="44CC361F">
            <w:pPr>
              <w:keepNext w:val="0"/>
              <w:keepLines w:val="0"/>
              <w:pageBreakBefore w:val="0"/>
              <w:widowControl w:val="0"/>
              <w:kinsoku/>
              <w:wordWrap w:val="0"/>
              <w:overflowPunct/>
              <w:topLinePunct/>
              <w:autoSpaceDE/>
              <w:autoSpaceDN/>
              <w:bidi w:val="0"/>
              <w:adjustRightInd/>
              <w:snapToGrid/>
              <w:spacing w:line="360" w:lineRule="auto"/>
              <w:ind w:left="108"/>
              <w:jc w:val="both"/>
              <w:rPr>
                <w:rFonts w:hint="default" w:ascii="宋体" w:hAnsi="宋体" w:eastAsia="宋体" w:cs="宋体"/>
                <w:kern w:val="2"/>
                <w:sz w:val="28"/>
                <w:szCs w:val="28"/>
                <w:lang w:val="en-US" w:eastAsia="zh-CN" w:bidi="zh-CN"/>
              </w:rPr>
            </w:pPr>
            <w:r>
              <w:rPr>
                <w:rFonts w:hint="eastAsia" w:ascii="宋体" w:hAnsi="宋体" w:eastAsia="宋体" w:cs="宋体"/>
                <w:spacing w:val="-2"/>
                <w:kern w:val="2"/>
                <w:sz w:val="24"/>
                <w:szCs w:val="24"/>
                <w:lang w:val="en-US" w:eastAsia="zh-CN" w:bidi="zh-CN"/>
              </w:rPr>
              <w:t>10.0分</w:t>
            </w:r>
          </w:p>
        </w:tc>
        <w:tc>
          <w:tcPr>
            <w:tcW w:w="922" w:type="pct"/>
            <w:vAlign w:val="center"/>
          </w:tcPr>
          <w:p w14:paraId="6C0CD5D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w:t>
            </w:r>
          </w:p>
          <w:p w14:paraId="0B7DE02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c>
          <w:tcPr>
            <w:tcW w:w="3410" w:type="pct"/>
            <w:vAlign w:val="top"/>
          </w:tcPr>
          <w:p w14:paraId="19F67CD3">
            <w:pPr>
              <w:keepNext w:val="0"/>
              <w:keepLines w:val="0"/>
              <w:pageBreakBefore w:val="0"/>
              <w:widowControl w:val="0"/>
              <w:suppressLineNumbers w:val="0"/>
              <w:kinsoku/>
              <w:wordWrap w:val="0"/>
              <w:overflowPunct/>
              <w:topLinePunct/>
              <w:autoSpaceDE/>
              <w:autoSpaceDN/>
              <w:bidi w:val="0"/>
              <w:adjustRightInd/>
              <w:snapToGrid/>
              <w:spacing w:line="360" w:lineRule="auto"/>
              <w:jc w:val="left"/>
              <w:rPr>
                <w:rFonts w:hint="eastAsia" w:ascii="宋体" w:hAnsi="宋体" w:eastAsia="宋体" w:cs="宋体"/>
                <w:spacing w:val="-2"/>
                <w:sz w:val="24"/>
                <w:szCs w:val="24"/>
              </w:rPr>
            </w:pPr>
            <w:r>
              <w:rPr>
                <w:rFonts w:hint="eastAsia" w:ascii="宋体" w:hAnsi="宋体" w:eastAsia="宋体" w:cs="宋体"/>
                <w:spacing w:val="8"/>
                <w:sz w:val="24"/>
                <w:szCs w:val="24"/>
              </w:rPr>
              <w:t>投</w:t>
            </w:r>
            <w:r>
              <w:rPr>
                <w:rFonts w:hint="eastAsia" w:ascii="宋体" w:hAnsi="宋体" w:eastAsia="宋体" w:cs="宋体"/>
                <w:sz w:val="24"/>
                <w:szCs w:val="24"/>
                <w:lang w:val="en-US" w:eastAsia="zh-CN"/>
              </w:rPr>
              <w:t>标报价得分=(评标基准价/投标报价)×价格分值【注：满足磋商文件要求且投标价格最低的投标报价为评标基准价。】最低报价不是中标的唯一依据。因落实政府采购政策进行价格调整的，以调整后的价格计算评标基准价和投标报价。</w:t>
            </w:r>
          </w:p>
        </w:tc>
      </w:tr>
    </w:tbl>
    <w:p w14:paraId="4643C9BA">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p>
    <w:p w14:paraId="5C488682">
      <w:pPr>
        <w:keepNext w:val="0"/>
        <w:keepLines w:val="0"/>
        <w:pageBreakBefore w:val="0"/>
        <w:widowControl w:val="0"/>
        <w:suppressLineNumbers w:val="0"/>
        <w:kinsoku/>
        <w:wordWrap w:val="0"/>
        <w:overflowPunct/>
        <w:topLinePunct/>
        <w:autoSpaceDE/>
        <w:autoSpaceDN/>
        <w:bidi w:val="0"/>
        <w:adjustRightInd/>
        <w:snapToGrid/>
        <w:spacing w:line="520" w:lineRule="exact"/>
        <w:ind w:left="0"/>
        <w:jc w:val="center"/>
        <w:textAlignment w:val="auto"/>
        <w:outlineLvl w:val="0"/>
        <w:rPr>
          <w:rFonts w:hint="eastAsia" w:ascii="宋体" w:hAnsi="宋体" w:eastAsia="宋体" w:cs="宋体"/>
          <w:b/>
          <w:bCs/>
          <w:spacing w:val="20"/>
          <w:sz w:val="31"/>
          <w:szCs w:val="31"/>
          <w:lang w:val="en-US" w:eastAsia="zh-CN"/>
        </w:rPr>
      </w:pPr>
      <w:bookmarkStart w:id="8" w:name="_Toc8542"/>
      <w:r>
        <w:rPr>
          <w:rFonts w:hint="eastAsia" w:ascii="宋体" w:hAnsi="宋体" w:eastAsia="宋体" w:cs="宋体"/>
          <w:b/>
          <w:bCs/>
          <w:spacing w:val="20"/>
          <w:sz w:val="31"/>
          <w:szCs w:val="31"/>
          <w:lang w:val="en-US" w:eastAsia="zh-CN"/>
        </w:rPr>
        <w:t>第六章 合同草案</w:t>
      </w:r>
      <w:bookmarkEnd w:id="8"/>
    </w:p>
    <w:p w14:paraId="5401052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center"/>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(货物类合同参考文本)</w:t>
      </w:r>
    </w:p>
    <w:p w14:paraId="3E338D66">
      <w:pPr>
        <w:keepNext w:val="0"/>
        <w:keepLines w:val="0"/>
        <w:pageBreakBefore w:val="0"/>
        <w:widowControl w:val="0"/>
        <w:kinsoku/>
        <w:wordWrap w:val="0"/>
        <w:overflowPunct/>
        <w:topLinePunct/>
        <w:autoSpaceDE/>
        <w:autoSpaceDN/>
        <w:bidi w:val="0"/>
        <w:adjustRightInd/>
        <w:snapToGrid/>
        <w:spacing w:line="520" w:lineRule="exact"/>
        <w:ind w:firstLine="6505" w:firstLineChars="27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合同编号：</w:t>
      </w:r>
    </w:p>
    <w:p w14:paraId="7E103F2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甲方：***(填写采购单位名称)</w:t>
      </w:r>
    </w:p>
    <w:p w14:paraId="4BB3A0F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地址：***(填写详细地址)</w:t>
      </w:r>
    </w:p>
    <w:p w14:paraId="79366C4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乙方：***(填写中标、成交</w:t>
      </w:r>
      <w:r>
        <w:rPr>
          <w:rFonts w:hint="eastAsia" w:ascii="宋体" w:hAnsi="宋体" w:eastAsia="宋体" w:cs="宋体"/>
          <w:snapToGrid w:val="0"/>
          <w:color w:val="000000"/>
          <w:kern w:val="0"/>
          <w:sz w:val="24"/>
          <w:lang w:eastAsia="zh-CN"/>
        </w:rPr>
        <w:t>供应商</w:t>
      </w:r>
      <w:r>
        <w:rPr>
          <w:rFonts w:hint="eastAsia" w:ascii="宋体" w:hAnsi="宋体" w:eastAsia="宋体" w:cs="宋体"/>
          <w:snapToGrid w:val="0"/>
          <w:color w:val="000000"/>
          <w:kern w:val="0"/>
          <w:sz w:val="24"/>
          <w:lang w:eastAsia="en-US"/>
        </w:rPr>
        <w:t>名称)</w:t>
      </w:r>
    </w:p>
    <w:p w14:paraId="31028BD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地址：***(填写详细地址)</w:t>
      </w:r>
    </w:p>
    <w:p w14:paraId="2253587E">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根据《中华人民共和国政府采购法》《中华人民共和国政府采购法实施条例》《中华人民共和国民法典》等相关法律法规、规范性文件以及</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项目(填写项目名称</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(填写政府采购项目编号)的中标(成交)结果、招标(磋商、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)文件或询价通知书、投标(响应)文件等文件的相关内容，甲乙双方经平等协商，就如下合同条款达成一致意见。</w:t>
      </w:r>
    </w:p>
    <w:p w14:paraId="34C1EE89">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一、甲方向乙方采购的货物基本情况</w:t>
      </w:r>
    </w:p>
    <w:p w14:paraId="4D04D70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(一)根据招标(磋商、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)文件或询价通知书及中标(成交)结果公告，甲方所采购的货物、服务(如有)基本情况如下：</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w:t>
      </w:r>
    </w:p>
    <w:p w14:paraId="15C7A07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(二)货物名称、数量、规格型号、生产厂家、品牌、单价、与货物相关的服务等详细内容，见合同附件-货物清单。</w:t>
      </w:r>
    </w:p>
    <w:p w14:paraId="48864F8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二、乙方交付货物的时间及地点</w:t>
      </w:r>
    </w:p>
    <w:p w14:paraId="3609CA4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eastAsia="en-US"/>
        </w:rPr>
        <w:t>(一)交付时间：</w:t>
      </w:r>
      <w:r>
        <w:rPr>
          <w:rFonts w:hint="eastAsia" w:ascii="宋体" w:hAnsi="宋体" w:eastAsia="宋体" w:cs="宋体"/>
          <w:snapToGrid w:val="0"/>
          <w:color w:val="000000"/>
          <w:kern w:val="0"/>
          <w:sz w:val="24"/>
          <w:u w:val="single"/>
          <w:lang w:val="en-US" w:eastAsia="zh-CN"/>
        </w:rPr>
        <w:t xml:space="preserve">          </w:t>
      </w:r>
    </w:p>
    <w:p w14:paraId="6B523AB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(二)交付地点：</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(填写详细地址)</w:t>
      </w:r>
    </w:p>
    <w:p w14:paraId="195B104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(三)交付货物的名称及数量：</w:t>
      </w:r>
      <w:r>
        <w:rPr>
          <w:rFonts w:hint="eastAsia" w:ascii="宋体" w:hAnsi="宋体" w:eastAsia="宋体" w:cs="宋体"/>
          <w:snapToGrid w:val="0"/>
          <w:color w:val="000000"/>
          <w:kern w:val="0"/>
          <w:sz w:val="24"/>
          <w:u w:val="single"/>
          <w:lang w:val="en-US" w:eastAsia="zh-CN"/>
        </w:rPr>
        <w:t xml:space="preserve">          </w:t>
      </w:r>
    </w:p>
    <w:p w14:paraId="51E4A9A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(四)乙方交付货物代表及联系电话：</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(填写姓名和联系电话)</w:t>
      </w:r>
    </w:p>
    <w:p w14:paraId="1164AC6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(五)甲方接收货物代表及联系电话：</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(填写姓名和联系电话)</w:t>
      </w:r>
    </w:p>
    <w:p w14:paraId="30EC52A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注：货物为多批次交付的，应详细列明每批次交付的内容、数量、交付时间、交付地点等。</w:t>
      </w:r>
    </w:p>
    <w:p w14:paraId="7D6042D4">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三、乙方交付货物的质量</w:t>
      </w:r>
    </w:p>
    <w:p w14:paraId="14D6F86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(一)乙方交付的货物应同时满足：1.符合国家法律法规和规范性文件对货物的质量要求；2.符合甲方招标(磋商、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)文件或询价通知书对货物的质量要求；3.符合乙方在投标(响应)文件中或磋商、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过程中对货物质量作出的书面承诺、声明或保证。上述质量要求作为甲方对乙方货物质量的验收依据。</w:t>
      </w:r>
    </w:p>
    <w:p w14:paraId="3CE4480C">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(二)乙方应根据国家法律法规和规范性文件的规定、招标(磋商、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)文件或询价通知书的相关要求、投标(响应)文件及乙方承诺、声明或保证，向甲方提供相应的货物质量证明文件。</w:t>
      </w:r>
    </w:p>
    <w:p w14:paraId="1733604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四、乙方交付货物的包装及标识</w:t>
      </w:r>
    </w:p>
    <w:p w14:paraId="4FC9605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(一)乙方交付货物的包装和标识应同时满足：1.符合国家法律法规和规范性文件对产品包装及标识的要求；2.符合甲方招标(磋商、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)文件或询价通知书对货物包装及标识的要求；3.符合乙方在投标(响应)文件中对货物包装及标识作出的承诺、声明或保证；4.符合绿色环保、运输及安全性等要求。</w:t>
      </w:r>
    </w:p>
    <w:p w14:paraId="4C6AF5AE">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(二)货物的包装费用由乙方承担。</w:t>
      </w:r>
    </w:p>
    <w:p w14:paraId="332D07C9">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五、货物的运输要求</w:t>
      </w:r>
    </w:p>
    <w:p w14:paraId="0C5F4AD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(一)运输方式及运输线路：</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w:t>
      </w:r>
    </w:p>
    <w:p w14:paraId="337401A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(二)运输、保险及其他相关费用由乙方承担。</w:t>
      </w:r>
    </w:p>
    <w:p w14:paraId="76DD3FF3">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六、甲方对货物的验收</w:t>
      </w:r>
    </w:p>
    <w:p w14:paraId="26B6C9B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(一)乙方将货物送达至甲方指定的地点，应及时通知甲方。在甲方收到到货通知并在货物到达指定地点后</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内，由甲乙双方及第三方(如有)对货物的数量、规格型号、生产厂家、品牌、外观进行验收，在条件允许的情况下，可以同步对货物质量进行初步验收，甲乙双方应签署书面验收记录，作为本项目的履行文件留存。</w:t>
      </w:r>
    </w:p>
    <w:p w14:paraId="1CE6C70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(二)在甲方收到货物</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日内，如发现质量问题，甲方应在</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日内向乙方提出书面异议，甲方逾期提出的，视为乙方所交付的货物质量符合合同的约定。乙方在收到甲方关于质量问题的书面异议后，应当在</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日内负责解决处理。</w:t>
      </w:r>
    </w:p>
    <w:p w14:paraId="633E12C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(三)乙方提交的货物数量、规格型号及质量不符合本合同要求的，甲方应在验收记录中作出明确记载，保留相关的证据，并有权拒绝接受货物，解除合同且不承担任何法律责任。</w:t>
      </w:r>
    </w:p>
    <w:p w14:paraId="762D2905">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七、合同金额</w:t>
      </w:r>
    </w:p>
    <w:p w14:paraId="51A52A8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在乙方提供完全符合合同要求的货物的前提下，本合同总金额为</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元(小写)</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(大写)</w:t>
      </w:r>
    </w:p>
    <w:p w14:paraId="66EF57FC">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八、付款时间、金额及条件</w:t>
      </w:r>
    </w:p>
    <w:p w14:paraId="57EBB10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(一)付款时间及付款金额：</w:t>
      </w:r>
      <w:r>
        <w:rPr>
          <w:rFonts w:hint="eastAsia" w:ascii="宋体" w:hAnsi="宋体" w:eastAsia="宋体" w:cs="宋体"/>
          <w:snapToGrid w:val="0"/>
          <w:color w:val="000000"/>
          <w:kern w:val="0"/>
          <w:sz w:val="24"/>
          <w:u w:val="single"/>
          <w:lang w:val="en-US" w:eastAsia="zh-CN"/>
        </w:rPr>
        <w:t xml:space="preserve">          </w:t>
      </w:r>
    </w:p>
    <w:p w14:paraId="75D4611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(二)付款条件：</w:t>
      </w:r>
      <w:r>
        <w:rPr>
          <w:rFonts w:hint="eastAsia" w:ascii="宋体" w:hAnsi="宋体" w:eastAsia="宋体" w:cs="宋体"/>
          <w:snapToGrid w:val="0"/>
          <w:color w:val="000000"/>
          <w:kern w:val="0"/>
          <w:sz w:val="24"/>
          <w:u w:val="single"/>
          <w:lang w:val="en-US" w:eastAsia="zh-CN"/>
        </w:rPr>
        <w:t xml:space="preserve">          </w:t>
      </w:r>
    </w:p>
    <w:p w14:paraId="5D4CF90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(三)乙方账户信息</w:t>
      </w:r>
    </w:p>
    <w:p w14:paraId="50FDB84E">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乙方名称：</w:t>
      </w:r>
      <w:r>
        <w:rPr>
          <w:rFonts w:hint="eastAsia" w:ascii="宋体" w:hAnsi="宋体" w:eastAsia="宋体" w:cs="宋体"/>
          <w:snapToGrid w:val="0"/>
          <w:color w:val="000000"/>
          <w:kern w:val="0"/>
          <w:sz w:val="24"/>
          <w:u w:val="single"/>
          <w:lang w:val="en-US" w:eastAsia="zh-CN"/>
        </w:rPr>
        <w:t xml:space="preserve">          </w:t>
      </w:r>
    </w:p>
    <w:p w14:paraId="3724526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开户银行：</w:t>
      </w:r>
      <w:r>
        <w:rPr>
          <w:rFonts w:hint="eastAsia" w:ascii="宋体" w:hAnsi="宋体" w:eastAsia="宋体" w:cs="宋体"/>
          <w:snapToGrid w:val="0"/>
          <w:color w:val="000000"/>
          <w:kern w:val="0"/>
          <w:sz w:val="24"/>
          <w:u w:val="single"/>
          <w:lang w:val="en-US" w:eastAsia="zh-CN"/>
        </w:rPr>
        <w:t xml:space="preserve">          </w:t>
      </w:r>
    </w:p>
    <w:p w14:paraId="5B31BE6C">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银行账号：</w:t>
      </w:r>
      <w:r>
        <w:rPr>
          <w:rFonts w:hint="eastAsia" w:ascii="宋体" w:hAnsi="宋体" w:eastAsia="宋体" w:cs="宋体"/>
          <w:snapToGrid w:val="0"/>
          <w:color w:val="000000"/>
          <w:kern w:val="0"/>
          <w:sz w:val="24"/>
          <w:u w:val="single"/>
          <w:lang w:val="en-US" w:eastAsia="zh-CN"/>
        </w:rPr>
        <w:t xml:space="preserve">          </w:t>
      </w:r>
    </w:p>
    <w:p w14:paraId="1029009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九、货物质量保证及售后服务</w:t>
      </w:r>
    </w:p>
    <w:p w14:paraId="16FD4C90">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)文件或询价通知书对货物质量保证期及售后服务作出明确要求的，适用招标(磋商、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)文件或询价通知书对保证期和售后服务的规定，如乙方在投标(响应)文件及磋商、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过程中对货物质量保证期和售后服务作出更优的承诺、声明或保证的，适用乙方的承诺、声明或保证。</w:t>
      </w:r>
    </w:p>
    <w:p w14:paraId="6A1830F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十、知识产权</w:t>
      </w:r>
    </w:p>
    <w:p w14:paraId="7AA7F8A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乙方保证其提供的货物的全部及部分，均不存在任何侵犯第三方知识产权的情形。否则，乙方应向甲方承担违约责任及赔偿由此给甲方造成的名誉及经济损失。</w:t>
      </w:r>
    </w:p>
    <w:p w14:paraId="2C4AC31B">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十一、违约条款</w:t>
      </w:r>
    </w:p>
    <w:p w14:paraId="74E315F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(一)甲方没有正当理由逾期支付合同款项的，每延期一日，甲方应按照逾期支付金额</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的</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承担违约责任。延期达到</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日，乙方有权解除合同，并要求甲方赔偿由此造成的经济损失。</w:t>
      </w:r>
    </w:p>
    <w:p w14:paraId="7157726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(二)甲方存在其他违反本合同的行为，应承担相应的违约责任(注：可以根据情况进行细化)；违约金不足以赔偿乙方损失的，乙方有权要求甲方赔偿由此造成的经济损失。</w:t>
      </w:r>
    </w:p>
    <w:p w14:paraId="5055F7E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(三)乙方逾期交付货物的，每延期一日，乙方应按照合同总金额的</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承担违约责任。延期达到</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日，甲方有权解除合同，拒付延期部分货物的相应货款，并要求乙方赔偿甲方的经济损失。</w:t>
      </w:r>
    </w:p>
    <w:p w14:paraId="46B7C73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(四)乙方交付的货物不符合质量约定或乙方未履行相应的质量保证责任及售后服务义务、或存在侵权行为的，甲方有权退货，并要求乙方支付合同总金额</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%的违约金，违约金不足以赔偿甲方损失的，甲方有权要求乙方赔偿经济损失。</w:t>
      </w:r>
    </w:p>
    <w:p w14:paraId="0557A7A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b/>
          <w:bCs/>
          <w:snapToGrid w:val="0"/>
          <w:color w:val="000000"/>
          <w:kern w:val="0"/>
          <w:sz w:val="24"/>
          <w:lang w:eastAsia="en-US"/>
        </w:rPr>
        <w:t>__________</w:t>
      </w:r>
      <w:r>
        <w:rPr>
          <w:rFonts w:hint="eastAsia" w:ascii="宋体" w:hAnsi="宋体" w:eastAsia="宋体" w:cs="宋体"/>
          <w:snapToGrid w:val="0"/>
          <w:color w:val="000000"/>
          <w:kern w:val="0"/>
          <w:sz w:val="24"/>
          <w:lang w:eastAsia="en-US"/>
        </w:rPr>
        <w:t>%的违约金，违约金不足以赔偿甲方损失的，甲方有权要求乙方赔偿经济损失。</w:t>
      </w:r>
    </w:p>
    <w:p w14:paraId="6863697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(六)乙方存在其他违反本合同的行为，应承担相应的违约责任(注：可以根据情况进行细化)；违约金不足以赔偿甲方损失的，甲方有权要求乙方赔偿经济损失。</w:t>
      </w:r>
    </w:p>
    <w:p w14:paraId="387CD56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十二、不可抗力</w:t>
      </w:r>
    </w:p>
    <w:p w14:paraId="61D0AEC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因不可抗力致使一方不能及时或完全履行合同的，应及时通知另一方，双方互不承担责任，并在__________天内提供有关不可抗力的相关证明。合同未履行部分是否继续履行、如何履行等问题，双方协商解决。</w:t>
      </w:r>
    </w:p>
    <w:p w14:paraId="0052A47B">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十三、争议的解决方式</w:t>
      </w:r>
    </w:p>
    <w:p w14:paraId="793FF7F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合同发生纠纷时，双方应协商解决，协商不成，可以采用下列方式解决：</w:t>
      </w:r>
    </w:p>
    <w:p w14:paraId="30037C1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(一)提交</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仲裁委员会仲裁。</w:t>
      </w:r>
    </w:p>
    <w:p w14:paraId="35A5DF5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(二)向</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人民法院起诉。</w:t>
      </w:r>
    </w:p>
    <w:p w14:paraId="7A1F18BB">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十四、合同保存</w:t>
      </w:r>
    </w:p>
    <w:p w14:paraId="0E39FA0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合同文本一式</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份，采购单位、中标(成交)</w:t>
      </w:r>
      <w:r>
        <w:rPr>
          <w:rFonts w:hint="eastAsia" w:ascii="宋体" w:hAnsi="宋体" w:eastAsia="宋体" w:cs="宋体"/>
          <w:snapToGrid w:val="0"/>
          <w:color w:val="000000"/>
          <w:kern w:val="0"/>
          <w:sz w:val="24"/>
          <w:lang w:eastAsia="zh-CN"/>
        </w:rPr>
        <w:t>供应商</w:t>
      </w:r>
      <w:r>
        <w:rPr>
          <w:rFonts w:hint="eastAsia" w:ascii="宋体" w:hAnsi="宋体" w:eastAsia="宋体" w:cs="宋体"/>
          <w:snapToGrid w:val="0"/>
          <w:color w:val="000000"/>
          <w:kern w:val="0"/>
          <w:sz w:val="24"/>
          <w:lang w:eastAsia="en-US"/>
        </w:rPr>
        <w:t>、采购代理机构、</w:t>
      </w: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en-US"/>
        </w:rPr>
        <w:t>各执一份。合同文本保存期限为从采购结束之日起至少保存十五年。</w:t>
      </w:r>
    </w:p>
    <w:p w14:paraId="36559185">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十五、合同附件</w:t>
      </w:r>
    </w:p>
    <w:p w14:paraId="7651E9C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本合同所附下列文件是构成本合同不可分割的组成部分，其内容与本合同具有同等的法律效力：</w:t>
      </w:r>
    </w:p>
    <w:p w14:paraId="633F97F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1、货物清单(双方应盖章确认)</w:t>
      </w:r>
    </w:p>
    <w:p w14:paraId="49763A0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2、乙方出具的报价单(函)</w:t>
      </w:r>
    </w:p>
    <w:p w14:paraId="5B2165B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3、中标(成交)结果公告及中标(成交)通知书</w:t>
      </w:r>
    </w:p>
    <w:p w14:paraId="1D770A0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4、甲方招标(磋商、</w:t>
      </w:r>
      <w:r>
        <w:rPr>
          <w:rFonts w:hint="eastAsia" w:ascii="宋体" w:hAnsi="宋体" w:eastAsia="宋体" w:cs="宋体"/>
          <w:snapToGrid w:val="0"/>
          <w:color w:val="000000"/>
          <w:kern w:val="0"/>
          <w:sz w:val="24"/>
          <w:lang w:eastAsia="zh-CN"/>
        </w:rPr>
        <w:t>磋商</w:t>
      </w:r>
      <w:r>
        <w:rPr>
          <w:rFonts w:hint="eastAsia" w:ascii="宋体" w:hAnsi="宋体" w:eastAsia="宋体" w:cs="宋体"/>
          <w:snapToGrid w:val="0"/>
          <w:color w:val="000000"/>
          <w:kern w:val="0"/>
          <w:sz w:val="24"/>
          <w:lang w:eastAsia="en-US"/>
        </w:rPr>
        <w:t>)文件或询价通知书</w:t>
      </w:r>
    </w:p>
    <w:p w14:paraId="6D9C753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5、乙方投标(响应)文件</w:t>
      </w:r>
    </w:p>
    <w:p w14:paraId="6D0EF0F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6、甲乙双方商定的其他文件</w:t>
      </w:r>
    </w:p>
    <w:p w14:paraId="0D762D25">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十六、双方约定的其他条款</w:t>
      </w:r>
    </w:p>
    <w:p w14:paraId="259A771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zh-CN"/>
        </w:rPr>
      </w:pPr>
      <w:r>
        <w:rPr>
          <w:rFonts w:hint="eastAsia" w:ascii="宋体" w:hAnsi="宋体" w:eastAsia="宋体" w:cs="宋体"/>
          <w:snapToGrid w:val="0"/>
          <w:color w:val="000000"/>
          <w:kern w:val="0"/>
          <w:sz w:val="24"/>
          <w:u w:val="single"/>
          <w:lang w:val="en-US" w:eastAsia="zh-CN"/>
        </w:rPr>
        <w:t xml:space="preserve">                                                </w:t>
      </w:r>
      <w:r>
        <w:rPr>
          <w:rFonts w:hint="eastAsia" w:ascii="宋体" w:hAnsi="宋体" w:eastAsia="宋体" w:cs="宋体"/>
          <w:snapToGrid w:val="0"/>
          <w:color w:val="000000"/>
          <w:kern w:val="0"/>
          <w:sz w:val="24"/>
          <w:lang w:eastAsia="zh-CN"/>
        </w:rPr>
        <w:t>。</w:t>
      </w:r>
    </w:p>
    <w:p w14:paraId="3A226B9E">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十七、本合同未尽事宜，由双方另行签订补充协议，补充协议是本合同的组成部分。</w:t>
      </w:r>
    </w:p>
    <w:p w14:paraId="4ACAED96">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eastAsia="en-US"/>
        </w:rPr>
      </w:pPr>
      <w:r>
        <w:rPr>
          <w:rFonts w:hint="eastAsia" w:ascii="宋体" w:hAnsi="宋体" w:eastAsia="宋体" w:cs="宋体"/>
          <w:b/>
          <w:bCs/>
          <w:snapToGrid w:val="0"/>
          <w:color w:val="000000"/>
          <w:kern w:val="0"/>
          <w:sz w:val="24"/>
          <w:lang w:eastAsia="en-US"/>
        </w:rPr>
        <w:t>十八、本合同由甲乙双方盖章生效。</w:t>
      </w:r>
    </w:p>
    <w:p w14:paraId="42A1ED7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p>
    <w:p w14:paraId="0CC1125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甲方名称：(章)</w:t>
      </w:r>
      <w:r>
        <w:rPr>
          <w:rFonts w:hint="eastAsia" w:ascii="宋体" w:hAnsi="宋体" w:eastAsia="宋体" w:cs="宋体"/>
          <w:snapToGrid w:val="0"/>
          <w:color w:val="000000"/>
          <w:kern w:val="0"/>
          <w:sz w:val="24"/>
          <w:lang w:val="en-US" w:eastAsia="zh-CN"/>
        </w:rPr>
        <w:t xml:space="preserve">                          </w:t>
      </w:r>
      <w:r>
        <w:rPr>
          <w:rFonts w:hint="eastAsia" w:ascii="宋体" w:hAnsi="宋体" w:eastAsia="宋体" w:cs="宋体"/>
          <w:snapToGrid w:val="0"/>
          <w:color w:val="000000"/>
          <w:kern w:val="0"/>
          <w:sz w:val="24"/>
          <w:lang w:eastAsia="en-US"/>
        </w:rPr>
        <w:t>乙方名称：(章)</w:t>
      </w:r>
    </w:p>
    <w:p w14:paraId="338C50A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甲方法定代表人或负责人：(签字)</w:t>
      </w:r>
      <w:r>
        <w:rPr>
          <w:rFonts w:hint="eastAsia" w:ascii="宋体" w:hAnsi="宋体" w:eastAsia="宋体" w:cs="宋体"/>
          <w:snapToGrid w:val="0"/>
          <w:color w:val="000000"/>
          <w:kern w:val="0"/>
          <w:sz w:val="24"/>
          <w:lang w:val="en-US" w:eastAsia="zh-CN"/>
        </w:rPr>
        <w:t xml:space="preserve">          </w:t>
      </w:r>
      <w:r>
        <w:rPr>
          <w:rFonts w:hint="eastAsia" w:ascii="宋体" w:hAnsi="宋体" w:eastAsia="宋体" w:cs="宋体"/>
          <w:snapToGrid w:val="0"/>
          <w:color w:val="000000"/>
          <w:kern w:val="0"/>
          <w:sz w:val="24"/>
          <w:lang w:eastAsia="en-US"/>
        </w:rPr>
        <w:t>乙方法定代表人或负责人：(签字)</w:t>
      </w:r>
    </w:p>
    <w:p w14:paraId="4860A63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eastAsia="en-US"/>
        </w:rPr>
      </w:pPr>
      <w:r>
        <w:rPr>
          <w:rFonts w:hint="eastAsia" w:ascii="宋体" w:hAnsi="宋体" w:eastAsia="宋体" w:cs="宋体"/>
          <w:snapToGrid w:val="0"/>
          <w:color w:val="000000"/>
          <w:kern w:val="0"/>
          <w:sz w:val="24"/>
          <w:lang w:eastAsia="en-US"/>
        </w:rPr>
        <w:t>年月日</w:t>
      </w:r>
      <w:r>
        <w:rPr>
          <w:rFonts w:hint="eastAsia" w:ascii="宋体" w:hAnsi="宋体" w:eastAsia="宋体" w:cs="宋体"/>
          <w:snapToGrid w:val="0"/>
          <w:color w:val="000000"/>
          <w:kern w:val="0"/>
          <w:sz w:val="24"/>
          <w:lang w:val="en-US" w:eastAsia="zh-CN"/>
        </w:rPr>
        <w:t xml:space="preserve">                                  </w:t>
      </w:r>
      <w:r>
        <w:rPr>
          <w:rFonts w:hint="eastAsia" w:ascii="宋体" w:hAnsi="宋体" w:eastAsia="宋体" w:cs="宋体"/>
          <w:snapToGrid w:val="0"/>
          <w:color w:val="000000"/>
          <w:kern w:val="0"/>
          <w:sz w:val="24"/>
          <w:lang w:eastAsia="en-US"/>
        </w:rPr>
        <w:t>年月日</w:t>
      </w:r>
    </w:p>
    <w:p w14:paraId="1A800443">
      <w:pPr>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br w:type="page"/>
      </w:r>
    </w:p>
    <w:p w14:paraId="04588A8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center"/>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(服务类合同参考文本)</w:t>
      </w:r>
    </w:p>
    <w:p w14:paraId="11270FA6">
      <w:pPr>
        <w:keepNext w:val="0"/>
        <w:keepLines w:val="0"/>
        <w:pageBreakBefore w:val="0"/>
        <w:widowControl w:val="0"/>
        <w:kinsoku/>
        <w:wordWrap w:val="0"/>
        <w:overflowPunct/>
        <w:topLinePunct/>
        <w:autoSpaceDE/>
        <w:autoSpaceDN/>
        <w:bidi w:val="0"/>
        <w:adjustRightInd/>
        <w:snapToGrid/>
        <w:spacing w:line="520" w:lineRule="exact"/>
        <w:ind w:firstLine="6505" w:firstLineChars="27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合同编号：</w:t>
      </w:r>
    </w:p>
    <w:p w14:paraId="1D26790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甲方：***(填写采购单位名称)</w:t>
      </w:r>
    </w:p>
    <w:p w14:paraId="44D0A46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地址：***(填写详细地址)</w:t>
      </w:r>
    </w:p>
    <w:p w14:paraId="5C5D012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乙方：***(填写中标、成交供应商名称</w:t>
      </w:r>
    </w:p>
    <w:p w14:paraId="1ABF454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地址：***(填写详细地址)</w:t>
      </w:r>
    </w:p>
    <w:p w14:paraId="7992493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甲乙双方根据《中华人民共和国政府采购法》《中华人民共和国政府采购法实施条例》《中华人民共和国民法典》等相关法律法规、规范性文件以及</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项目(填写项目名称)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(填写政府采购项目编号)的中标(成交)结果、</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)文件、投标(响应)文件等文件的相关内容，经平等自愿协商一致，就如下合同条款达成一致意见。</w:t>
      </w:r>
    </w:p>
    <w:p w14:paraId="5C1E1B2A">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一、乙方向甲方提供的服务内容</w:t>
      </w:r>
    </w:p>
    <w:p w14:paraId="50373BB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(一)根据</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)文件及中标(成交)结果公告，乙方向甲方提供的服务、货物(如有)内容如下：</w:t>
      </w:r>
    </w:p>
    <w:p w14:paraId="1CD598CC">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u w:val="single"/>
          <w:lang w:val="en-US" w:eastAsia="zh-CN"/>
        </w:rPr>
      </w:pP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none"/>
          <w:lang w:val="en-US" w:eastAsia="zh-CN"/>
        </w:rPr>
        <w:t>。</w:t>
      </w:r>
    </w:p>
    <w:p w14:paraId="51F6451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(二)服务项目名称、服务具体内容、服务方式、服务要求、服务成果及与之相关的货物等详细内容，见合同附件—服务清单。</w:t>
      </w:r>
    </w:p>
    <w:p w14:paraId="65D66261">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二、乙方服务成果的交付时间、地点</w:t>
      </w:r>
    </w:p>
    <w:p w14:paraId="1C473B95">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(一)服务期限：</w:t>
      </w:r>
      <w:r>
        <w:rPr>
          <w:rFonts w:hint="eastAsia" w:ascii="宋体" w:hAnsi="宋体" w:eastAsia="宋体" w:cs="宋体"/>
          <w:snapToGrid w:val="0"/>
          <w:color w:val="000000"/>
          <w:kern w:val="0"/>
          <w:sz w:val="24"/>
          <w:szCs w:val="24"/>
          <w:u w:val="single"/>
          <w:lang w:val="en-US" w:eastAsia="zh-CN"/>
        </w:rPr>
        <w:t xml:space="preserve">          </w:t>
      </w:r>
    </w:p>
    <w:p w14:paraId="6633BCF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(二)服务成果的交付时间和交付要求(如有)：</w:t>
      </w:r>
      <w:r>
        <w:rPr>
          <w:rFonts w:hint="eastAsia" w:ascii="宋体" w:hAnsi="宋体" w:eastAsia="宋体" w:cs="宋体"/>
          <w:snapToGrid w:val="0"/>
          <w:color w:val="000000"/>
          <w:kern w:val="0"/>
          <w:sz w:val="24"/>
          <w:szCs w:val="24"/>
          <w:u w:val="single"/>
          <w:lang w:val="en-US" w:eastAsia="zh-CN"/>
        </w:rPr>
        <w:t xml:space="preserve">          </w:t>
      </w:r>
    </w:p>
    <w:p w14:paraId="094DB14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(三)服务地点：</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(填写详细地址)</w:t>
      </w:r>
    </w:p>
    <w:p w14:paraId="7E6912E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(四)乙方代表及联系电话：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(填写姓名和联系电话)</w:t>
      </w:r>
    </w:p>
    <w:p w14:paraId="2D46ACFE">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(五)甲方代表及联系电话：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(填写姓名和联系电话)</w:t>
      </w:r>
    </w:p>
    <w:p w14:paraId="0C282DD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注：服务成果分阶段交付的，应分别列明各阶段的交付时间、交付内容。</w:t>
      </w:r>
    </w:p>
    <w:p w14:paraId="5DD3F809">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三、乙方提供服务成果的质量</w:t>
      </w:r>
    </w:p>
    <w:p w14:paraId="7644B92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(一)乙方提供的服务应同时满足：1.符合国家法律法规和规范性文件对服务质量的要求；2.符合甲方</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)文件对服务的质量要求；3.符合乙方在投标(响应)文件中或磋商、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过程中对服务质量作出的书面承诺、声明或保证。上述质量要求作为甲方对乙方服务质量的验收依据。</w:t>
      </w:r>
    </w:p>
    <w:p w14:paraId="0C9C50D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(二)乙方应根据国家法律法规和规范性文件的规定、</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)文件的相关要求、投标(响应)文件及乙方承诺、声明或保证，向甲方提供相应的服务质量证明文件。</w:t>
      </w:r>
    </w:p>
    <w:p w14:paraId="5C87E7A2">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四、乙方服务成果的交付方式及载体</w:t>
      </w:r>
    </w:p>
    <w:p w14:paraId="20569A8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乙方交付服务成果方式及载体应符合国家法律法规和规范性文件的要求，并符合甲方</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)文件的要求、乙方在投标(响应)文件中对服务成果交付方式及载体作出的承诺。</w:t>
      </w:r>
    </w:p>
    <w:p w14:paraId="41FC7E4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五、甲方对乙方服务的监督</w:t>
      </w:r>
    </w:p>
    <w:p w14:paraId="6A2D0D2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69706411">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六、合同金额</w:t>
      </w:r>
    </w:p>
    <w:p w14:paraId="3E2A26E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在乙方提供完全符合合同要求的服务的前提下，本合同总金额为</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元(小写)</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(大写)。</w:t>
      </w:r>
    </w:p>
    <w:p w14:paraId="458BE50C">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七、付款时间及条件</w:t>
      </w:r>
    </w:p>
    <w:p w14:paraId="5E614E90">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(一)付款时间及付款金额：</w:t>
      </w:r>
      <w:r>
        <w:rPr>
          <w:rFonts w:hint="eastAsia" w:ascii="宋体" w:hAnsi="宋体" w:eastAsia="宋体" w:cs="宋体"/>
          <w:b/>
          <w:bCs/>
          <w:snapToGrid w:val="0"/>
          <w:color w:val="000000"/>
          <w:kern w:val="0"/>
          <w:sz w:val="24"/>
          <w:szCs w:val="24"/>
        </w:rPr>
        <w:t>__________</w:t>
      </w:r>
    </w:p>
    <w:p w14:paraId="7830CEA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(二)付款条件：</w:t>
      </w:r>
      <w:r>
        <w:rPr>
          <w:rFonts w:hint="eastAsia" w:ascii="宋体" w:hAnsi="宋体" w:eastAsia="宋体" w:cs="宋体"/>
          <w:snapToGrid w:val="0"/>
          <w:color w:val="000000"/>
          <w:kern w:val="0"/>
          <w:sz w:val="24"/>
          <w:szCs w:val="24"/>
          <w:u w:val="single"/>
          <w:lang w:val="en-US" w:eastAsia="zh-CN"/>
        </w:rPr>
        <w:t xml:space="preserve">          </w:t>
      </w:r>
    </w:p>
    <w:p w14:paraId="15B98F9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(三)乙方账户信息</w:t>
      </w:r>
    </w:p>
    <w:p w14:paraId="5E97B07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乙方名称：</w:t>
      </w:r>
      <w:r>
        <w:rPr>
          <w:rFonts w:hint="eastAsia" w:ascii="宋体" w:hAnsi="宋体" w:eastAsia="宋体" w:cs="宋体"/>
          <w:snapToGrid w:val="0"/>
          <w:color w:val="000000"/>
          <w:kern w:val="0"/>
          <w:sz w:val="24"/>
          <w:szCs w:val="24"/>
          <w:u w:val="single"/>
          <w:lang w:val="en-US" w:eastAsia="zh-CN"/>
        </w:rPr>
        <w:t xml:space="preserve">          </w:t>
      </w:r>
    </w:p>
    <w:p w14:paraId="6305534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开户银行：</w:t>
      </w:r>
      <w:r>
        <w:rPr>
          <w:rFonts w:hint="eastAsia" w:ascii="宋体" w:hAnsi="宋体" w:eastAsia="宋体" w:cs="宋体"/>
          <w:snapToGrid w:val="0"/>
          <w:color w:val="000000"/>
          <w:kern w:val="0"/>
          <w:sz w:val="24"/>
          <w:szCs w:val="24"/>
          <w:u w:val="single"/>
          <w:lang w:val="en-US" w:eastAsia="zh-CN"/>
        </w:rPr>
        <w:t xml:space="preserve">          </w:t>
      </w:r>
    </w:p>
    <w:p w14:paraId="4FF31290">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银行账号：</w:t>
      </w:r>
      <w:r>
        <w:rPr>
          <w:rFonts w:hint="eastAsia" w:ascii="宋体" w:hAnsi="宋体" w:eastAsia="宋体" w:cs="宋体"/>
          <w:snapToGrid w:val="0"/>
          <w:color w:val="000000"/>
          <w:kern w:val="0"/>
          <w:sz w:val="24"/>
          <w:szCs w:val="24"/>
          <w:u w:val="single"/>
          <w:lang w:val="en-US" w:eastAsia="zh-CN"/>
        </w:rPr>
        <w:t xml:space="preserve">          </w:t>
      </w:r>
    </w:p>
    <w:p w14:paraId="58309E11">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八、知识产权</w:t>
      </w:r>
    </w:p>
    <w:p w14:paraId="6951A62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703D53B5">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九、违约条款</w:t>
      </w:r>
    </w:p>
    <w:p w14:paraId="40BD92B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(一)甲方没有正当理由逾期支付合同款项的，每延期一日，甲方应按照逾期支付金额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承担违约责任。延期达到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日，乙方有权解除合同，并要求甲方赔偿由此造成的经济损失。</w:t>
      </w:r>
    </w:p>
    <w:p w14:paraId="27433F3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(二)甲方存在其他违反本合同的行为，应承担相应的违约责任(注：可以根据情况进行细化)；违约金不足以赔偿乙方损失的，乙方有权要求甲方赔偿由此造成的经济损失。</w:t>
      </w:r>
    </w:p>
    <w:p w14:paraId="17CBF1F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(三)乙方逾期提供服务成果的，每延期一日，乙方应按照合同总金额的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承担违约责任。延期达到</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日，甲方有权解除合同，拒付延期部分的相应服务款项，并要求乙方赔偿甲方的经济损失。</w:t>
      </w:r>
    </w:p>
    <w:p w14:paraId="061BA0C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(四)乙方交付的服务不符合质量要求，或其服务成果存在侵权行为的，甲方有权解除合同，并要求乙方支付合同总金额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%的违约金，违约金不足以赔偿甲方损失的，甲方有权要求乙方赔偿经济损失。</w:t>
      </w:r>
    </w:p>
    <w:p w14:paraId="342E97C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%的违约金，违约金不足以赔偿甲方损失的，甲方有权要求乙方赔偿经济损失。</w:t>
      </w:r>
    </w:p>
    <w:p w14:paraId="3AC9F62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(六)乙方存在其他违反本合同的行为，应承担相应的违约责任(注：可以根据情况进行细化)；违约金不足以赔偿甲方损失的，甲方有权要求乙方赔偿经济损失。</w:t>
      </w:r>
    </w:p>
    <w:p w14:paraId="6D6BD6A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十、不可抗力</w:t>
      </w:r>
    </w:p>
    <w:p w14:paraId="35D1D81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因不可抗力致使一方不能及时或完全履行合同的，应及时通知另一方，双方互不承担责任，并在</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天内提供有关不可抗力的相关证明。合同未履行部分是否继续履行、如何履行等问题，由双方协商解决。</w:t>
      </w:r>
    </w:p>
    <w:p w14:paraId="7BE385EE">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十一、争议的解决方式</w:t>
      </w:r>
    </w:p>
    <w:p w14:paraId="387E240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合同发生纠纷时，双方应协商解决，协商不成，可以采用下列方式解决：</w:t>
      </w:r>
    </w:p>
    <w:p w14:paraId="49A9C03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(一)提交</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仲裁委员会仲裁。</w:t>
      </w:r>
    </w:p>
    <w:p w14:paraId="7E9BC2F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(二)向</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人民法院起诉。</w:t>
      </w:r>
    </w:p>
    <w:p w14:paraId="118CD909">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十二、合同保存</w:t>
      </w:r>
    </w:p>
    <w:p w14:paraId="62B4B48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合同文本一式</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份，采购单位、中标(成交)供应商、采购代理机构、</w:t>
      </w: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rPr>
        <w:t>各执一份。合同文本保存期限为从采购结束之日起至少保存十五年。</w:t>
      </w:r>
    </w:p>
    <w:p w14:paraId="0BEA7334">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十三、合同附件</w:t>
      </w:r>
    </w:p>
    <w:p w14:paraId="648D23E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本合同所附下列文件是构成本合同不可分割的部分，与本合同具有同等法律效力：</w:t>
      </w:r>
    </w:p>
    <w:p w14:paraId="27B6E58C">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1、服务清单(双方应盖章确认)</w:t>
      </w:r>
    </w:p>
    <w:p w14:paraId="37DDDEE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2、乙方出具的报价单(函)</w:t>
      </w:r>
    </w:p>
    <w:p w14:paraId="0F1D170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3、中标(成交)结果公告及中标(成交)通知书</w:t>
      </w:r>
    </w:p>
    <w:p w14:paraId="56D21FFC">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4、甲方</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(磋商、</w:t>
      </w:r>
      <w:r>
        <w:rPr>
          <w:rFonts w:hint="eastAsia" w:ascii="宋体" w:hAnsi="宋体" w:eastAsia="宋体" w:cs="宋体"/>
          <w:snapToGrid w:val="0"/>
          <w:color w:val="000000"/>
          <w:kern w:val="0"/>
          <w:sz w:val="24"/>
          <w:szCs w:val="24"/>
          <w:lang w:eastAsia="zh-CN"/>
        </w:rPr>
        <w:t>磋商</w:t>
      </w:r>
      <w:r>
        <w:rPr>
          <w:rFonts w:hint="eastAsia" w:ascii="宋体" w:hAnsi="宋体" w:eastAsia="宋体" w:cs="宋体"/>
          <w:snapToGrid w:val="0"/>
          <w:color w:val="000000"/>
          <w:kern w:val="0"/>
          <w:sz w:val="24"/>
          <w:szCs w:val="24"/>
        </w:rPr>
        <w:t>)文件</w:t>
      </w:r>
    </w:p>
    <w:p w14:paraId="0C9F750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5、乙方投标(响应)文件</w:t>
      </w:r>
    </w:p>
    <w:p w14:paraId="0E06F704">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6、甲乙双方商定的其他文件</w:t>
      </w:r>
    </w:p>
    <w:p w14:paraId="0C5989A6">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十四、双方约定的其他事宜</w:t>
      </w:r>
    </w:p>
    <w:p w14:paraId="7443DB8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u w:val="single"/>
          <w:lang w:val="en-US" w:eastAsia="zh-CN"/>
        </w:rPr>
        <w:t xml:space="preserve">                                         </w:t>
      </w:r>
      <w:r>
        <w:rPr>
          <w:rFonts w:hint="eastAsia" w:ascii="宋体" w:hAnsi="宋体" w:eastAsia="宋体" w:cs="宋体"/>
          <w:snapToGrid w:val="0"/>
          <w:color w:val="000000"/>
          <w:kern w:val="0"/>
          <w:sz w:val="24"/>
          <w:szCs w:val="24"/>
          <w:u w:val="none"/>
          <w:lang w:val="en-US" w:eastAsia="zh-CN"/>
        </w:rPr>
        <w:t>。</w:t>
      </w:r>
    </w:p>
    <w:p w14:paraId="006FF238">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十五、合同未尽事宜，双方另行签订补充协议，补充协议是合同的组成部分。</w:t>
      </w:r>
    </w:p>
    <w:p w14:paraId="71F3CEA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kern w:val="0"/>
          <w:sz w:val="24"/>
          <w:szCs w:val="24"/>
        </w:rPr>
        <w:t>十六、本合同由甲乙双方盖章生效。</w:t>
      </w:r>
    </w:p>
    <w:p w14:paraId="47327969">
      <w:pPr>
        <w:keepNext w:val="0"/>
        <w:keepLines w:val="0"/>
        <w:pageBreakBefore w:val="0"/>
        <w:widowControl w:val="0"/>
        <w:kinsoku/>
        <w:wordWrap w:val="0"/>
        <w:overflowPunct/>
        <w:topLinePunct/>
        <w:autoSpaceDE/>
        <w:autoSpaceDN/>
        <w:bidi w:val="0"/>
        <w:adjustRightInd/>
        <w:snapToGrid/>
        <w:spacing w:line="520" w:lineRule="exact"/>
        <w:jc w:val="left"/>
        <w:textAlignment w:val="baseline"/>
        <w:rPr>
          <w:rFonts w:hint="eastAsia" w:ascii="宋体" w:hAnsi="宋体" w:eastAsia="宋体" w:cs="宋体"/>
          <w:snapToGrid w:val="0"/>
          <w:color w:val="000000"/>
          <w:kern w:val="0"/>
          <w:sz w:val="24"/>
          <w:szCs w:val="24"/>
        </w:rPr>
      </w:pPr>
    </w:p>
    <w:p w14:paraId="2C0BD6BB">
      <w:pPr>
        <w:keepNext w:val="0"/>
        <w:keepLines w:val="0"/>
        <w:pageBreakBefore w:val="0"/>
        <w:widowControl w:val="0"/>
        <w:kinsoku/>
        <w:wordWrap w:val="0"/>
        <w:overflowPunct/>
        <w:topLinePunct/>
        <w:autoSpaceDE/>
        <w:autoSpaceDN/>
        <w:bidi w:val="0"/>
        <w:adjustRightInd/>
        <w:snapToGrid/>
        <w:spacing w:line="520" w:lineRule="exact"/>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甲方名称：  (章)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乙方名称：  (章)</w:t>
      </w:r>
    </w:p>
    <w:p w14:paraId="26FFD7E4">
      <w:pPr>
        <w:keepNext w:val="0"/>
        <w:keepLines w:val="0"/>
        <w:pageBreakBefore w:val="0"/>
        <w:widowControl w:val="0"/>
        <w:kinsoku/>
        <w:wordWrap w:val="0"/>
        <w:overflowPunct/>
        <w:topLinePunct/>
        <w:autoSpaceDE/>
        <w:autoSpaceDN/>
        <w:bidi w:val="0"/>
        <w:adjustRightInd/>
        <w:snapToGrid/>
        <w:spacing w:line="520" w:lineRule="exact"/>
        <w:jc w:val="left"/>
        <w:textAlignment w:val="baseline"/>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 xml:space="preserve">甲方法定代表人或负责人：  (签字)         </w:t>
      </w:r>
      <w:r>
        <w:rPr>
          <w:rFonts w:hint="eastAsia" w:ascii="宋体" w:hAnsi="宋体" w:eastAsia="宋体" w:cs="宋体"/>
          <w:snapToGrid w:val="0"/>
          <w:color w:val="000000"/>
          <w:kern w:val="0"/>
          <w:sz w:val="24"/>
          <w:szCs w:val="24"/>
          <w:lang w:val="en-US" w:eastAsia="zh-CN"/>
        </w:rPr>
        <w:t xml:space="preserve">  </w:t>
      </w:r>
      <w:r>
        <w:rPr>
          <w:rFonts w:hint="eastAsia" w:ascii="宋体" w:hAnsi="宋体" w:eastAsia="宋体" w:cs="宋体"/>
          <w:snapToGrid w:val="0"/>
          <w:color w:val="000000"/>
          <w:kern w:val="0"/>
          <w:sz w:val="24"/>
          <w:szCs w:val="24"/>
        </w:rPr>
        <w:t xml:space="preserve"> 乙方法定代表人或负责人：  (签字)</w:t>
      </w:r>
    </w:p>
    <w:p w14:paraId="4813D13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ascii="Arial" w:hAnsi="Arial" w:eastAsia="宋体" w:cs="Arial"/>
          <w:snapToGrid w:val="0"/>
          <w:color w:val="000000"/>
          <w:kern w:val="0"/>
          <w:sz w:val="24"/>
          <w:szCs w:val="24"/>
        </w:rPr>
      </w:pPr>
      <w:r>
        <w:rPr>
          <w:rFonts w:hint="eastAsia" w:ascii="宋体" w:hAnsi="宋体" w:eastAsia="宋体" w:cs="宋体"/>
          <w:snapToGrid w:val="0"/>
          <w:color w:val="000000"/>
          <w:kern w:val="0"/>
          <w:sz w:val="24"/>
          <w:szCs w:val="24"/>
        </w:rPr>
        <w:t>年  月  日                                  年  月  日</w:t>
      </w:r>
    </w:p>
    <w:p w14:paraId="695D576A">
      <w:pPr>
        <w:rPr>
          <w:rFonts w:hint="eastAsia" w:ascii="宋体" w:hAnsi="宋体" w:eastAsia="宋体" w:cs="宋体"/>
          <w:b/>
          <w:bCs w:val="0"/>
          <w:color w:val="auto"/>
          <w:spacing w:val="0"/>
          <w:kern w:val="2"/>
          <w:sz w:val="32"/>
          <w:szCs w:val="32"/>
          <w:highlight w:val="none"/>
          <w:lang w:val="en-US" w:eastAsia="zh-CN" w:bidi="ar-SA"/>
        </w:rPr>
      </w:pPr>
      <w:r>
        <w:rPr>
          <w:rFonts w:hint="eastAsia" w:ascii="宋体" w:hAnsi="宋体" w:eastAsia="宋体" w:cs="宋体"/>
          <w:b/>
          <w:bCs w:val="0"/>
          <w:color w:val="auto"/>
          <w:spacing w:val="0"/>
          <w:kern w:val="2"/>
          <w:sz w:val="32"/>
          <w:szCs w:val="32"/>
          <w:highlight w:val="none"/>
          <w:lang w:val="en-US" w:eastAsia="zh-CN" w:bidi="ar-SA"/>
        </w:rPr>
        <w:br w:type="page"/>
      </w:r>
    </w:p>
    <w:p w14:paraId="17AC92DD">
      <w:pPr>
        <w:jc w:val="center"/>
        <w:outlineLvl w:val="0"/>
        <w:rPr>
          <w:rFonts w:hint="eastAsia" w:ascii="宋体" w:hAnsi="宋体" w:eastAsia="宋体" w:cs="宋体"/>
          <w:b/>
          <w:bCs/>
          <w:color w:val="auto"/>
          <w:spacing w:val="0"/>
          <w:kern w:val="0"/>
          <w:sz w:val="36"/>
          <w:szCs w:val="36"/>
          <w:lang w:val="en-US" w:eastAsia="zh-CN" w:bidi="ar"/>
        </w:rPr>
      </w:pPr>
      <w:bookmarkStart w:id="9" w:name="_Toc31856"/>
      <w:bookmarkStart w:id="10" w:name="_Toc16416"/>
      <w:bookmarkStart w:id="11" w:name="_Toc18246"/>
      <w:r>
        <w:rPr>
          <w:rFonts w:hint="eastAsia" w:ascii="宋体" w:hAnsi="宋体" w:eastAsia="宋体" w:cs="宋体"/>
          <w:b/>
          <w:bCs/>
          <w:color w:val="auto"/>
          <w:spacing w:val="0"/>
          <w:kern w:val="0"/>
          <w:sz w:val="36"/>
          <w:szCs w:val="36"/>
          <w:lang w:val="en-US" w:eastAsia="zh-CN" w:bidi="ar"/>
        </w:rPr>
        <w:t>第七章  竞争性磋商活动程序</w:t>
      </w:r>
      <w:bookmarkEnd w:id="9"/>
      <w:bookmarkEnd w:id="10"/>
    </w:p>
    <w:p w14:paraId="62EFAB41">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一、组成磋商小组</w:t>
      </w:r>
    </w:p>
    <w:p w14:paraId="3987DFF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磋商小组由采购人代表和评审专家共3人组成，其中评审专家人数不得少于磋商小组成员总数的2/3。采购人代表不得以评审专家身份参加本部门或本单位采购项目的评审。</w:t>
      </w:r>
    </w:p>
    <w:p w14:paraId="4ABF7536">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二、制定磋商文件</w:t>
      </w:r>
    </w:p>
    <w:p w14:paraId="2470CA4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根据采购项目的特点、采购人的实际需求及政府采购有关规定，制定本次政府采购项目磋商文件。</w:t>
      </w:r>
    </w:p>
    <w:p w14:paraId="4FE78C7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三、确定参加竞争性磋商供应商的方式</w:t>
      </w:r>
    </w:p>
    <w:p w14:paraId="6BE6983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采购人在指定媒体赤峰市生态环境局官网（http://sthjj.chifeng.gov.cn/）发布公告，资格满足的供应商可参加本项目竞争性磋商活动。采购人成立的磋商小组负责本项目采购的资格审查和评审工作。</w:t>
      </w:r>
    </w:p>
    <w:p w14:paraId="10D8344E">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四、获取磋商文件</w:t>
      </w:r>
    </w:p>
    <w:p w14:paraId="52EF5C3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供应商可在赤峰市生态环境局官网（http://sthjj.chifeng.gov.cn/）自行下载竞争性磋商文件。</w:t>
      </w:r>
    </w:p>
    <w:p w14:paraId="21D1EFD0">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五、磋商文件的澄清或修改</w:t>
      </w:r>
    </w:p>
    <w:p w14:paraId="4C559A40">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提交首次响应文件截止之日前，采购人或者磋商小组可以对已发出的磋商文件进行必要的澄清或者修改，澄清或者修改的内容作为磋商文件的组成部分。澄清或者修改的内容可能影响响应文件编制的，采购人在提交首次响应文件截止时间至少5个工作日前，以书面形式通知所有获取磋商文件的供应商，不足5个工作日的，采购人应当顺延提交首次响应文件截止时间。</w:t>
      </w:r>
    </w:p>
    <w:p w14:paraId="03154DC4">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六、递交响应文件及其他资料</w:t>
      </w:r>
    </w:p>
    <w:p w14:paraId="27FB97A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6.1供应商按照磋商文件的要求编制响应文件。并对提交的响应文件的真实性、合法性承担法律责任。</w:t>
      </w:r>
    </w:p>
    <w:p w14:paraId="5480804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6.2供应商在磋商文件要求的截止时间前，将密封、盖章的响应文件送达指定地点。在截止时间后送达的响应文件为无效文件，采购人、采购代理机构或者磋商小组应当拒收。</w:t>
      </w:r>
    </w:p>
    <w:p w14:paraId="4623681C">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七、响应文件的补充、修改和撤回</w:t>
      </w:r>
    </w:p>
    <w:p w14:paraId="3433C72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9426C41">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八、磋商评审纪律</w:t>
      </w:r>
    </w:p>
    <w:p w14:paraId="2E9C5F1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8.1磋商小组成员内部讨论的情况和意见应当予以保密，任何人不得以任何形式透露给供应商或与供应商有关的单位或个人；</w:t>
      </w:r>
    </w:p>
    <w:p w14:paraId="0E68A41D">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8.2在磋商过程中，供应商不得以任何形式对磋商小组成员进行旨在影响磋商结果的私下接触，否则取消其磋商资格；</w:t>
      </w:r>
    </w:p>
    <w:p w14:paraId="2D5DD32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8.3磋商小组成员以及与磋商有关的人员应当对评审情况和评审过程中获悉的国家秘密、商业秘密予以保密。</w:t>
      </w:r>
    </w:p>
    <w:p w14:paraId="42873E62">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九、组织磋商及评审工作程序</w:t>
      </w:r>
    </w:p>
    <w:p w14:paraId="185369E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9.1磋商小组应当按照客观、公正、审慎的原则，根据磋商文件规定的评审程序、评审方法和评审标准进行独立评审。磋商会议在采购人或其委托人主持下按程序进行。</w:t>
      </w:r>
    </w:p>
    <w:p w14:paraId="13C37EB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9.2磋商小组根据磋商文件共同对供应商的资格、响应文件及其他资料进行评审，未实质性响应磋商文件的响应文件及其他资料按无效响应处理，磋商小组应当告知提交响应文件的供应商。</w:t>
      </w:r>
    </w:p>
    <w:p w14:paraId="5752885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9.3在磋商文件及程序符合法律规定的前提下，符合要求的供应商有3家及以上的，竞争性磋商采购活动可以继续进行。符合要求的供应商不足3家的，采购人或者采购代理机构应当终止竞争性磋商采购活动，发布项目终止公告并说明原因，重新开展采购活动。</w:t>
      </w:r>
    </w:p>
    <w:p w14:paraId="1BCB370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9.4根据《财政部关于政府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7BA97F7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9.5磋商小组所有成员集中与单一供应商按照磋商现场决定的顺序分别进行磋商，并给予所有参加磋商的供应商平等的磋商机会。每个供应商分别进行一轮或多轮单一保密磋商。</w:t>
      </w:r>
    </w:p>
    <w:p w14:paraId="06368B3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9.6在磋商过程中，磋商小组可以根据磋商文件和磋商情况实质性变动采购需求中的技术、服务要求以及合同草案条款，但不得变动磋商文件中的其他内容。实质性变动的内容，须经采购人代表确认。</w:t>
      </w:r>
    </w:p>
    <w:p w14:paraId="1D6E2EE3">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9.7对磋商文件作出的实质性变动是磋商文件的有效组成部分，磋商小组应当及时以书面形式同时通知所有参加磋商的供应商。</w:t>
      </w:r>
    </w:p>
    <w:p w14:paraId="2752E32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9.8供应商应当按照磋商文件的变动情况和磋商小组的要求重新提交响应文件，并由其法定代表人或授权代表签字或者加盖公章。由授权代表签字的，应当附法定代表人授权书。供应商为自然人的，应当由本人签章并附身份证明。</w:t>
      </w:r>
    </w:p>
    <w:p w14:paraId="69A8F59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9.9磋商文件能够详细列明采购标的的技术、服务要求的，磋商结束后，磋商小组应当要求所有实质性响应的供应商在规定时间内提交最后报价，提交最后报价的供应商不得少于3家。</w:t>
      </w:r>
    </w:p>
    <w:p w14:paraId="6F78F0FF">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9.10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21606A58">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9.11最后报价是供应商响应文件的有效组成部分。符合《财政部关于政府采购竞争性磋商采购方式管理暂行办法有关问题的补充通知》规定的情形的，提交最后报价的供应商可以为2家。</w:t>
      </w:r>
    </w:p>
    <w:p w14:paraId="23EED1A5">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9.12经磋商确定最终采购需求和供应商提交最后报价后，由磋商小组采用综合评分法对提交最后报价的供应商的响应文件和最后报价进行综合评分。</w:t>
      </w:r>
    </w:p>
    <w:p w14:paraId="0100396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9.13评审时，磋商小组各成员应当独立对每个有效响应的文件进行评价、打分，然后汇总每个供应商每项评分因素的得分。</w:t>
      </w:r>
    </w:p>
    <w:p w14:paraId="621BDBE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9.14磋商小组应当根据综合评分情况，按照评审得分由高到低顺序推荐3名及以上成交候选供应商，并编写评审报告。符合《财政部关于政府采购竞争性磋商采购方式管理暂行办法有关问题的补充通知》规定的情形的，可以推荐2家成交候选供应商。评审得分相同的，按照最后报价由低到高的顺序推荐。评审得分且最后报价相同的，按照技术指标优劣顺序推荐。</w:t>
      </w:r>
    </w:p>
    <w:p w14:paraId="45850449">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9.15评审报告应当由磋商小组全体人员签字认可。</w:t>
      </w:r>
    </w:p>
    <w:p w14:paraId="12B5A7E5">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9.16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7925C9">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十、确定成交供应商</w:t>
      </w:r>
    </w:p>
    <w:p w14:paraId="5E95615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10.1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D42C67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10.2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14:paraId="695F8687">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十一、成交结果</w:t>
      </w:r>
    </w:p>
    <w:p w14:paraId="0ED89B7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采购人应当在成交供应商确定后2个工作日内，在赤峰市生态环境局官网（http://sthjj.chifeng.gov.cn/）上公告成交结果，同时向成交供应商发出成交通知书。</w:t>
      </w:r>
    </w:p>
    <w:p w14:paraId="10C14D9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成交结果公告包括以下内容：</w:t>
      </w:r>
    </w:p>
    <w:p w14:paraId="055C26D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（一）采购人的名称、地址和联系方式；</w:t>
      </w:r>
    </w:p>
    <w:p w14:paraId="670B587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（二）项目名称和项目编号；</w:t>
      </w:r>
    </w:p>
    <w:p w14:paraId="3CD3AB6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（三）成交供应商名称、地址和成交金额；</w:t>
      </w:r>
    </w:p>
    <w:p w14:paraId="00F03FA5">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（四）主要成交标的的名称、规格型号、数量、单价、服务要求；</w:t>
      </w:r>
    </w:p>
    <w:p w14:paraId="6AA503C7">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（五）磋商小组成员名单。</w:t>
      </w:r>
    </w:p>
    <w:p w14:paraId="284B8622">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成交通知书发出后，采购人改变成交结果，或者成交供应商放弃成交，应当承担相应的法律责任。</w:t>
      </w:r>
    </w:p>
    <w:p w14:paraId="2C5E5F1B">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十二、合同签订</w:t>
      </w:r>
    </w:p>
    <w:p w14:paraId="2F43A946">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12.1采购人与成交供应商应当在成交通知书发出之日起7日内，按照磋商文件确定的合同文本以及采购标的、规格型号、采购金额、采购数量、技术和服务要求等事项签订政府采购合同。</w:t>
      </w:r>
    </w:p>
    <w:p w14:paraId="6781ECD1">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12.2采购人不得向成交供应商提出超出磋商文件以外的任何要求作为签订合同的条件，不得与成交供应商订立背离磋商文件确定的合同样本以及采购标的、规格型号、采购金额、采购数量、技术和服务要求等实质性内容的协议。</w:t>
      </w:r>
    </w:p>
    <w:p w14:paraId="75B8739A">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12.3磋商文件、响应文件及磋商过程中有关补充文件均作为合同附件，并与合同具有相同的法律效力。</w:t>
      </w:r>
    </w:p>
    <w:p w14:paraId="428E356B">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12.4供应商应当按照合同履行义务，完成磋商项目。未经采购人同意，成交供应商不得向他人分包、转包成交项目。</w:t>
      </w:r>
    </w:p>
    <w:p w14:paraId="73525344">
      <w:pPr>
        <w:keepNext w:val="0"/>
        <w:keepLines w:val="0"/>
        <w:pageBreakBefore w:val="0"/>
        <w:widowControl w:val="0"/>
        <w:kinsoku/>
        <w:wordWrap w:val="0"/>
        <w:overflowPunct/>
        <w:topLinePunct/>
        <w:autoSpaceDE/>
        <w:autoSpaceDN/>
        <w:bidi w:val="0"/>
        <w:adjustRightInd/>
        <w:snapToGrid/>
        <w:spacing w:line="520" w:lineRule="exact"/>
        <w:ind w:firstLine="482" w:firstLineChars="200"/>
        <w:jc w:val="left"/>
        <w:textAlignment w:val="baseline"/>
        <w:rPr>
          <w:rFonts w:hint="eastAsia" w:ascii="宋体" w:hAnsi="宋体" w:eastAsia="宋体" w:cs="宋体"/>
          <w:b/>
          <w:bCs/>
          <w:snapToGrid w:val="0"/>
          <w:color w:val="000000"/>
          <w:kern w:val="0"/>
          <w:sz w:val="24"/>
          <w:lang w:val="en-US" w:eastAsia="zh-CN"/>
        </w:rPr>
      </w:pPr>
      <w:r>
        <w:rPr>
          <w:rFonts w:hint="eastAsia" w:ascii="宋体" w:hAnsi="宋体" w:eastAsia="宋体" w:cs="宋体"/>
          <w:b/>
          <w:bCs/>
          <w:snapToGrid w:val="0"/>
          <w:color w:val="000000"/>
          <w:kern w:val="0"/>
          <w:sz w:val="24"/>
          <w:lang w:val="en-US" w:eastAsia="zh-CN"/>
        </w:rPr>
        <w:t>十三、验收</w:t>
      </w:r>
    </w:p>
    <w:p w14:paraId="7D6FF6AE">
      <w:pPr>
        <w:keepNext w:val="0"/>
        <w:keepLines w:val="0"/>
        <w:pageBreakBefore w:val="0"/>
        <w:widowControl w:val="0"/>
        <w:kinsoku/>
        <w:wordWrap w:val="0"/>
        <w:overflowPunct/>
        <w:topLinePunct/>
        <w:autoSpaceDE/>
        <w:autoSpaceDN/>
        <w:bidi w:val="0"/>
        <w:adjustRightInd/>
        <w:snapToGrid/>
        <w:spacing w:line="520" w:lineRule="exact"/>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lang w:val="en-US" w:eastAsia="zh-CN"/>
        </w:rPr>
        <w:t>项目完成后，成交供应商应当配合采购人提供验收需要的相关资料，按采购人要求的验收流程及措施对项目进行履约验收。</w:t>
      </w:r>
      <w:r>
        <w:rPr>
          <w:rFonts w:hint="eastAsia" w:ascii="宋体" w:hAnsi="宋体" w:eastAsia="宋体" w:cs="宋体"/>
          <w:snapToGrid w:val="0"/>
          <w:color w:val="000000"/>
          <w:kern w:val="0"/>
          <w:sz w:val="24"/>
          <w:szCs w:val="24"/>
          <w:lang w:val="en-US" w:eastAsia="zh-CN"/>
        </w:rPr>
        <w:br w:type="page"/>
      </w:r>
    </w:p>
    <w:p w14:paraId="58BCFB2E">
      <w:pPr>
        <w:keepNext w:val="0"/>
        <w:keepLines w:val="0"/>
        <w:pageBreakBefore w:val="0"/>
        <w:autoSpaceDE w:val="0"/>
        <w:autoSpaceDN w:val="0"/>
        <w:bidi w:val="0"/>
        <w:spacing w:before="0" w:after="0" w:line="520" w:lineRule="exact"/>
        <w:ind w:right="0"/>
        <w:jc w:val="center"/>
        <w:outlineLvl w:val="0"/>
        <w:rPr>
          <w:rFonts w:hint="eastAsia" w:ascii="宋体" w:hAnsi="宋体" w:eastAsia="宋体" w:cs="宋体"/>
          <w:b/>
          <w:bCs/>
          <w:color w:val="auto"/>
          <w:spacing w:val="0"/>
          <w:kern w:val="0"/>
          <w:sz w:val="44"/>
          <w:szCs w:val="44"/>
          <w:lang w:val="en-US" w:eastAsia="zh-CN" w:bidi="zh-CN"/>
        </w:rPr>
      </w:pPr>
      <w:bookmarkStart w:id="12" w:name="_Toc6205"/>
      <w:r>
        <w:rPr>
          <w:rFonts w:hint="eastAsia" w:ascii="宋体" w:hAnsi="宋体" w:eastAsia="宋体" w:cs="宋体"/>
          <w:b/>
          <w:bCs/>
          <w:color w:val="auto"/>
          <w:spacing w:val="0"/>
          <w:kern w:val="0"/>
          <w:sz w:val="36"/>
          <w:szCs w:val="36"/>
          <w:lang w:val="en-US" w:eastAsia="zh-CN" w:bidi="ar"/>
        </w:rPr>
        <w:t>第八章  响应文件格式与要求</w:t>
      </w:r>
      <w:bookmarkEnd w:id="11"/>
      <w:bookmarkEnd w:id="12"/>
    </w:p>
    <w:p w14:paraId="1C87FA94">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p>
    <w:p w14:paraId="36AE928F">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p>
    <w:p w14:paraId="60F3DD0F">
      <w:pPr>
        <w:autoSpaceDE w:val="0"/>
        <w:autoSpaceDN w:val="0"/>
        <w:spacing w:before="0" w:after="0" w:line="240" w:lineRule="auto"/>
        <w:ind w:left="0" w:right="0"/>
        <w:jc w:val="center"/>
        <w:rPr>
          <w:rFonts w:hint="eastAsia" w:ascii="宋体" w:hAnsi="宋体" w:eastAsia="宋体" w:cs="宋体"/>
          <w:b/>
          <w:bCs/>
          <w:color w:val="auto"/>
          <w:spacing w:val="0"/>
          <w:kern w:val="0"/>
          <w:sz w:val="44"/>
          <w:szCs w:val="44"/>
          <w:highlight w:val="none"/>
          <w:lang w:val="en-US" w:eastAsia="zh-CN" w:bidi="zh-CN"/>
        </w:rPr>
      </w:pPr>
      <w:r>
        <w:rPr>
          <w:rFonts w:hint="eastAsia" w:ascii="宋体" w:hAnsi="宋体" w:eastAsia="宋体" w:cs="宋体"/>
          <w:b/>
          <w:bCs/>
          <w:color w:val="auto"/>
          <w:spacing w:val="0"/>
          <w:kern w:val="0"/>
          <w:sz w:val="44"/>
          <w:szCs w:val="44"/>
          <w:highlight w:val="none"/>
          <w:lang w:val="en-US" w:eastAsia="zh-CN" w:bidi="zh-CN"/>
        </w:rPr>
        <w:t>（项目名称）</w:t>
      </w:r>
    </w:p>
    <w:p w14:paraId="5868BA7D">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p>
    <w:p w14:paraId="1075C53D">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p>
    <w:p w14:paraId="15CDB7B9">
      <w:pPr>
        <w:widowControl w:val="0"/>
        <w:autoSpaceDE w:val="0"/>
        <w:autoSpaceDN w:val="0"/>
        <w:adjustRightInd w:val="0"/>
        <w:jc w:val="center"/>
        <w:rPr>
          <w:rFonts w:hint="eastAsia" w:ascii="宋体" w:hAnsi="宋体" w:eastAsia="宋体" w:cs="宋体"/>
          <w:b/>
          <w:bCs/>
          <w:color w:val="auto"/>
          <w:spacing w:val="0"/>
          <w:sz w:val="44"/>
          <w:szCs w:val="44"/>
          <w:highlight w:val="none"/>
          <w:lang w:val="en-US" w:eastAsia="zh-CN" w:bidi="ar-SA"/>
        </w:rPr>
      </w:pPr>
      <w:r>
        <w:rPr>
          <w:rFonts w:hint="eastAsia" w:ascii="宋体" w:hAnsi="宋体" w:eastAsia="宋体" w:cs="宋体"/>
          <w:b/>
          <w:bCs/>
          <w:color w:val="auto"/>
          <w:spacing w:val="0"/>
          <w:sz w:val="44"/>
          <w:szCs w:val="44"/>
          <w:highlight w:val="none"/>
          <w:lang w:val="en-US" w:eastAsia="zh-CN" w:bidi="ar-SA"/>
        </w:rPr>
        <w:t>响应文件</w:t>
      </w:r>
    </w:p>
    <w:p w14:paraId="25570F36">
      <w:pPr>
        <w:widowControl w:val="0"/>
        <w:autoSpaceDE w:val="0"/>
        <w:autoSpaceDN w:val="0"/>
        <w:spacing w:before="0" w:after="0" w:line="240" w:lineRule="auto"/>
        <w:ind w:right="0" w:firstLine="3600" w:firstLineChars="1500"/>
        <w:jc w:val="both"/>
        <w:rPr>
          <w:rFonts w:hint="eastAsia" w:ascii="宋体" w:hAnsi="宋体" w:eastAsia="宋体" w:cs="宋体"/>
          <w:b w:val="0"/>
          <w:bCs w:val="0"/>
          <w:color w:val="auto"/>
          <w:spacing w:val="0"/>
          <w:sz w:val="24"/>
          <w:szCs w:val="24"/>
          <w:highlight w:val="none"/>
          <w:lang w:val="en-US" w:eastAsia="zh-CN" w:bidi="zh-CN"/>
        </w:rPr>
      </w:pPr>
    </w:p>
    <w:p w14:paraId="5247C01A">
      <w:pPr>
        <w:widowControl w:val="0"/>
        <w:autoSpaceDE w:val="0"/>
        <w:autoSpaceDN w:val="0"/>
        <w:spacing w:before="0" w:after="0" w:line="240" w:lineRule="auto"/>
        <w:ind w:right="0"/>
        <w:jc w:val="center"/>
        <w:rPr>
          <w:rFonts w:hint="eastAsia" w:ascii="宋体" w:hAnsi="宋体" w:eastAsia="宋体" w:cs="宋体"/>
          <w:b w:val="0"/>
          <w:bCs w:val="0"/>
          <w:color w:val="auto"/>
          <w:spacing w:val="0"/>
          <w:sz w:val="28"/>
          <w:szCs w:val="28"/>
          <w:highlight w:val="none"/>
          <w:lang w:val="en-US" w:eastAsia="zh-CN" w:bidi="zh-CN"/>
        </w:rPr>
      </w:pPr>
    </w:p>
    <w:p w14:paraId="34BFD816">
      <w:pPr>
        <w:keepNext w:val="0"/>
        <w:keepLines w:val="0"/>
        <w:pageBreakBefore w:val="0"/>
        <w:widowControl w:val="0"/>
        <w:kinsoku/>
        <w:wordWrap/>
        <w:overflowPunct/>
        <w:topLinePunct w:val="0"/>
        <w:autoSpaceDE w:val="0"/>
        <w:autoSpaceDN w:val="0"/>
        <w:bidi w:val="0"/>
        <w:adjustRightInd/>
        <w:snapToGrid/>
        <w:spacing w:before="0" w:after="0" w:line="240" w:lineRule="auto"/>
        <w:ind w:right="0" w:firstLine="0" w:firstLineChars="0"/>
        <w:jc w:val="center"/>
        <w:textAlignment w:val="auto"/>
        <w:rPr>
          <w:rFonts w:hint="eastAsia" w:ascii="宋体" w:hAnsi="宋体" w:eastAsia="宋体" w:cs="宋体"/>
          <w:b w:val="0"/>
          <w:bCs w:val="0"/>
          <w:color w:val="auto"/>
          <w:spacing w:val="0"/>
          <w:sz w:val="28"/>
          <w:szCs w:val="28"/>
          <w:highlight w:val="none"/>
          <w:lang w:val="en-US" w:eastAsia="zh-CN" w:bidi="zh-CN"/>
        </w:rPr>
      </w:pPr>
      <w:r>
        <w:rPr>
          <w:rFonts w:hint="eastAsia" w:ascii="宋体" w:hAnsi="宋体" w:eastAsia="宋体" w:cs="宋体"/>
          <w:b w:val="0"/>
          <w:bCs w:val="0"/>
          <w:color w:val="auto"/>
          <w:spacing w:val="0"/>
          <w:sz w:val="28"/>
          <w:szCs w:val="28"/>
          <w:highlight w:val="none"/>
          <w:lang w:val="en-US" w:eastAsia="zh-CN" w:bidi="zh-CN"/>
        </w:rPr>
        <w:t>（正本/副本）</w:t>
      </w:r>
    </w:p>
    <w:p w14:paraId="7494EE9B">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14:paraId="665370B2">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14:paraId="59D2568C">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14:paraId="18BA5B55">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14:paraId="3157EC2B">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p>
    <w:p w14:paraId="3BC920B1">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lang w:val="en-US" w:eastAsia="zh-CN" w:bidi="zh-CN"/>
        </w:rPr>
      </w:pPr>
      <w:r>
        <w:rPr>
          <w:rFonts w:hint="eastAsia" w:ascii="宋体" w:hAnsi="宋体" w:eastAsia="宋体" w:cs="宋体"/>
          <w:b w:val="0"/>
          <w:bCs w:val="0"/>
          <w:color w:val="auto"/>
          <w:spacing w:val="0"/>
          <w:sz w:val="28"/>
          <w:szCs w:val="28"/>
          <w:highlight w:val="none"/>
          <w:lang w:val="en-US" w:eastAsia="zh-CN" w:bidi="zh-CN"/>
        </w:rPr>
        <w:t>项目编号：</w:t>
      </w:r>
    </w:p>
    <w:p w14:paraId="150CEEE8">
      <w:pPr>
        <w:widowControl w:val="0"/>
        <w:autoSpaceDE w:val="0"/>
        <w:autoSpaceDN w:val="0"/>
        <w:spacing w:before="0" w:after="0" w:line="240" w:lineRule="auto"/>
        <w:ind w:left="0" w:leftChars="0" w:right="0" w:firstLine="0" w:firstLineChars="0"/>
        <w:jc w:val="center"/>
        <w:rPr>
          <w:rFonts w:hint="eastAsia" w:ascii="宋体" w:hAnsi="宋体" w:eastAsia="宋体" w:cs="宋体"/>
          <w:b w:val="0"/>
          <w:bCs w:val="0"/>
          <w:color w:val="auto"/>
          <w:spacing w:val="0"/>
          <w:sz w:val="28"/>
          <w:szCs w:val="28"/>
          <w:highlight w:val="none"/>
          <w:u w:val="none"/>
          <w:lang w:val="en-US" w:eastAsia="zh-CN" w:bidi="zh-CN"/>
        </w:rPr>
      </w:pPr>
    </w:p>
    <w:p w14:paraId="5FA898B2">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p>
    <w:p w14:paraId="0E115BB6">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r>
        <w:rPr>
          <w:rFonts w:hint="eastAsia" w:ascii="宋体" w:hAnsi="宋体" w:eastAsia="宋体" w:cs="宋体"/>
          <w:b w:val="0"/>
          <w:bCs w:val="0"/>
          <w:color w:val="auto"/>
          <w:spacing w:val="0"/>
          <w:kern w:val="0"/>
          <w:sz w:val="28"/>
          <w:szCs w:val="28"/>
          <w:highlight w:val="none"/>
          <w:u w:val="none"/>
          <w:lang w:val="en-US" w:eastAsia="zh-CN" w:bidi="zh-CN"/>
        </w:rPr>
        <w:t>（供应商名称）：             （盖章）</w:t>
      </w:r>
    </w:p>
    <w:p w14:paraId="19A3C85A">
      <w:pPr>
        <w:autoSpaceDE w:val="0"/>
        <w:autoSpaceDN w:val="0"/>
        <w:spacing w:before="0" w:after="0" w:line="240" w:lineRule="auto"/>
        <w:ind w:left="0" w:right="0"/>
        <w:jc w:val="center"/>
        <w:rPr>
          <w:rFonts w:hint="eastAsia" w:ascii="宋体" w:hAnsi="宋体" w:eastAsia="宋体" w:cs="宋体"/>
          <w:b w:val="0"/>
          <w:bCs w:val="0"/>
          <w:color w:val="auto"/>
          <w:spacing w:val="0"/>
          <w:kern w:val="0"/>
          <w:sz w:val="28"/>
          <w:szCs w:val="28"/>
          <w:highlight w:val="none"/>
          <w:u w:val="none"/>
          <w:lang w:val="en-US" w:eastAsia="zh-CN" w:bidi="zh-CN"/>
        </w:rPr>
      </w:pPr>
      <w:r>
        <w:rPr>
          <w:rFonts w:hint="eastAsia" w:ascii="宋体" w:hAnsi="宋体" w:eastAsia="宋体" w:cs="宋体"/>
          <w:b w:val="0"/>
          <w:bCs w:val="0"/>
          <w:color w:val="auto"/>
          <w:spacing w:val="0"/>
          <w:kern w:val="0"/>
          <w:sz w:val="28"/>
          <w:szCs w:val="28"/>
          <w:highlight w:val="none"/>
          <w:u w:val="none"/>
          <w:lang w:val="en-US" w:eastAsia="zh-CN" w:bidi="zh-CN"/>
        </w:rPr>
        <w:t>年  月  日</w:t>
      </w:r>
    </w:p>
    <w:p w14:paraId="6A577E85">
      <w:pP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br w:type="page"/>
      </w:r>
    </w:p>
    <w:p w14:paraId="0BEDF896">
      <w:pPr>
        <w:ind w:left="0" w:leftChars="0" w:right="0" w:rightChars="0" w:firstLine="0" w:firstLineChars="0"/>
        <w:jc w:val="cente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目 录</w:t>
      </w:r>
    </w:p>
    <w:p w14:paraId="4C217974">
      <w:pPr>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br w:type="page"/>
      </w:r>
    </w:p>
    <w:p w14:paraId="4033FAAC">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一、响应承诺书</w:t>
      </w:r>
    </w:p>
    <w:p w14:paraId="18CDA919">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（采购单位名称和采购代理机构名称）</w:t>
      </w:r>
    </w:p>
    <w:p w14:paraId="733D6EA1">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你方组织的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（项目名称）的采购，项目编号：</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，我方自愿参与，并就有关事项郑重承诺如下：</w:t>
      </w:r>
    </w:p>
    <w:p w14:paraId="36AF4AA1">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一、我方完全理解并接受该项目</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文件的所有要求。</w:t>
      </w:r>
    </w:p>
    <w:p w14:paraId="623CB7D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二、我方严格遵守《中华人民共和国政府采购法》《中华人民共和国民法典》及相关法律、法规的规定，如有违反，承担相应的法律责任。</w:t>
      </w:r>
    </w:p>
    <w:p w14:paraId="697826AC">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三、我方在报价表中的报价为响应总报价。</w:t>
      </w:r>
    </w:p>
    <w:p w14:paraId="1F7402FF">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四、我方同意提供贵方要求的与</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有关的任何数据和资料。</w:t>
      </w:r>
    </w:p>
    <w:p w14:paraId="2BC5EEF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五、我方将按照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文件、响应文件等要求，签订并严格执行政府采购合同。</w:t>
      </w:r>
    </w:p>
    <w:p w14:paraId="22A620C0">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六、我方响应报价已包含应向知识产权所有权人支付的所有相关税费，并保证采购人在中国使用我方提供的货物时，如有第三方提出侵犯其知识产权主张的，责任由我方承担。</w:t>
      </w:r>
    </w:p>
    <w:p w14:paraId="04B439F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七、我方承诺未为本项目提供整体设计、规范编制或者项目管理、监理、检测等服务。</w:t>
      </w:r>
    </w:p>
    <w:p w14:paraId="59868AED">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八、我方提供的响应文件内容全部真实有效，如有虚假或隐瞒，我方愿意承担一切法律责任。</w:t>
      </w:r>
    </w:p>
    <w:p w14:paraId="14E8C6DA">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九、若我方成交，愿意按有关规定及</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文件要求缴纳代理服务费。若采购人支付代理服务费，则此条不适用。</w:t>
      </w:r>
    </w:p>
    <w:p w14:paraId="5BF404A7">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详细地址：</w:t>
      </w:r>
    </w:p>
    <w:p w14:paraId="41BA3FB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邮政编码：</w:t>
      </w:r>
    </w:p>
    <w:p w14:paraId="4BD6734C">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 话：</w:t>
      </w:r>
    </w:p>
    <w:p w14:paraId="1B1F891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电子邮箱：</w:t>
      </w:r>
    </w:p>
    <w:p w14:paraId="38667D78">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供应商开户银行：</w:t>
      </w:r>
    </w:p>
    <w:p w14:paraId="18C36178">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账号/行号：</w:t>
      </w:r>
    </w:p>
    <w:p w14:paraId="03208329">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供应商名称（盖章）：</w:t>
      </w:r>
    </w:p>
    <w:p w14:paraId="4829717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法定代表人或授权委托人（签字）：</w:t>
      </w:r>
    </w:p>
    <w:p w14:paraId="501CAFB3">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w:t>
      </w:r>
    </w:p>
    <w:p w14:paraId="70EE5302">
      <w:pPr>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br w:type="page"/>
      </w:r>
    </w:p>
    <w:p w14:paraId="71B52456">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二、法定代表人身份证明</w:t>
      </w:r>
    </w:p>
    <w:p w14:paraId="2EC8F87C">
      <w:pPr>
        <w:keepNext w:val="0"/>
        <w:keepLines w:val="0"/>
        <w:pageBreakBefore w:val="0"/>
        <w:widowControl w:val="0"/>
        <w:wordWrap/>
        <w:topLinePunct w:val="0"/>
        <w:autoSpaceDE w:val="0"/>
        <w:autoSpaceDN w:val="0"/>
        <w:bidi w:val="0"/>
        <w:adjustRightInd w:val="0"/>
        <w:snapToGrid/>
        <w:spacing w:line="240" w:lineRule="auto"/>
        <w:textAlignment w:val="auto"/>
        <w:rPr>
          <w:rFonts w:hint="eastAsia" w:ascii="宋体" w:hAnsi="宋体" w:eastAsia="宋体" w:cs="宋体"/>
          <w:color w:val="auto"/>
          <w:sz w:val="24"/>
          <w:highlight w:val="none"/>
          <w:lang w:val="en-US" w:eastAsia="zh-CN" w:bidi="ar-SA"/>
        </w:rPr>
      </w:pPr>
    </w:p>
    <w:p w14:paraId="398FC7C6">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u w:val="single"/>
          <w:lang w:val="en-US" w:eastAsia="zh-CN" w:bidi="zh-CN"/>
        </w:rPr>
      </w:pPr>
      <w:r>
        <w:rPr>
          <w:rFonts w:hint="eastAsia" w:ascii="宋体" w:hAnsi="宋体" w:eastAsia="宋体" w:cs="宋体"/>
          <w:color w:val="auto"/>
          <w:spacing w:val="0"/>
          <w:kern w:val="2"/>
          <w:sz w:val="24"/>
          <w:szCs w:val="24"/>
          <w:highlight w:val="none"/>
          <w:lang w:val="en-US" w:eastAsia="zh-CN" w:bidi="zh-CN"/>
        </w:rPr>
        <w:t>供 应 商：</w:t>
      </w:r>
      <w:r>
        <w:rPr>
          <w:rFonts w:hint="eastAsia" w:ascii="宋体" w:hAnsi="宋体" w:eastAsia="宋体" w:cs="宋体"/>
          <w:color w:val="auto"/>
          <w:spacing w:val="0"/>
          <w:kern w:val="2"/>
          <w:sz w:val="24"/>
          <w:szCs w:val="24"/>
          <w:highlight w:val="none"/>
          <w:u w:val="single"/>
          <w:lang w:val="en-US" w:eastAsia="zh-CN" w:bidi="zh-CN"/>
        </w:rPr>
        <w:t xml:space="preserve">                                                     </w:t>
      </w:r>
    </w:p>
    <w:p w14:paraId="2ED20F00">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单位性质：</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14:paraId="2C41B9AA">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地    址：</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14:paraId="0F903F7A">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成 立 时 间 ：</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年</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月</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日 </w:t>
      </w:r>
    </w:p>
    <w:p w14:paraId="0EA4FF13">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经营期限：</w:t>
      </w:r>
      <w:r>
        <w:rPr>
          <w:rFonts w:hint="eastAsia" w:ascii="宋体" w:hAnsi="宋体" w:eastAsia="宋体" w:cs="宋体"/>
          <w:color w:val="auto"/>
          <w:spacing w:val="0"/>
          <w:kern w:val="2"/>
          <w:sz w:val="24"/>
          <w:szCs w:val="24"/>
          <w:highlight w:val="none"/>
          <w:u w:val="single"/>
          <w:lang w:val="en-US" w:eastAsia="zh-CN" w:bidi="zh-CN"/>
        </w:rPr>
        <w:t xml:space="preserve">                                                      </w:t>
      </w:r>
    </w:p>
    <w:p w14:paraId="458CD55B">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姓名：</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性别：</w:t>
      </w:r>
      <w:r>
        <w:rPr>
          <w:rFonts w:hint="eastAsia" w:ascii="宋体" w:hAnsi="宋体" w:eastAsia="宋体" w:cs="宋体"/>
          <w:color w:val="auto"/>
          <w:spacing w:val="0"/>
          <w:kern w:val="2"/>
          <w:sz w:val="24"/>
          <w:szCs w:val="24"/>
          <w:highlight w:val="none"/>
          <w:u w:val="single"/>
          <w:lang w:val="en-US" w:eastAsia="zh-CN" w:bidi="zh-CN"/>
        </w:rPr>
        <w:t xml:space="preserve">                   </w:t>
      </w:r>
    </w:p>
    <w:p w14:paraId="4C1D89CE">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年龄：</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职务：</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w:t>
      </w:r>
    </w:p>
    <w:p w14:paraId="5E0E1200">
      <w:pPr>
        <w:keepNext w:val="0"/>
        <w:keepLines w:val="0"/>
        <w:pageBreakBefore w:val="0"/>
        <w:widowControl w:val="0"/>
        <w:kinsoku/>
        <w:wordWrap/>
        <w:overflowPunct/>
        <w:topLinePunct w:val="0"/>
        <w:autoSpaceDE w:val="0"/>
        <w:autoSpaceDN w:val="0"/>
        <w:bidi w:val="0"/>
        <w:adjustRightInd/>
        <w:snapToGrid/>
        <w:spacing w:line="64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系</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（供应商名称）的法定代表人。</w:t>
      </w:r>
    </w:p>
    <w:p w14:paraId="493C9732">
      <w:pPr>
        <w:keepNext w:val="0"/>
        <w:keepLines w:val="0"/>
        <w:pageBreakBefore w:val="0"/>
        <w:widowControl w:val="0"/>
        <w:kinsoku/>
        <w:wordWrap/>
        <w:overflowPunct/>
        <w:topLinePunct w:val="0"/>
        <w:autoSpaceDE w:val="0"/>
        <w:autoSpaceDN w:val="0"/>
        <w:bidi w:val="0"/>
        <w:adjustRightInd/>
        <w:snapToGrid/>
        <w:spacing w:line="800" w:lineRule="exact"/>
        <w:ind w:left="108"/>
        <w:jc w:val="both"/>
        <w:textAlignment w:val="auto"/>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 xml:space="preserve">特此证明。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5E33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5000" w:type="pct"/>
            <w:vAlign w:val="center"/>
          </w:tcPr>
          <w:p w14:paraId="1A91257F">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14:paraId="5EAE13E0">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14:paraId="4826F88B">
            <w:pPr>
              <w:jc w:val="center"/>
              <w:rPr>
                <w:rFonts w:hint="eastAsia" w:ascii="宋体" w:hAnsi="宋体" w:eastAsia="宋体" w:cs="宋体"/>
                <w:color w:val="auto"/>
                <w:spacing w:val="0"/>
                <w:sz w:val="32"/>
                <w:szCs w:val="32"/>
                <w:highlight w:val="none"/>
                <w:vertAlign w:val="baseline"/>
              </w:rPr>
            </w:pPr>
            <w:r>
              <w:rPr>
                <w:rFonts w:hint="eastAsia" w:ascii="宋体" w:hAnsi="宋体" w:eastAsia="宋体" w:cs="宋体"/>
                <w:color w:val="auto"/>
                <w:spacing w:val="0"/>
                <w:sz w:val="24"/>
                <w:szCs w:val="24"/>
                <w:highlight w:val="none"/>
              </w:rPr>
              <w:t>（本证件需直接扫描或复印，且身份证号码必须清晰，不允许</w:t>
            </w:r>
            <w:r>
              <w:rPr>
                <w:rFonts w:hint="eastAsia" w:ascii="宋体" w:hAnsi="宋体" w:eastAsia="宋体" w:cs="宋体"/>
                <w:color w:val="auto"/>
                <w:spacing w:val="0"/>
                <w:sz w:val="24"/>
                <w:szCs w:val="24"/>
                <w:highlight w:val="none"/>
                <w:lang w:val="en-US" w:eastAsia="zh-CN"/>
              </w:rPr>
              <w:t>用胶水</w:t>
            </w:r>
            <w:r>
              <w:rPr>
                <w:rFonts w:hint="eastAsia" w:ascii="宋体" w:hAnsi="宋体" w:eastAsia="宋体" w:cs="宋体"/>
                <w:color w:val="auto"/>
                <w:spacing w:val="0"/>
                <w:sz w:val="24"/>
                <w:szCs w:val="24"/>
                <w:highlight w:val="none"/>
              </w:rPr>
              <w:t>粘贴）</w:t>
            </w:r>
          </w:p>
        </w:tc>
      </w:tr>
    </w:tbl>
    <w:p w14:paraId="06197792">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4F6A75D3">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7A71F302">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0C089879">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2BAFABEC">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281719BA">
      <w:pPr>
        <w:widowControl w:val="0"/>
        <w:ind w:left="108" w:firstLine="3120" w:firstLineChars="1300"/>
        <w:jc w:val="both"/>
        <w:rPr>
          <w:rFonts w:hint="eastAsia" w:ascii="宋体" w:hAnsi="宋体" w:eastAsia="宋体" w:cs="宋体"/>
          <w:color w:val="auto"/>
          <w:spacing w:val="0"/>
          <w:kern w:val="2"/>
          <w:sz w:val="24"/>
          <w:szCs w:val="24"/>
          <w:highlight w:val="none"/>
          <w:lang w:val="en-US" w:eastAsia="zh-CN" w:bidi="zh-CN"/>
        </w:rPr>
      </w:pPr>
      <w:r>
        <w:rPr>
          <w:rFonts w:hint="eastAsia" w:ascii="宋体" w:hAnsi="宋体" w:eastAsia="宋体" w:cs="宋体"/>
          <w:color w:val="auto"/>
          <w:spacing w:val="0"/>
          <w:kern w:val="2"/>
          <w:sz w:val="24"/>
          <w:szCs w:val="24"/>
          <w:highlight w:val="none"/>
          <w:lang w:val="en-US" w:eastAsia="zh-CN" w:bidi="zh-CN"/>
        </w:rPr>
        <w:t>供 应 商 ：</w:t>
      </w:r>
      <w:r>
        <w:rPr>
          <w:rFonts w:hint="eastAsia" w:ascii="宋体" w:hAnsi="宋体" w:eastAsia="宋体" w:cs="宋体"/>
          <w:color w:val="auto"/>
          <w:spacing w:val="0"/>
          <w:kern w:val="2"/>
          <w:sz w:val="24"/>
          <w:szCs w:val="24"/>
          <w:highlight w:val="none"/>
          <w:u w:val="single"/>
          <w:lang w:val="en-US" w:eastAsia="zh-CN" w:bidi="zh-CN"/>
        </w:rPr>
        <w:t xml:space="preserve">            </w:t>
      </w:r>
      <w:r>
        <w:rPr>
          <w:rFonts w:hint="eastAsia" w:ascii="宋体" w:hAnsi="宋体" w:eastAsia="宋体" w:cs="宋体"/>
          <w:color w:val="auto"/>
          <w:spacing w:val="0"/>
          <w:kern w:val="2"/>
          <w:sz w:val="24"/>
          <w:szCs w:val="24"/>
          <w:highlight w:val="none"/>
          <w:lang w:val="en-US" w:eastAsia="zh-CN" w:bidi="zh-CN"/>
        </w:rPr>
        <w:t xml:space="preserve"> （盖单位章）</w:t>
      </w:r>
    </w:p>
    <w:p w14:paraId="08BECD2F">
      <w:pPr>
        <w:widowControl w:val="0"/>
        <w:ind w:left="108"/>
        <w:jc w:val="both"/>
        <w:rPr>
          <w:rFonts w:hint="eastAsia" w:ascii="宋体" w:hAnsi="宋体" w:eastAsia="宋体" w:cs="宋体"/>
          <w:color w:val="auto"/>
          <w:spacing w:val="0"/>
          <w:kern w:val="2"/>
          <w:sz w:val="24"/>
          <w:szCs w:val="24"/>
          <w:highlight w:val="none"/>
          <w:lang w:val="en-US" w:eastAsia="zh-CN" w:bidi="zh-CN"/>
        </w:rPr>
      </w:pPr>
    </w:p>
    <w:p w14:paraId="7FC232F6">
      <w:pPr>
        <w:keepNext w:val="0"/>
        <w:keepLines w:val="0"/>
        <w:pageBreakBefore w:val="0"/>
        <w:widowControl w:val="0"/>
        <w:tabs>
          <w:tab w:val="left" w:pos="6825"/>
        </w:tabs>
        <w:kinsoku w:val="0"/>
        <w:wordWrap/>
        <w:overflowPunct w:val="0"/>
        <w:topLinePunct w:val="0"/>
        <w:autoSpaceDE w:val="0"/>
        <w:autoSpaceDN w:val="0"/>
        <w:bidi w:val="0"/>
        <w:adjustRightInd/>
        <w:snapToGrid/>
        <w:jc w:val="both"/>
        <w:textAlignment w:val="auto"/>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                                                  年   月   日</w:t>
      </w:r>
    </w:p>
    <w:p w14:paraId="264EC671">
      <w:pPr>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br w:type="page"/>
      </w:r>
    </w:p>
    <w:p w14:paraId="031F244D">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三、授权委托书</w:t>
      </w:r>
    </w:p>
    <w:p w14:paraId="584D3DF4">
      <w:pPr>
        <w:keepNext w:val="0"/>
        <w:keepLines w:val="0"/>
        <w:pageBreakBefore w:val="0"/>
        <w:widowControl w:val="0"/>
        <w:kinsoku w:val="0"/>
        <w:wordWrap/>
        <w:overflowPunct w:val="0"/>
        <w:topLinePunct w:val="0"/>
        <w:autoSpaceDE w:val="0"/>
        <w:autoSpaceDN w:val="0"/>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lang w:val="en-US" w:eastAsia="zh-CN"/>
        </w:rPr>
        <w:t>（采购人）</w:t>
      </w:r>
      <w:r>
        <w:rPr>
          <w:rFonts w:hint="eastAsia" w:ascii="宋体" w:hAnsi="宋体" w:eastAsia="宋体" w:cs="宋体"/>
          <w:color w:val="auto"/>
          <w:spacing w:val="0"/>
          <w:sz w:val="24"/>
          <w:szCs w:val="24"/>
          <w:highlight w:val="none"/>
        </w:rPr>
        <w:t>：</w:t>
      </w:r>
    </w:p>
    <w:p w14:paraId="5AD6F589">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兹授权我单位</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（姓名）作为参加贵单位组织的</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none"/>
          <w:lang w:val="en-US" w:eastAsia="zh-CN"/>
        </w:rPr>
        <w:t>（项目名称）</w:t>
      </w:r>
      <w:r>
        <w:rPr>
          <w:rFonts w:hint="eastAsia" w:ascii="宋体" w:hAnsi="宋体" w:eastAsia="宋体" w:cs="宋体"/>
          <w:color w:val="auto"/>
          <w:spacing w:val="0"/>
          <w:sz w:val="24"/>
          <w:szCs w:val="24"/>
          <w:highlight w:val="none"/>
          <w:lang w:val="en-US" w:eastAsia="zh-CN"/>
        </w:rPr>
        <w:t>竞争性磋商</w:t>
      </w:r>
      <w:r>
        <w:rPr>
          <w:rFonts w:hint="eastAsia" w:ascii="宋体" w:hAnsi="宋体" w:eastAsia="宋体" w:cs="宋体"/>
          <w:color w:val="auto"/>
          <w:spacing w:val="0"/>
          <w:sz w:val="24"/>
          <w:szCs w:val="24"/>
          <w:highlight w:val="none"/>
        </w:rPr>
        <w:t>采购活动（</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文件编号</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）的委托代理人，委托代理人全权代表我单位处理本次</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中的有关事务，并签署全部有关文件、协议及合同，我单位对委托代理人签署内容负全部责任。</w:t>
      </w:r>
    </w:p>
    <w:p w14:paraId="17B0FC7A">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本授权书于盖章签字后生效，在贵单位收到撤消授权的书面通知以前，本授权书一直有效。被授权人签署的所有文件不因授权的撤消而失效。委托代理人无转委托权。</w:t>
      </w:r>
    </w:p>
    <w:p w14:paraId="25DEF5F1">
      <w:pPr>
        <w:keepNext w:val="0"/>
        <w:keepLines w:val="0"/>
        <w:pageBreakBefore w:val="0"/>
        <w:widowControl w:val="0"/>
        <w:kinsoku w:val="0"/>
        <w:wordWrap/>
        <w:overflowPunct w:val="0"/>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特此委托。</w:t>
      </w:r>
    </w:p>
    <w:p w14:paraId="67172D69">
      <w:pPr>
        <w:widowControl w:val="0"/>
        <w:autoSpaceDE w:val="0"/>
        <w:autoSpaceDN w:val="0"/>
        <w:adjustRightInd w:val="0"/>
        <w:rPr>
          <w:rFonts w:hint="eastAsia" w:ascii="宋体" w:hAnsi="宋体" w:eastAsia="宋体" w:cs="宋体"/>
          <w:color w:val="auto"/>
          <w:spacing w:val="0"/>
          <w:sz w:val="24"/>
          <w:highlight w:val="none"/>
          <w:lang w:val="en-US" w:eastAsia="zh-CN" w:bidi="ar-S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0D5F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4793" w:type="dxa"/>
            <w:vAlign w:val="center"/>
          </w:tcPr>
          <w:p w14:paraId="73BE6BB8">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法定代表人身份证</w:t>
            </w:r>
          </w:p>
          <w:p w14:paraId="19327955">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14:paraId="0A728140">
            <w:pPr>
              <w:jc w:val="center"/>
              <w:rPr>
                <w:rFonts w:hint="eastAsia" w:ascii="宋体" w:hAnsi="宋体" w:eastAsia="宋体" w:cs="宋体"/>
                <w:color w:val="auto"/>
                <w:spacing w:val="0"/>
                <w:sz w:val="24"/>
                <w:szCs w:val="24"/>
                <w:highlight w:val="none"/>
                <w:vertAlign w:val="baseline"/>
              </w:rPr>
            </w:pPr>
          </w:p>
        </w:tc>
        <w:tc>
          <w:tcPr>
            <w:tcW w:w="4793" w:type="dxa"/>
            <w:vAlign w:val="center"/>
          </w:tcPr>
          <w:p w14:paraId="5BD43F44">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p>
          <w:p w14:paraId="6A928EBE">
            <w:pPr>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扫描件或复印件（正反）</w:t>
            </w:r>
          </w:p>
          <w:p w14:paraId="024DCF0A">
            <w:pPr>
              <w:jc w:val="center"/>
              <w:rPr>
                <w:rFonts w:hint="eastAsia" w:ascii="宋体" w:hAnsi="宋体" w:eastAsia="宋体" w:cs="宋体"/>
                <w:color w:val="auto"/>
                <w:spacing w:val="0"/>
                <w:sz w:val="24"/>
                <w:szCs w:val="24"/>
                <w:highlight w:val="none"/>
                <w:vertAlign w:val="baseline"/>
              </w:rPr>
            </w:pPr>
          </w:p>
        </w:tc>
      </w:tr>
    </w:tbl>
    <w:p w14:paraId="33728D51">
      <w:pPr>
        <w:jc w:val="center"/>
        <w:rPr>
          <w:rFonts w:hint="eastAsia" w:ascii="宋体" w:hAnsi="宋体" w:eastAsia="宋体" w:cs="宋体"/>
          <w:color w:val="auto"/>
          <w:spacing w:val="0"/>
          <w:sz w:val="32"/>
          <w:szCs w:val="32"/>
          <w:highlight w:val="none"/>
        </w:rPr>
      </w:pPr>
    </w:p>
    <w:p w14:paraId="215FAB3F">
      <w:pPr>
        <w:jc w:val="both"/>
        <w:rPr>
          <w:rFonts w:hint="eastAsia" w:ascii="宋体" w:hAnsi="宋体" w:eastAsia="宋体" w:cs="宋体"/>
          <w:color w:val="auto"/>
          <w:spacing w:val="0"/>
          <w:sz w:val="32"/>
          <w:szCs w:val="32"/>
          <w:highlight w:val="none"/>
        </w:rPr>
      </w:pPr>
    </w:p>
    <w:p w14:paraId="2D9E22E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14:paraId="24EA1CD0">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lang w:val="en-US" w:eastAsia="zh-CN"/>
        </w:rPr>
      </w:pPr>
    </w:p>
    <w:p w14:paraId="4024D22A">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供应商名称</w:t>
      </w:r>
      <w:r>
        <w:rPr>
          <w:rFonts w:hint="eastAsia" w:ascii="宋体" w:hAnsi="宋体" w:eastAsia="宋体" w:cs="宋体"/>
          <w:color w:val="auto"/>
          <w:spacing w:val="0"/>
          <w:sz w:val="24"/>
          <w:szCs w:val="24"/>
          <w:highlight w:val="none"/>
        </w:rPr>
        <w:t>：（加盖公章）</w:t>
      </w:r>
    </w:p>
    <w:p w14:paraId="50CFF989">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67BED23F">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14:paraId="333043F0">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693DEEF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委托代理人：（签字</w:t>
      </w:r>
      <w:r>
        <w:rPr>
          <w:rFonts w:hint="eastAsia" w:ascii="宋体" w:hAnsi="宋体" w:eastAsia="宋体" w:cs="宋体"/>
          <w:color w:val="auto"/>
          <w:spacing w:val="0"/>
          <w:sz w:val="24"/>
          <w:szCs w:val="24"/>
          <w:highlight w:val="none"/>
          <w:lang w:val="en-US" w:eastAsia="zh-CN"/>
        </w:rPr>
        <w:t>或盖章</w:t>
      </w:r>
      <w:r>
        <w:rPr>
          <w:rFonts w:hint="eastAsia" w:ascii="宋体" w:hAnsi="宋体" w:eastAsia="宋体" w:cs="宋体"/>
          <w:color w:val="auto"/>
          <w:spacing w:val="0"/>
          <w:sz w:val="24"/>
          <w:szCs w:val="24"/>
          <w:highlight w:val="none"/>
        </w:rPr>
        <w:t>）</w:t>
      </w:r>
    </w:p>
    <w:p w14:paraId="501E5BB7">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59D37A3E">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1AE2D489">
      <w:pPr>
        <w:keepNext w:val="0"/>
        <w:keepLines w:val="0"/>
        <w:pageBreakBefore w:val="0"/>
        <w:widowControl w:val="0"/>
        <w:kinsoku w:val="0"/>
        <w:wordWrap/>
        <w:overflowPunct w:val="0"/>
        <w:topLinePunct w:val="0"/>
        <w:autoSpaceDE w:val="0"/>
        <w:autoSpaceDN w:val="0"/>
        <w:bidi w:val="0"/>
        <w:textAlignment w:val="auto"/>
        <w:rPr>
          <w:rFonts w:hint="eastAsia" w:ascii="宋体" w:hAnsi="宋体" w:eastAsia="宋体" w:cs="宋体"/>
          <w:color w:val="auto"/>
          <w:spacing w:val="0"/>
          <w:sz w:val="24"/>
          <w:szCs w:val="24"/>
          <w:highlight w:val="none"/>
        </w:rPr>
      </w:pPr>
    </w:p>
    <w:p w14:paraId="2A588CC4">
      <w:pPr>
        <w:keepNext w:val="0"/>
        <w:keepLines w:val="0"/>
        <w:pageBreakBefore w:val="0"/>
        <w:widowControl w:val="0"/>
        <w:kinsoku w:val="0"/>
        <w:wordWrap/>
        <w:overflowPunct w:val="0"/>
        <w:topLinePunct w:val="0"/>
        <w:autoSpaceDE w:val="0"/>
        <w:autoSpaceDN w:val="0"/>
        <w:bidi w:val="0"/>
        <w:ind w:firstLine="6720" w:firstLineChars="28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日</w:t>
      </w:r>
    </w:p>
    <w:p w14:paraId="1A1F515E">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0E7C1F06">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四、开标一览表</w:t>
      </w:r>
    </w:p>
    <w:p w14:paraId="156457C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65499D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bl>
      <w:tblPr>
        <w:tblStyle w:val="33"/>
        <w:tblW w:w="50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2516"/>
        <w:gridCol w:w="2201"/>
        <w:gridCol w:w="1156"/>
        <w:gridCol w:w="1145"/>
        <w:gridCol w:w="1377"/>
      </w:tblGrid>
      <w:tr w14:paraId="7B68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405" w:type="pct"/>
            <w:vAlign w:val="top"/>
          </w:tcPr>
          <w:p w14:paraId="12AEE76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76" w:type="pct"/>
            <w:vAlign w:val="top"/>
          </w:tcPr>
          <w:p w14:paraId="70AE55A1">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1204" w:type="pct"/>
            <w:vAlign w:val="top"/>
          </w:tcPr>
          <w:p w14:paraId="1B2E0B7E">
            <w:pPr>
              <w:bidi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投标总报价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p>
        </w:tc>
        <w:tc>
          <w:tcPr>
            <w:tcW w:w="632" w:type="pct"/>
            <w:vAlign w:val="top"/>
          </w:tcPr>
          <w:p w14:paraId="5B166871">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供货期</w:t>
            </w:r>
          </w:p>
        </w:tc>
        <w:tc>
          <w:tcPr>
            <w:tcW w:w="626" w:type="pct"/>
            <w:vAlign w:val="top"/>
          </w:tcPr>
          <w:p w14:paraId="0D16D589">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维护期</w:t>
            </w:r>
          </w:p>
        </w:tc>
        <w:tc>
          <w:tcPr>
            <w:tcW w:w="753" w:type="pct"/>
            <w:vAlign w:val="top"/>
          </w:tcPr>
          <w:p w14:paraId="2D47DB56">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供货地点</w:t>
            </w:r>
          </w:p>
        </w:tc>
      </w:tr>
      <w:tr w14:paraId="033A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3" w:hRule="atLeast"/>
        </w:trPr>
        <w:tc>
          <w:tcPr>
            <w:tcW w:w="405" w:type="pct"/>
            <w:vAlign w:val="center"/>
          </w:tcPr>
          <w:p w14:paraId="7D08C328">
            <w:pPr>
              <w:bidi w:val="0"/>
              <w:spacing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76" w:type="pct"/>
            <w:vAlign w:val="top"/>
          </w:tcPr>
          <w:p w14:paraId="0FF4223E">
            <w:pPr>
              <w:bidi w:val="0"/>
              <w:spacing w:line="360" w:lineRule="auto"/>
              <w:rPr>
                <w:rFonts w:hint="eastAsia" w:ascii="宋体" w:hAnsi="宋体" w:eastAsia="宋体" w:cs="宋体"/>
                <w:sz w:val="24"/>
                <w:szCs w:val="24"/>
                <w:highlight w:val="none"/>
              </w:rPr>
            </w:pPr>
          </w:p>
        </w:tc>
        <w:tc>
          <w:tcPr>
            <w:tcW w:w="1204" w:type="pct"/>
            <w:vAlign w:val="top"/>
          </w:tcPr>
          <w:p w14:paraId="00E78F12">
            <w:pPr>
              <w:bidi w:val="0"/>
              <w:spacing w:line="360" w:lineRule="auto"/>
              <w:rPr>
                <w:rFonts w:hint="eastAsia" w:ascii="宋体" w:hAnsi="宋体" w:eastAsia="宋体" w:cs="宋体"/>
                <w:sz w:val="24"/>
                <w:szCs w:val="24"/>
                <w:highlight w:val="none"/>
              </w:rPr>
            </w:pPr>
          </w:p>
        </w:tc>
        <w:tc>
          <w:tcPr>
            <w:tcW w:w="632" w:type="pct"/>
            <w:vAlign w:val="top"/>
          </w:tcPr>
          <w:p w14:paraId="10AF0E18">
            <w:pPr>
              <w:bidi w:val="0"/>
              <w:spacing w:line="360" w:lineRule="auto"/>
              <w:rPr>
                <w:rFonts w:hint="eastAsia" w:ascii="宋体" w:hAnsi="宋体" w:eastAsia="宋体" w:cs="宋体"/>
                <w:sz w:val="24"/>
                <w:szCs w:val="24"/>
                <w:highlight w:val="none"/>
              </w:rPr>
            </w:pPr>
          </w:p>
        </w:tc>
        <w:tc>
          <w:tcPr>
            <w:tcW w:w="626" w:type="pct"/>
            <w:vAlign w:val="top"/>
          </w:tcPr>
          <w:p w14:paraId="2B88DB10">
            <w:pPr>
              <w:bidi w:val="0"/>
              <w:spacing w:line="360" w:lineRule="auto"/>
              <w:rPr>
                <w:rFonts w:hint="eastAsia" w:ascii="宋体" w:hAnsi="宋体" w:eastAsia="宋体" w:cs="宋体"/>
                <w:sz w:val="24"/>
                <w:szCs w:val="24"/>
                <w:highlight w:val="none"/>
              </w:rPr>
            </w:pPr>
          </w:p>
        </w:tc>
        <w:tc>
          <w:tcPr>
            <w:tcW w:w="753" w:type="pct"/>
            <w:vAlign w:val="top"/>
          </w:tcPr>
          <w:p w14:paraId="63E6A80D">
            <w:pPr>
              <w:bidi w:val="0"/>
              <w:spacing w:line="360" w:lineRule="auto"/>
              <w:rPr>
                <w:rFonts w:hint="eastAsia" w:ascii="宋体" w:hAnsi="宋体" w:eastAsia="宋体" w:cs="宋体"/>
                <w:sz w:val="24"/>
                <w:szCs w:val="24"/>
                <w:highlight w:val="none"/>
              </w:rPr>
            </w:pPr>
          </w:p>
        </w:tc>
      </w:tr>
    </w:tbl>
    <w:p w14:paraId="0F38443B">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p>
    <w:p w14:paraId="3F643379">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供应商名称：</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（公章）</w:t>
      </w:r>
    </w:p>
    <w:p w14:paraId="2ACADAED">
      <w:pPr>
        <w:keepNext w:val="0"/>
        <w:keepLines w:val="0"/>
        <w:pageBreakBefore w:val="0"/>
        <w:widowControl w:val="0"/>
        <w:kinsoku w:val="0"/>
        <w:wordWrap/>
        <w:overflowPunct w:val="0"/>
        <w:topLinePunct w:val="0"/>
        <w:autoSpaceDE w:val="0"/>
        <w:autoSpaceDN w:val="0"/>
        <w:bidi w:val="0"/>
        <w:spacing w:before="140"/>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法定代表人或其授权代表：</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（签字</w:t>
      </w:r>
      <w:r>
        <w:rPr>
          <w:rFonts w:hint="eastAsia" w:ascii="宋体" w:hAnsi="宋体" w:eastAsia="宋体" w:cs="宋体"/>
          <w:color w:val="auto"/>
          <w:spacing w:val="0"/>
          <w:kern w:val="2"/>
          <w:sz w:val="24"/>
          <w:szCs w:val="24"/>
          <w:highlight w:val="none"/>
          <w:lang w:val="en-US" w:eastAsia="zh-CN" w:bidi="zh-CN"/>
        </w:rPr>
        <w:t>或盖章</w:t>
      </w:r>
      <w:r>
        <w:rPr>
          <w:rFonts w:hint="eastAsia" w:ascii="宋体" w:hAnsi="宋体" w:eastAsia="宋体" w:cs="宋体"/>
          <w:color w:val="auto"/>
          <w:spacing w:val="0"/>
          <w:kern w:val="2"/>
          <w:sz w:val="24"/>
          <w:szCs w:val="24"/>
          <w:highlight w:val="none"/>
          <w:lang w:val="zh-CN" w:eastAsia="zh-CN" w:bidi="zh-CN"/>
        </w:rPr>
        <w:t>）</w:t>
      </w:r>
    </w:p>
    <w:p w14:paraId="41E96C34">
      <w:pPr>
        <w:keepNext w:val="0"/>
        <w:keepLines w:val="0"/>
        <w:pageBreakBefore w:val="0"/>
        <w:widowControl w:val="0"/>
        <w:tabs>
          <w:tab w:val="left" w:pos="3257"/>
          <w:tab w:val="left" w:pos="4236"/>
        </w:tabs>
        <w:kinsoku w:val="0"/>
        <w:wordWrap/>
        <w:overflowPunct w:val="0"/>
        <w:topLinePunct w:val="0"/>
        <w:autoSpaceDE w:val="0"/>
        <w:autoSpaceDN w:val="0"/>
        <w:bidi w:val="0"/>
        <w:spacing w:before="143"/>
        <w:ind w:left="2417"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年</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ab/>
      </w:r>
      <w:r>
        <w:rPr>
          <w:rFonts w:hint="eastAsia" w:ascii="宋体" w:hAnsi="宋体" w:eastAsia="宋体" w:cs="宋体"/>
          <w:color w:val="auto"/>
          <w:spacing w:val="0"/>
          <w:kern w:val="2"/>
          <w:sz w:val="24"/>
          <w:szCs w:val="24"/>
          <w:highlight w:val="none"/>
          <w:lang w:val="zh-CN" w:eastAsia="zh-CN" w:bidi="zh-CN"/>
        </w:rPr>
        <w:t>月</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日</w:t>
      </w:r>
    </w:p>
    <w:p w14:paraId="454E296D">
      <w:pPr>
        <w:keepNext w:val="0"/>
        <w:keepLines w:val="0"/>
        <w:pageBreakBefore w:val="0"/>
        <w:widowControl w:val="0"/>
        <w:kinsoku w:val="0"/>
        <w:wordWrap/>
        <w:overflowPunct w:val="0"/>
        <w:topLinePunct w:val="0"/>
        <w:autoSpaceDE w:val="0"/>
        <w:autoSpaceDN w:val="0"/>
        <w:bidi w:val="0"/>
        <w:spacing w:before="141"/>
        <w:ind w:left="108"/>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说明：</w:t>
      </w:r>
    </w:p>
    <w:p w14:paraId="295A3B93">
      <w:pPr>
        <w:keepNext w:val="0"/>
        <w:keepLines w:val="0"/>
        <w:pageBreakBefore w:val="0"/>
        <w:widowControl w:val="0"/>
        <w:kinsoku w:val="0"/>
        <w:wordWrap/>
        <w:overflowPunct w:val="0"/>
        <w:topLinePunct w:val="0"/>
        <w:autoSpaceDE w:val="0"/>
        <w:autoSpaceDN w:val="0"/>
        <w:bidi w:val="0"/>
        <w:spacing w:before="140" w:line="360" w:lineRule="auto"/>
        <w:ind w:left="108"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1、本项报价为参考报价，以供应商最终报价为准。</w:t>
      </w:r>
    </w:p>
    <w:p w14:paraId="4DDE6ADC">
      <w:pPr>
        <w:keepNext w:val="0"/>
        <w:keepLines w:val="0"/>
        <w:pageBreakBefore w:val="0"/>
        <w:widowControl w:val="0"/>
        <w:kinsoku w:val="0"/>
        <w:wordWrap/>
        <w:overflowPunct w:val="0"/>
        <w:topLinePunct w:val="0"/>
        <w:autoSpaceDE w:val="0"/>
        <w:autoSpaceDN w:val="0"/>
        <w:bidi w:val="0"/>
        <w:spacing w:before="143" w:line="360" w:lineRule="auto"/>
        <w:ind w:left="108" w:right="164" w:rightChars="0"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2、所有价格均系用人民币表示，单位为元，精确到小数点后两位。</w:t>
      </w:r>
    </w:p>
    <w:p w14:paraId="0D4008AC">
      <w:pPr>
        <w:keepNext w:val="0"/>
        <w:keepLines w:val="0"/>
        <w:pageBreakBefore w:val="0"/>
        <w:widowControl w:val="0"/>
        <w:kinsoku w:val="0"/>
        <w:wordWrap/>
        <w:overflowPunct w:val="0"/>
        <w:topLinePunct w:val="0"/>
        <w:autoSpaceDE w:val="0"/>
        <w:autoSpaceDN w:val="0"/>
        <w:bidi w:val="0"/>
        <w:spacing w:before="140" w:line="360" w:lineRule="auto"/>
        <w:ind w:left="108" w:firstLine="480" w:firstLineChars="200"/>
        <w:jc w:val="left"/>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3、所有根据合同或其它原因应由供应商</w:t>
      </w:r>
      <w:r>
        <w:rPr>
          <w:rFonts w:hint="eastAsia" w:ascii="宋体" w:hAnsi="宋体" w:eastAsia="宋体" w:cs="宋体"/>
          <w:color w:val="auto"/>
          <w:spacing w:val="0"/>
          <w:kern w:val="2"/>
          <w:sz w:val="24"/>
          <w:szCs w:val="24"/>
          <w:highlight w:val="none"/>
          <w:lang w:val="en-US" w:eastAsia="zh-CN" w:bidi="zh-CN"/>
        </w:rPr>
        <w:t>缴纳</w:t>
      </w:r>
      <w:r>
        <w:rPr>
          <w:rFonts w:hint="eastAsia" w:ascii="宋体" w:hAnsi="宋体" w:eastAsia="宋体" w:cs="宋体"/>
          <w:color w:val="auto"/>
          <w:spacing w:val="0"/>
          <w:kern w:val="2"/>
          <w:sz w:val="24"/>
          <w:szCs w:val="24"/>
          <w:highlight w:val="none"/>
          <w:lang w:val="zh-CN" w:eastAsia="zh-CN" w:bidi="zh-CN"/>
        </w:rPr>
        <w:t>的税费</w:t>
      </w:r>
      <w:r>
        <w:rPr>
          <w:rFonts w:hint="eastAsia" w:ascii="宋体" w:hAnsi="宋体" w:eastAsia="宋体" w:cs="宋体"/>
          <w:color w:val="auto"/>
          <w:spacing w:val="0"/>
          <w:kern w:val="2"/>
          <w:sz w:val="24"/>
          <w:szCs w:val="24"/>
          <w:highlight w:val="none"/>
          <w:lang w:val="en-US" w:eastAsia="zh-CN" w:bidi="zh-CN"/>
        </w:rPr>
        <w:t>等</w:t>
      </w:r>
      <w:r>
        <w:rPr>
          <w:rFonts w:hint="eastAsia" w:ascii="宋体" w:hAnsi="宋体" w:eastAsia="宋体" w:cs="宋体"/>
          <w:color w:val="auto"/>
          <w:spacing w:val="0"/>
          <w:kern w:val="2"/>
          <w:sz w:val="24"/>
          <w:szCs w:val="24"/>
          <w:highlight w:val="none"/>
          <w:lang w:val="zh-CN" w:eastAsia="zh-CN" w:bidi="zh-CN"/>
        </w:rPr>
        <w:t>都要包括在供应商提交的报价中。</w:t>
      </w:r>
    </w:p>
    <w:p w14:paraId="77D081D1">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14:paraId="75C0894A">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五、分项报价表</w:t>
      </w:r>
    </w:p>
    <w:p w14:paraId="0C315E35">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项目编号：</w:t>
      </w:r>
    </w:p>
    <w:p w14:paraId="1A0D6783">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p w14:paraId="72654723">
      <w:pPr>
        <w:bidi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                                       货币及单位：人民币/元</w:t>
      </w:r>
    </w:p>
    <w:tbl>
      <w:tblPr>
        <w:tblStyle w:val="3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00"/>
        <w:gridCol w:w="2575"/>
        <w:gridCol w:w="1300"/>
        <w:gridCol w:w="1300"/>
        <w:gridCol w:w="1301"/>
        <w:gridCol w:w="1301"/>
      </w:tblGrid>
      <w:tr w14:paraId="7966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6" w:type="pct"/>
            <w:vAlign w:val="center"/>
          </w:tcPr>
          <w:p w14:paraId="32769934">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8" w:type="pct"/>
            <w:vAlign w:val="center"/>
          </w:tcPr>
          <w:p w14:paraId="1E6D3B7F">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716" w:type="pct"/>
            <w:vAlign w:val="center"/>
          </w:tcPr>
          <w:p w14:paraId="6E8B5D60">
            <w:pPr>
              <w:bidi w:val="0"/>
              <w:spacing w:line="360" w:lineRule="auto"/>
              <w:ind w:left="0" w:leftChars="0" w:right="0" w:righ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p>
        </w:tc>
        <w:tc>
          <w:tcPr>
            <w:tcW w:w="716" w:type="pct"/>
            <w:vAlign w:val="center"/>
          </w:tcPr>
          <w:p w14:paraId="0FE3E0A5">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716" w:type="pct"/>
            <w:vAlign w:val="center"/>
          </w:tcPr>
          <w:p w14:paraId="12551E07">
            <w:pPr>
              <w:bidi w:val="0"/>
              <w:spacing w:line="360" w:lineRule="auto"/>
              <w:ind w:left="0" w:leftChars="0" w:right="0" w:righ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716" w:type="pct"/>
            <w:vAlign w:val="center"/>
          </w:tcPr>
          <w:p w14:paraId="25ABB370">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总价</w:t>
            </w:r>
          </w:p>
        </w:tc>
      </w:tr>
      <w:tr w14:paraId="2214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16" w:type="pct"/>
            <w:vAlign w:val="center"/>
          </w:tcPr>
          <w:p w14:paraId="4A575BD3">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418" w:type="pct"/>
            <w:vAlign w:val="center"/>
          </w:tcPr>
          <w:p w14:paraId="03A1F4D4">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71CD03A8">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72776D5E">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60A72EB1">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65A8C528">
            <w:pPr>
              <w:bidi w:val="0"/>
              <w:spacing w:line="360" w:lineRule="auto"/>
              <w:ind w:left="0" w:leftChars="0" w:right="0" w:rightChars="0" w:firstLine="0" w:firstLineChars="0"/>
              <w:jc w:val="center"/>
              <w:rPr>
                <w:rFonts w:hint="eastAsia" w:ascii="宋体" w:hAnsi="宋体" w:eastAsia="宋体" w:cs="宋体"/>
                <w:sz w:val="24"/>
                <w:szCs w:val="24"/>
              </w:rPr>
            </w:pPr>
          </w:p>
        </w:tc>
      </w:tr>
      <w:tr w14:paraId="06BE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16" w:type="pct"/>
            <w:vAlign w:val="center"/>
          </w:tcPr>
          <w:p w14:paraId="36C2041B">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418" w:type="pct"/>
            <w:vAlign w:val="center"/>
          </w:tcPr>
          <w:p w14:paraId="6C709A82">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739A0422">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2CEFA34E">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722B5688">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56BB333A">
            <w:pPr>
              <w:bidi w:val="0"/>
              <w:spacing w:line="360" w:lineRule="auto"/>
              <w:ind w:left="0" w:leftChars="0" w:right="0" w:rightChars="0" w:firstLine="0" w:firstLineChars="0"/>
              <w:jc w:val="center"/>
              <w:rPr>
                <w:rFonts w:hint="eastAsia" w:ascii="宋体" w:hAnsi="宋体" w:eastAsia="宋体" w:cs="宋体"/>
                <w:sz w:val="24"/>
                <w:szCs w:val="24"/>
              </w:rPr>
            </w:pPr>
          </w:p>
        </w:tc>
      </w:tr>
      <w:tr w14:paraId="5690B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6" w:type="pct"/>
            <w:vAlign w:val="center"/>
          </w:tcPr>
          <w:p w14:paraId="206B93AA">
            <w:pPr>
              <w:bidi w:val="0"/>
              <w:spacing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418" w:type="pct"/>
            <w:vAlign w:val="center"/>
          </w:tcPr>
          <w:p w14:paraId="64E05982">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29066476">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106FF082">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31D84E18">
            <w:pPr>
              <w:bidi w:val="0"/>
              <w:spacing w:line="360" w:lineRule="auto"/>
              <w:ind w:left="0" w:leftChars="0" w:right="0" w:rightChars="0" w:firstLine="0" w:firstLineChars="0"/>
              <w:jc w:val="center"/>
              <w:rPr>
                <w:rFonts w:hint="eastAsia" w:ascii="宋体" w:hAnsi="宋体" w:eastAsia="宋体" w:cs="宋体"/>
                <w:sz w:val="24"/>
                <w:szCs w:val="24"/>
              </w:rPr>
            </w:pPr>
          </w:p>
        </w:tc>
        <w:tc>
          <w:tcPr>
            <w:tcW w:w="716" w:type="pct"/>
            <w:vAlign w:val="center"/>
          </w:tcPr>
          <w:p w14:paraId="7D4783FA">
            <w:pPr>
              <w:bidi w:val="0"/>
              <w:spacing w:line="360" w:lineRule="auto"/>
              <w:ind w:left="0" w:leftChars="0" w:right="0" w:rightChars="0" w:firstLine="0" w:firstLineChars="0"/>
              <w:jc w:val="center"/>
              <w:rPr>
                <w:rFonts w:hint="eastAsia" w:ascii="宋体" w:hAnsi="宋体" w:eastAsia="宋体" w:cs="宋体"/>
                <w:sz w:val="24"/>
                <w:szCs w:val="24"/>
              </w:rPr>
            </w:pPr>
          </w:p>
        </w:tc>
      </w:tr>
    </w:tbl>
    <w:p w14:paraId="5BE43795">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p>
    <w:p w14:paraId="533C27DD">
      <w:pPr>
        <w:keepNext w:val="0"/>
        <w:keepLines w:val="0"/>
        <w:pageBreakBefore w:val="0"/>
        <w:widowControl w:val="0"/>
        <w:kinsoku w:val="0"/>
        <w:wordWrap/>
        <w:overflowPunct w:val="0"/>
        <w:topLinePunct w:val="0"/>
        <w:autoSpaceDE w:val="0"/>
        <w:autoSpaceDN w:val="0"/>
        <w:bidi w:val="0"/>
        <w:spacing w:before="121"/>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供应商名称：</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（公章）</w:t>
      </w:r>
    </w:p>
    <w:p w14:paraId="1FFE46D2">
      <w:pPr>
        <w:keepNext w:val="0"/>
        <w:keepLines w:val="0"/>
        <w:pageBreakBefore w:val="0"/>
        <w:widowControl w:val="0"/>
        <w:kinsoku w:val="0"/>
        <w:wordWrap/>
        <w:overflowPunct w:val="0"/>
        <w:topLinePunct w:val="0"/>
        <w:autoSpaceDE w:val="0"/>
        <w:autoSpaceDN w:val="0"/>
        <w:bidi w:val="0"/>
        <w:spacing w:before="140"/>
        <w:ind w:left="876"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法定代表人或其授权代表：</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（签字</w:t>
      </w:r>
      <w:r>
        <w:rPr>
          <w:rFonts w:hint="eastAsia" w:ascii="宋体" w:hAnsi="宋体" w:eastAsia="宋体" w:cs="宋体"/>
          <w:color w:val="auto"/>
          <w:spacing w:val="0"/>
          <w:kern w:val="2"/>
          <w:sz w:val="24"/>
          <w:szCs w:val="24"/>
          <w:highlight w:val="none"/>
          <w:lang w:val="en-US" w:eastAsia="zh-CN" w:bidi="zh-CN"/>
        </w:rPr>
        <w:t>或盖章</w:t>
      </w:r>
      <w:r>
        <w:rPr>
          <w:rFonts w:hint="eastAsia" w:ascii="宋体" w:hAnsi="宋体" w:eastAsia="宋体" w:cs="宋体"/>
          <w:color w:val="auto"/>
          <w:spacing w:val="0"/>
          <w:kern w:val="2"/>
          <w:sz w:val="24"/>
          <w:szCs w:val="24"/>
          <w:highlight w:val="none"/>
          <w:lang w:val="zh-CN" w:eastAsia="zh-CN" w:bidi="zh-CN"/>
        </w:rPr>
        <w:t>）</w:t>
      </w:r>
    </w:p>
    <w:p w14:paraId="5387A8C9">
      <w:pPr>
        <w:keepNext w:val="0"/>
        <w:keepLines w:val="0"/>
        <w:pageBreakBefore w:val="0"/>
        <w:widowControl w:val="0"/>
        <w:tabs>
          <w:tab w:val="left" w:pos="3257"/>
          <w:tab w:val="left" w:pos="4236"/>
        </w:tabs>
        <w:kinsoku w:val="0"/>
        <w:wordWrap/>
        <w:overflowPunct w:val="0"/>
        <w:topLinePunct w:val="0"/>
        <w:autoSpaceDE w:val="0"/>
        <w:autoSpaceDN w:val="0"/>
        <w:bidi w:val="0"/>
        <w:spacing w:before="143"/>
        <w:ind w:left="2417" w:firstLine="2880" w:firstLineChars="1200"/>
        <w:jc w:val="both"/>
        <w:textAlignment w:val="auto"/>
        <w:rPr>
          <w:rFonts w:hint="eastAsia" w:ascii="宋体" w:hAnsi="宋体" w:eastAsia="宋体" w:cs="宋体"/>
          <w:color w:val="auto"/>
          <w:spacing w:val="0"/>
          <w:kern w:val="2"/>
          <w:sz w:val="24"/>
          <w:szCs w:val="24"/>
          <w:highlight w:val="none"/>
          <w:lang w:val="zh-CN" w:eastAsia="zh-CN" w:bidi="zh-CN"/>
        </w:rPr>
      </w:pPr>
      <w:r>
        <w:rPr>
          <w:rFonts w:hint="eastAsia" w:ascii="宋体" w:hAnsi="宋体" w:eastAsia="宋体" w:cs="宋体"/>
          <w:color w:val="auto"/>
          <w:spacing w:val="0"/>
          <w:kern w:val="2"/>
          <w:sz w:val="24"/>
          <w:szCs w:val="24"/>
          <w:highlight w:val="none"/>
          <w:lang w:val="zh-CN" w:eastAsia="zh-CN" w:bidi="zh-CN"/>
        </w:rPr>
        <w:t>年</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ab/>
      </w:r>
      <w:r>
        <w:rPr>
          <w:rFonts w:hint="eastAsia" w:ascii="宋体" w:hAnsi="宋体" w:eastAsia="宋体" w:cs="宋体"/>
          <w:color w:val="auto"/>
          <w:spacing w:val="0"/>
          <w:kern w:val="2"/>
          <w:sz w:val="24"/>
          <w:szCs w:val="24"/>
          <w:highlight w:val="none"/>
          <w:lang w:val="zh-CN" w:eastAsia="zh-CN" w:bidi="zh-CN"/>
        </w:rPr>
        <w:t>月</w:t>
      </w:r>
      <w:r>
        <w:rPr>
          <w:rFonts w:hint="eastAsia" w:ascii="宋体" w:hAnsi="宋体" w:eastAsia="宋体" w:cs="宋体"/>
          <w:color w:val="auto"/>
          <w:spacing w:val="0"/>
          <w:kern w:val="2"/>
          <w:sz w:val="24"/>
          <w:szCs w:val="24"/>
          <w:highlight w:val="none"/>
          <w:lang w:val="en-US" w:eastAsia="zh-CN" w:bidi="zh-CN"/>
        </w:rPr>
        <w:t xml:space="preserve">  </w:t>
      </w:r>
      <w:r>
        <w:rPr>
          <w:rFonts w:hint="eastAsia" w:ascii="宋体" w:hAnsi="宋体" w:eastAsia="宋体" w:cs="宋体"/>
          <w:color w:val="auto"/>
          <w:spacing w:val="0"/>
          <w:kern w:val="2"/>
          <w:sz w:val="24"/>
          <w:szCs w:val="24"/>
          <w:highlight w:val="none"/>
          <w:lang w:val="zh-CN" w:eastAsia="zh-CN" w:bidi="zh-CN"/>
        </w:rPr>
        <w:t>日</w:t>
      </w:r>
    </w:p>
    <w:p w14:paraId="55AFCCDC">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14:paraId="2F8A07AE">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六、供应商基本情况表</w:t>
      </w:r>
    </w:p>
    <w:p w14:paraId="37E991A4">
      <w:pPr>
        <w:spacing w:line="33" w:lineRule="exact"/>
        <w:rPr>
          <w:rFonts w:hint="eastAsia" w:ascii="宋体" w:hAnsi="宋体" w:eastAsia="宋体" w:cs="宋体"/>
          <w:highlight w:val="none"/>
        </w:rPr>
      </w:pPr>
    </w:p>
    <w:tbl>
      <w:tblPr>
        <w:tblStyle w:val="33"/>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7"/>
        <w:gridCol w:w="2973"/>
        <w:gridCol w:w="1204"/>
        <w:gridCol w:w="3365"/>
      </w:tblGrid>
      <w:tr w14:paraId="72A19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860" w:type="pct"/>
            <w:tcBorders>
              <w:tl2br w:val="nil"/>
              <w:tr2bl w:val="nil"/>
            </w:tcBorders>
            <w:vAlign w:val="center"/>
          </w:tcPr>
          <w:p w14:paraId="31CBE1F5">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p>
        </w:tc>
        <w:tc>
          <w:tcPr>
            <w:tcW w:w="1632" w:type="pct"/>
            <w:tcBorders>
              <w:tl2br w:val="nil"/>
              <w:tr2bl w:val="nil"/>
            </w:tcBorders>
            <w:vAlign w:val="center"/>
          </w:tcPr>
          <w:p w14:paraId="7861BC14">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14:paraId="3E78D4C1">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1844" w:type="pct"/>
            <w:tcBorders>
              <w:tl2br w:val="nil"/>
              <w:tr2bl w:val="nil"/>
            </w:tcBorders>
            <w:vAlign w:val="center"/>
          </w:tcPr>
          <w:p w14:paraId="65F89BCF">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14:paraId="2811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14:paraId="25DD0D3C">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w:t>
            </w:r>
          </w:p>
        </w:tc>
        <w:tc>
          <w:tcPr>
            <w:tcW w:w="1632" w:type="pct"/>
            <w:tcBorders>
              <w:tl2br w:val="nil"/>
              <w:tr2bl w:val="nil"/>
            </w:tcBorders>
            <w:vAlign w:val="center"/>
          </w:tcPr>
          <w:p w14:paraId="0EBDF64C">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14:paraId="7F6A01A1">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注册时间</w:t>
            </w:r>
          </w:p>
        </w:tc>
        <w:tc>
          <w:tcPr>
            <w:tcW w:w="1844" w:type="pct"/>
            <w:tcBorders>
              <w:tl2br w:val="nil"/>
              <w:tr2bl w:val="nil"/>
            </w:tcBorders>
            <w:vAlign w:val="center"/>
          </w:tcPr>
          <w:p w14:paraId="5DA44216">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14:paraId="1497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14:paraId="3378915B">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632" w:type="pct"/>
            <w:tcBorders>
              <w:tl2br w:val="nil"/>
              <w:tr2bl w:val="nil"/>
            </w:tcBorders>
            <w:vAlign w:val="center"/>
          </w:tcPr>
          <w:p w14:paraId="1E573B13">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c>
          <w:tcPr>
            <w:tcW w:w="661" w:type="pct"/>
            <w:tcBorders>
              <w:tl2br w:val="nil"/>
              <w:tr2bl w:val="nil"/>
            </w:tcBorders>
            <w:vAlign w:val="center"/>
          </w:tcPr>
          <w:p w14:paraId="013502B5">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844" w:type="pct"/>
            <w:tcBorders>
              <w:tl2br w:val="nil"/>
              <w:tr2bl w:val="nil"/>
            </w:tcBorders>
            <w:vAlign w:val="center"/>
          </w:tcPr>
          <w:p w14:paraId="4F182E4B">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14:paraId="56B29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60" w:type="pct"/>
            <w:tcBorders>
              <w:tl2br w:val="nil"/>
              <w:tr2bl w:val="nil"/>
            </w:tcBorders>
            <w:vAlign w:val="center"/>
          </w:tcPr>
          <w:p w14:paraId="3FA847A8">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139" w:type="pct"/>
            <w:gridSpan w:val="3"/>
            <w:tcBorders>
              <w:tl2br w:val="nil"/>
              <w:tr2bl w:val="nil"/>
            </w:tcBorders>
            <w:vAlign w:val="center"/>
          </w:tcPr>
          <w:p w14:paraId="01BC48E2">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14:paraId="27CDA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60" w:type="pct"/>
            <w:tcBorders>
              <w:tl2br w:val="nil"/>
              <w:tr2bl w:val="nil"/>
            </w:tcBorders>
            <w:vAlign w:val="center"/>
          </w:tcPr>
          <w:p w14:paraId="1A4A4B3D">
            <w:pPr>
              <w:bidi w:val="0"/>
              <w:spacing w:line="48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开户银行账号</w:t>
            </w:r>
          </w:p>
        </w:tc>
        <w:tc>
          <w:tcPr>
            <w:tcW w:w="4139" w:type="pct"/>
            <w:gridSpan w:val="3"/>
            <w:tcBorders>
              <w:tl2br w:val="nil"/>
              <w:tr2bl w:val="nil"/>
            </w:tcBorders>
            <w:vAlign w:val="center"/>
          </w:tcPr>
          <w:p w14:paraId="35C8F154">
            <w:pPr>
              <w:bidi w:val="0"/>
              <w:spacing w:line="480" w:lineRule="auto"/>
              <w:ind w:left="0" w:leftChars="0" w:right="0" w:rightChars="0" w:firstLine="0" w:firstLineChars="0"/>
              <w:jc w:val="center"/>
              <w:rPr>
                <w:rFonts w:hint="eastAsia" w:ascii="宋体" w:hAnsi="宋体" w:eastAsia="宋体" w:cs="宋体"/>
                <w:sz w:val="24"/>
                <w:szCs w:val="24"/>
                <w:highlight w:val="none"/>
              </w:rPr>
            </w:pPr>
          </w:p>
        </w:tc>
      </w:tr>
      <w:tr w14:paraId="202D7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4" w:hRule="atLeast"/>
        </w:trPr>
        <w:tc>
          <w:tcPr>
            <w:tcW w:w="5000" w:type="pct"/>
            <w:gridSpan w:val="4"/>
            <w:tcBorders>
              <w:tl2br w:val="nil"/>
              <w:tr2bl w:val="nil"/>
            </w:tcBorders>
            <w:vAlign w:val="center"/>
          </w:tcPr>
          <w:p w14:paraId="534557B5">
            <w:pPr>
              <w:bidi w:val="0"/>
              <w:spacing w:line="480" w:lineRule="auto"/>
              <w:ind w:left="0" w:leftChars="0" w:right="0" w:rightChars="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主营范围：</w:t>
            </w:r>
          </w:p>
        </w:tc>
      </w:tr>
    </w:tbl>
    <w:p w14:paraId="325673C6">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14:paraId="6C48C68C">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七、具有独立承担民事责任的能力的证明材料</w:t>
      </w:r>
    </w:p>
    <w:p w14:paraId="3AF408E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为法人或者其他组织的，提供营业执照等证明文件；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为自然人的，提供身份证明。</w:t>
      </w:r>
    </w:p>
    <w:p w14:paraId="08C1801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64C5A76">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八、具有良好的商业信誉和健全的财务会计制度的证明材料</w:t>
      </w:r>
    </w:p>
    <w:p w14:paraId="393A0551">
      <w:pPr>
        <w:spacing w:line="241" w:lineRule="auto"/>
        <w:rPr>
          <w:rFonts w:hint="eastAsia" w:ascii="宋体" w:hAnsi="宋体" w:eastAsia="宋体" w:cs="宋体"/>
          <w:sz w:val="21"/>
          <w:highlight w:val="none"/>
        </w:rPr>
      </w:pPr>
    </w:p>
    <w:p w14:paraId="14FAFF77">
      <w:pPr>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br w:type="page"/>
      </w:r>
    </w:p>
    <w:p w14:paraId="6E87AA5F">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九、依法缴纳税收和社会保障资金的良好记录的证明材料</w:t>
      </w:r>
    </w:p>
    <w:p w14:paraId="46EB9C15">
      <w:pP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14:paraId="21CB4062">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十、具有履行合同所必需的设备和专业技术能力的证明材料</w:t>
      </w:r>
    </w:p>
    <w:p w14:paraId="7413D4CD">
      <w:pPr>
        <w:spacing w:line="360" w:lineRule="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br w:type="page"/>
      </w:r>
    </w:p>
    <w:p w14:paraId="2CBF5466">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十一、参加政府采购前三年内在经营活动中无重大违法记录书面声明</w:t>
      </w:r>
    </w:p>
    <w:p w14:paraId="266F8475">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自愿参加本次政府采购活动，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，严格遵守《中华人民共和国政府采购法》《中华人民共和国政府采购法实施条例》及相关法律、法规和规章制度，在参加此次政府采购活动前3年内，本公司在经营活动中无重大违法记录。</w:t>
      </w:r>
    </w:p>
    <w:p w14:paraId="0E7BA1B6">
      <w:pPr>
        <w:keepNext w:val="0"/>
        <w:keepLines w:val="0"/>
        <w:pageBreakBefore w:val="0"/>
        <w:widowControl/>
        <w:kinsoku/>
        <w:wordWrap w:val="0"/>
        <w:overflowPunct/>
        <w:topLinePunct/>
        <w:autoSpaceDE/>
        <w:autoSpaceDN/>
        <w:bidi w:val="0"/>
        <w:adjustRightInd/>
        <w:snapToGrid/>
        <w:spacing w:line="52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03C2DD80">
      <w:pPr>
        <w:keepNext w:val="0"/>
        <w:keepLines w:val="0"/>
        <w:pageBreakBefore w:val="0"/>
        <w:widowControl/>
        <w:kinsoku/>
        <w:wordWrap w:val="0"/>
        <w:overflowPunct/>
        <w:topLinePunct/>
        <w:autoSpaceDE/>
        <w:autoSpaceDN/>
        <w:bidi w:val="0"/>
        <w:adjustRightInd/>
        <w:snapToGrid/>
        <w:spacing w:line="520" w:lineRule="exact"/>
        <w:ind w:firstLine="5040" w:firstLineChars="2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盖章</w:t>
      </w:r>
      <w:r>
        <w:rPr>
          <w:rFonts w:hint="eastAsia" w:ascii="宋体" w:hAnsi="宋体" w:eastAsia="宋体" w:cs="宋体"/>
          <w:sz w:val="24"/>
          <w:szCs w:val="24"/>
          <w:highlight w:val="none"/>
          <w:lang w:eastAsia="zh-CN"/>
        </w:rPr>
        <w:t>）</w:t>
      </w:r>
    </w:p>
    <w:p w14:paraId="6E23B44F">
      <w:pPr>
        <w:keepNext w:val="0"/>
        <w:keepLines w:val="0"/>
        <w:pageBreakBefore w:val="0"/>
        <w:widowControl/>
        <w:kinsoku/>
        <w:wordWrap w:val="0"/>
        <w:overflowPunct/>
        <w:topLinePunct/>
        <w:autoSpaceDE/>
        <w:autoSpaceDN/>
        <w:bidi w:val="0"/>
        <w:adjustRightInd/>
        <w:snapToGrid/>
        <w:spacing w:line="520" w:lineRule="exact"/>
        <w:ind w:firstLine="3600" w:firstLineChars="15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法定代表人或授权委托人</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p>
    <w:p w14:paraId="3F5B76AC">
      <w:pPr>
        <w:keepNext w:val="0"/>
        <w:keepLines w:val="0"/>
        <w:pageBreakBefore w:val="0"/>
        <w:widowControl/>
        <w:kinsoku/>
        <w:wordWrap w:val="0"/>
        <w:overflowPunct/>
        <w:topLinePunct/>
        <w:autoSpaceDE/>
        <w:autoSpaceDN/>
        <w:bidi w:val="0"/>
        <w:adjustRightInd/>
        <w:snapToGrid/>
        <w:spacing w:line="520" w:lineRule="exact"/>
        <w:ind w:firstLine="480" w:firstLineChars="200"/>
        <w:jc w:val="righ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4632D2E1">
      <w:pPr>
        <w:keepNext w:val="0"/>
        <w:keepLines w:val="0"/>
        <w:pageBreakBefore w:val="0"/>
        <w:widowControl w:val="0"/>
        <w:tabs>
          <w:tab w:val="left" w:pos="5916"/>
          <w:tab w:val="left" w:pos="6475"/>
        </w:tabs>
        <w:kinsoku w:val="0"/>
        <w:wordWrap/>
        <w:overflowPunct w:val="0"/>
        <w:topLinePunct w:val="0"/>
        <w:autoSpaceDE w:val="0"/>
        <w:autoSpaceDN w:val="0"/>
        <w:bidi w:val="0"/>
        <w:spacing w:line="333" w:lineRule="auto"/>
        <w:ind w:left="5357" w:right="2045" w:hanging="840"/>
        <w:jc w:val="both"/>
        <w:textAlignment w:val="auto"/>
        <w:rPr>
          <w:rFonts w:hint="eastAsia" w:ascii="宋体" w:hAnsi="宋体" w:eastAsia="宋体" w:cs="宋体"/>
          <w:color w:val="auto"/>
          <w:spacing w:val="0"/>
          <w:kern w:val="2"/>
          <w:sz w:val="24"/>
          <w:szCs w:val="24"/>
          <w:highlight w:val="none"/>
          <w:lang w:val="en-US" w:eastAsia="zh-CN" w:bidi="zh-CN"/>
        </w:rPr>
      </w:pPr>
    </w:p>
    <w:p w14:paraId="4859B8F1">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14:paraId="14D6B9DB">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十二、中小企业声明函</w:t>
      </w:r>
    </w:p>
    <w:p w14:paraId="22E32D8E">
      <w:pPr>
        <w:keepNext w:val="0"/>
        <w:keepLines w:val="0"/>
        <w:pageBreakBefore w:val="0"/>
        <w:widowControl/>
        <w:kinsoku/>
        <w:wordWrap w:val="0"/>
        <w:overflowPunct/>
        <w:topLinePunct/>
        <w:autoSpaceDE/>
        <w:autoSpaceDN/>
        <w:bidi w:val="0"/>
        <w:adjustRightInd/>
        <w:snapToGrid/>
        <w:spacing w:line="360" w:lineRule="auto"/>
        <w:jc w:val="center"/>
        <w:textAlignment w:val="baseline"/>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中小企业声明函</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货物</w:t>
      </w:r>
      <w:r>
        <w:rPr>
          <w:rFonts w:hint="eastAsia" w:ascii="宋体" w:hAnsi="宋体" w:eastAsia="宋体" w:cs="宋体"/>
          <w:b/>
          <w:bCs/>
          <w:sz w:val="24"/>
          <w:szCs w:val="24"/>
          <w:highlight w:val="none"/>
          <w:lang w:eastAsia="zh-CN"/>
        </w:rPr>
        <w:t>）</w:t>
      </w:r>
    </w:p>
    <w:p w14:paraId="1EA75DA8">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 体中的中小企业、签订分包意向协议的中小企业）的具体情况如下：</w:t>
      </w:r>
    </w:p>
    <w:p w14:paraId="175860AB">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1.（标的名称），属于（采购文件中明确的所属行业）行业；制造商为（企业名称），从业人员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万元1，属于（中型企业、小型企业、微型企业）；</w:t>
      </w:r>
    </w:p>
    <w:p w14:paraId="2426DBA8">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2.（标的名称），属于（采购文件中明确的所属行业）行业；制造商为（企业名称），从业人员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45A5D411">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p>
    <w:p w14:paraId="6F144A21">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 本企业对上述声明内容的真实性负责。如有虚假，将依法承担相应责任。</w:t>
      </w:r>
    </w:p>
    <w:p w14:paraId="7F5597AA">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企业名称（盖章）：</w:t>
      </w:r>
    </w:p>
    <w:p w14:paraId="565646B1">
      <w:pPr>
        <w:keepNext w:val="0"/>
        <w:keepLines w:val="0"/>
        <w:pageBreakBefore w:val="0"/>
        <w:widowControl w:val="0"/>
        <w:kinsoku/>
        <w:wordWrap w:val="0"/>
        <w:overflowPunct/>
        <w:topLinePunct/>
        <w:autoSpaceDE/>
        <w:autoSpaceDN/>
        <w:bidi w:val="0"/>
        <w:adjustRightInd/>
        <w:snapToGrid/>
        <w:spacing w:line="56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日期：</w:t>
      </w:r>
    </w:p>
    <w:p w14:paraId="6844713A">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14:paraId="35816725">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14:paraId="3C09A72A">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14:paraId="7B425989">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14:paraId="78364306">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p>
    <w:p w14:paraId="414A0D99">
      <w:pPr>
        <w:keepNext w:val="0"/>
        <w:keepLines w:val="0"/>
        <w:pageBreakBefore w:val="0"/>
        <w:widowControl/>
        <w:kinsoku/>
        <w:wordWrap w:val="0"/>
        <w:overflowPunct/>
        <w:topLinePunct/>
        <w:autoSpaceDE/>
        <w:autoSpaceDN/>
        <w:bidi w:val="0"/>
        <w:adjustRightInd/>
        <w:snapToGrid/>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从业人员、营业收入、资产总额填报上一年度数据，无上一年度数据的新成立企业可不填报</w:t>
      </w:r>
    </w:p>
    <w:p w14:paraId="26198626">
      <w:pPr>
        <w:keepNext w:val="0"/>
        <w:keepLines w:val="0"/>
        <w:pageBreakBefore w:val="0"/>
        <w:widowControl w:val="0"/>
        <w:numPr>
          <w:ilvl w:val="0"/>
          <w:numId w:val="0"/>
        </w:numPr>
        <w:tabs>
          <w:tab w:val="left" w:pos="1260"/>
          <w:tab w:val="left" w:pos="6406"/>
        </w:tabs>
        <w:kinsoku w:val="0"/>
        <w:wordWrap/>
        <w:overflowPunct w:val="0"/>
        <w:topLinePunct w:val="0"/>
        <w:autoSpaceDE w:val="0"/>
        <w:autoSpaceDN w:val="0"/>
        <w:bidi w:val="0"/>
        <w:adjustRightInd/>
        <w:snapToGrid/>
        <w:spacing w:before="1" w:after="0" w:line="360" w:lineRule="auto"/>
        <w:ind w:left="108" w:right="130" w:rightChars="0" w:firstLine="480" w:firstLineChars="200"/>
        <w:jc w:val="left"/>
        <w:textAlignment w:val="auto"/>
        <w:rPr>
          <w:rFonts w:hint="eastAsia" w:ascii="宋体" w:hAnsi="宋体" w:eastAsia="宋体" w:cs="宋体"/>
          <w:color w:val="auto"/>
          <w:spacing w:val="0"/>
          <w:kern w:val="2"/>
          <w:sz w:val="24"/>
          <w:szCs w:val="24"/>
          <w:highlight w:val="none"/>
          <w:lang w:val="en-US" w:eastAsia="zh-CN" w:bidi="zh-CN"/>
        </w:rPr>
      </w:pPr>
    </w:p>
    <w:p w14:paraId="3F6421FF">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14:paraId="1F06E025">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十三、残疾人福利性单位声明函（不属于可不填写内容或不提供）</w:t>
      </w:r>
    </w:p>
    <w:p w14:paraId="04B4F1A1">
      <w:pPr>
        <w:keepNext w:val="0"/>
        <w:keepLines w:val="0"/>
        <w:pageBreakBefore w:val="0"/>
        <w:widowControl w:val="0"/>
        <w:tabs>
          <w:tab w:val="left" w:pos="8100"/>
        </w:tabs>
        <w:kinsoku w:val="0"/>
        <w:wordWrap/>
        <w:overflowPunct w:val="0"/>
        <w:topLinePunct w:val="0"/>
        <w:autoSpaceDE w:val="0"/>
        <w:autoSpaceDN w:val="0"/>
        <w:bidi w:val="0"/>
        <w:adjustRightInd/>
        <w:snapToGrid/>
        <w:spacing w:after="0" w:line="334" w:lineRule="auto"/>
        <w:ind w:left="0" w:right="0"/>
        <w:jc w:val="center"/>
        <w:textAlignment w:val="auto"/>
        <w:rPr>
          <w:rFonts w:hint="eastAsia" w:ascii="宋体" w:hAnsi="宋体" w:eastAsia="宋体" w:cs="宋体"/>
          <w:b/>
          <w:bCs/>
          <w:color w:val="auto"/>
          <w:spacing w:val="0"/>
          <w:sz w:val="32"/>
          <w:szCs w:val="32"/>
          <w:highlight w:val="none"/>
          <w:lang w:val="en-US" w:eastAsia="zh-CN" w:bidi="zh-CN"/>
        </w:rPr>
      </w:pPr>
      <w:r>
        <w:rPr>
          <w:rFonts w:hint="eastAsia" w:ascii="宋体" w:hAnsi="宋体" w:eastAsia="宋体" w:cs="宋体"/>
          <w:b/>
          <w:bCs/>
          <w:color w:val="auto"/>
          <w:spacing w:val="0"/>
          <w:kern w:val="0"/>
          <w:sz w:val="32"/>
          <w:szCs w:val="32"/>
          <w:highlight w:val="none"/>
        </w:rPr>
        <w:t>残疾人福利性单位声明函</w:t>
      </w:r>
    </w:p>
    <w:p w14:paraId="04FFF28F">
      <w:pPr>
        <w:keepNext w:val="0"/>
        <w:keepLines w:val="0"/>
        <w:pageBreakBefore w:val="0"/>
        <w:widowControl w:val="0"/>
        <w:tabs>
          <w:tab w:val="left" w:pos="8100"/>
        </w:tabs>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zh-CN" w:eastAsia="zh-CN" w:bidi="zh-CN"/>
        </w:rPr>
        <w:t>本单位郑重声明，根据财政部、民政部、中国残疾人联合会</w:t>
      </w:r>
      <w:r>
        <w:rPr>
          <w:rFonts w:hint="eastAsia" w:ascii="宋体" w:hAnsi="宋体" w:eastAsia="宋体" w:cs="宋体"/>
          <w:color w:val="auto"/>
          <w:spacing w:val="0"/>
          <w:sz w:val="24"/>
          <w:szCs w:val="24"/>
          <w:highlight w:val="none"/>
          <w:lang w:val="en-US" w:eastAsia="zh-CN" w:bidi="zh-CN"/>
        </w:rPr>
        <w:t>联合印发的</w:t>
      </w:r>
      <w:r>
        <w:rPr>
          <w:rFonts w:hint="eastAsia" w:ascii="宋体" w:hAnsi="宋体" w:eastAsia="宋体" w:cs="宋体"/>
          <w:color w:val="auto"/>
          <w:spacing w:val="0"/>
          <w:sz w:val="24"/>
          <w:szCs w:val="24"/>
          <w:highlight w:val="none"/>
          <w:lang w:val="zh-CN" w:eastAsia="zh-CN" w:bidi="zh-CN"/>
        </w:rPr>
        <w:t>《关于促进残疾人就业政府采购政策的通知》（财库[201</w:t>
      </w:r>
      <w:r>
        <w:rPr>
          <w:rFonts w:hint="eastAsia" w:ascii="宋体" w:hAnsi="宋体" w:eastAsia="宋体" w:cs="宋体"/>
          <w:color w:val="auto"/>
          <w:spacing w:val="0"/>
          <w:sz w:val="24"/>
          <w:szCs w:val="24"/>
          <w:highlight w:val="none"/>
          <w:lang w:val="en-US" w:eastAsia="zh-CN" w:bidi="zh-CN"/>
        </w:rPr>
        <w:t>7</w:t>
      </w:r>
      <w:r>
        <w:rPr>
          <w:rFonts w:hint="eastAsia" w:ascii="宋体" w:hAnsi="宋体" w:eastAsia="宋体" w:cs="宋体"/>
          <w:color w:val="auto"/>
          <w:spacing w:val="0"/>
          <w:sz w:val="24"/>
          <w:szCs w:val="24"/>
          <w:highlight w:val="none"/>
          <w:lang w:val="zh-CN" w:eastAsia="zh-CN" w:bidi="zh-CN"/>
        </w:rPr>
        <w:t>]141 号）的规定，本单位为符合条件的残疾人福利性单位，且本单位参加（</w:t>
      </w:r>
      <w:r>
        <w:rPr>
          <w:rFonts w:hint="eastAsia" w:ascii="宋体" w:hAnsi="宋体" w:eastAsia="宋体" w:cs="宋体"/>
          <w:color w:val="auto"/>
          <w:spacing w:val="0"/>
          <w:sz w:val="24"/>
          <w:szCs w:val="24"/>
          <w:highlight w:val="none"/>
          <w:lang w:val="en-US" w:eastAsia="zh-CN" w:bidi="zh-CN"/>
        </w:rPr>
        <w:t>项目名称：</w:t>
      </w:r>
      <w:r>
        <w:rPr>
          <w:rFonts w:hint="eastAsia" w:ascii="宋体" w:hAnsi="宋体" w:eastAsia="宋体" w:cs="宋体"/>
          <w:color w:val="auto"/>
          <w:spacing w:val="0"/>
          <w:sz w:val="24"/>
          <w:szCs w:val="24"/>
          <w:highlight w:val="none"/>
          <w:u w:val="single"/>
          <w:lang w:val="en-US" w:eastAsia="zh-CN" w:bidi="zh-CN"/>
        </w:rPr>
        <w:t xml:space="preserve">       </w:t>
      </w:r>
      <w:r>
        <w:rPr>
          <w:rFonts w:hint="eastAsia" w:ascii="宋体" w:hAnsi="宋体" w:eastAsia="宋体" w:cs="宋体"/>
          <w:color w:val="auto"/>
          <w:spacing w:val="0"/>
          <w:sz w:val="24"/>
          <w:szCs w:val="24"/>
          <w:highlight w:val="none"/>
          <w:lang w:val="zh-CN" w:eastAsia="zh-CN" w:bidi="zh-CN"/>
        </w:rPr>
        <w:t>磋商文件编号：</w:t>
      </w:r>
      <w:r>
        <w:rPr>
          <w:rFonts w:hint="eastAsia" w:ascii="宋体" w:hAnsi="宋体" w:eastAsia="宋体" w:cs="宋体"/>
          <w:color w:val="auto"/>
          <w:spacing w:val="0"/>
          <w:sz w:val="24"/>
          <w:szCs w:val="24"/>
          <w:highlight w:val="none"/>
          <w:u w:val="single"/>
          <w:lang w:val="en-US" w:eastAsia="zh-CN" w:bidi="zh-CN"/>
        </w:rPr>
        <w:t xml:space="preserve">        </w:t>
      </w:r>
      <w:r>
        <w:rPr>
          <w:rFonts w:hint="eastAsia" w:ascii="宋体" w:hAnsi="宋体" w:eastAsia="宋体" w:cs="宋体"/>
          <w:color w:val="auto"/>
          <w:spacing w:val="0"/>
          <w:sz w:val="24"/>
          <w:szCs w:val="24"/>
          <w:highlight w:val="none"/>
          <w:lang w:val="zh-CN" w:eastAsia="zh-CN" w:bidi="zh-CN"/>
        </w:rPr>
        <w:t>）采购活动提供服务以及有关货物，或者提供其他残疾人福利性单位提供服务以及有关货物（不包括使用非残疾人福利性单位注册商标的提供服务以及有关货物）。</w:t>
      </w:r>
    </w:p>
    <w:p w14:paraId="3F72EA9B">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zh-CN" w:eastAsia="zh-CN" w:bidi="zh-CN"/>
        </w:rPr>
        <w:t>本单位对上述声明的真实性负责，如有虚假，将依法承担相应责任。</w:t>
      </w:r>
    </w:p>
    <w:p w14:paraId="255588F6">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left"/>
        <w:textAlignment w:val="auto"/>
        <w:rPr>
          <w:rFonts w:hint="eastAsia" w:ascii="宋体" w:hAnsi="宋体" w:eastAsia="宋体" w:cs="宋体"/>
          <w:color w:val="auto"/>
          <w:spacing w:val="0"/>
          <w:sz w:val="24"/>
          <w:szCs w:val="24"/>
          <w:highlight w:val="none"/>
          <w:lang w:val="zh-CN" w:eastAsia="zh-CN" w:bidi="zh-CN"/>
        </w:rPr>
      </w:pPr>
    </w:p>
    <w:p w14:paraId="6A422718">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right"/>
        <w:textAlignment w:val="auto"/>
        <w:rPr>
          <w:rFonts w:hint="eastAsia" w:ascii="宋体" w:hAnsi="宋体" w:eastAsia="宋体" w:cs="宋体"/>
          <w:color w:val="auto"/>
          <w:spacing w:val="0"/>
          <w:sz w:val="24"/>
          <w:szCs w:val="24"/>
          <w:highlight w:val="none"/>
          <w:lang w:val="zh-CN" w:eastAsia="zh-CN" w:bidi="zh-CN"/>
        </w:rPr>
      </w:pPr>
    </w:p>
    <w:p w14:paraId="0B9F92C2">
      <w:pPr>
        <w:keepNext w:val="0"/>
        <w:keepLines w:val="0"/>
        <w:pageBreakBefore w:val="0"/>
        <w:widowControl w:val="0"/>
        <w:kinsoku w:val="0"/>
        <w:wordWrap/>
        <w:overflowPunct w:val="0"/>
        <w:topLinePunct w:val="0"/>
        <w:autoSpaceDE w:val="0"/>
        <w:autoSpaceDN w:val="0"/>
        <w:bidi w:val="0"/>
        <w:adjustRightInd/>
        <w:snapToGrid/>
        <w:spacing w:after="0" w:line="520" w:lineRule="exact"/>
        <w:ind w:left="0" w:right="0" w:firstLine="480" w:firstLineChars="200"/>
        <w:jc w:val="center"/>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kern w:val="0"/>
          <w:sz w:val="24"/>
          <w:szCs w:val="24"/>
          <w:highlight w:val="none"/>
          <w:lang w:val="en-US" w:eastAsia="zh-CN" w:bidi="ar"/>
        </w:rPr>
        <w:t>全称</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rPr>
        <w:t>加盖公章</w:t>
      </w:r>
      <w:r>
        <w:rPr>
          <w:rFonts w:hint="eastAsia" w:ascii="宋体" w:hAnsi="宋体" w:eastAsia="宋体" w:cs="宋体"/>
          <w:color w:val="auto"/>
          <w:spacing w:val="0"/>
          <w:sz w:val="24"/>
          <w:szCs w:val="24"/>
          <w:highlight w:val="none"/>
          <w:u w:val="none"/>
          <w:lang w:eastAsia="zh-CN"/>
        </w:rPr>
        <w:t>）</w:t>
      </w:r>
    </w:p>
    <w:p w14:paraId="144958CF">
      <w:pPr>
        <w:keepNext w:val="0"/>
        <w:keepLines w:val="0"/>
        <w:pageBreakBefore w:val="0"/>
        <w:widowControl w:val="0"/>
        <w:tabs>
          <w:tab w:val="left" w:pos="700"/>
          <w:tab w:val="left" w:pos="1399"/>
        </w:tabs>
        <w:kinsoku w:val="0"/>
        <w:wordWrap/>
        <w:overflowPunct w:val="0"/>
        <w:topLinePunct w:val="0"/>
        <w:autoSpaceDE w:val="0"/>
        <w:autoSpaceDN w:val="0"/>
        <w:bidi w:val="0"/>
        <w:adjustRightInd/>
        <w:snapToGrid/>
        <w:spacing w:after="0" w:line="520" w:lineRule="exact"/>
        <w:ind w:left="0" w:right="0" w:firstLine="480" w:firstLineChars="200"/>
        <w:jc w:val="center"/>
        <w:textAlignment w:val="auto"/>
        <w:rPr>
          <w:rFonts w:hint="eastAsia" w:ascii="宋体" w:hAnsi="宋体" w:eastAsia="宋体" w:cs="宋体"/>
          <w:color w:val="auto"/>
          <w:spacing w:val="0"/>
          <w:sz w:val="24"/>
          <w:szCs w:val="24"/>
          <w:highlight w:val="none"/>
          <w:lang w:val="zh-CN" w:eastAsia="zh-CN" w:bidi="zh-CN"/>
        </w:rPr>
      </w:pP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年</w:t>
      </w: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月</w:t>
      </w:r>
      <w:r>
        <w:rPr>
          <w:rFonts w:hint="eastAsia" w:ascii="宋体" w:hAnsi="宋体" w:eastAsia="宋体" w:cs="宋体"/>
          <w:color w:val="auto"/>
          <w:spacing w:val="0"/>
          <w:sz w:val="24"/>
          <w:szCs w:val="24"/>
          <w:highlight w:val="none"/>
          <w:lang w:val="en-US" w:eastAsia="zh-CN" w:bidi="zh-CN"/>
        </w:rPr>
        <w:t xml:space="preserve">   </w:t>
      </w:r>
      <w:r>
        <w:rPr>
          <w:rFonts w:hint="eastAsia" w:ascii="宋体" w:hAnsi="宋体" w:eastAsia="宋体" w:cs="宋体"/>
          <w:color w:val="auto"/>
          <w:spacing w:val="0"/>
          <w:sz w:val="24"/>
          <w:szCs w:val="24"/>
          <w:highlight w:val="none"/>
          <w:lang w:val="zh-CN" w:eastAsia="zh-CN" w:bidi="zh-CN"/>
        </w:rPr>
        <w:t>日</w:t>
      </w:r>
    </w:p>
    <w:p w14:paraId="64FD17F1">
      <w:pPr>
        <w:rPr>
          <w:rFonts w:hint="eastAsia" w:ascii="宋体" w:hAnsi="宋体" w:eastAsia="宋体" w:cs="宋体"/>
          <w:b/>
          <w:bCs/>
          <w:color w:val="auto"/>
          <w:spacing w:val="0"/>
          <w:sz w:val="24"/>
          <w:szCs w:val="24"/>
          <w:highlight w:val="none"/>
          <w:lang w:val="en-US" w:eastAsia="zh-CN" w:bidi="zh-CN"/>
        </w:rPr>
      </w:pPr>
      <w:r>
        <w:rPr>
          <w:rFonts w:hint="eastAsia" w:ascii="宋体" w:hAnsi="宋体" w:eastAsia="宋体" w:cs="宋体"/>
          <w:b/>
          <w:bCs/>
          <w:color w:val="auto"/>
          <w:spacing w:val="0"/>
          <w:sz w:val="24"/>
          <w:szCs w:val="24"/>
          <w:highlight w:val="none"/>
          <w:lang w:val="en-US" w:eastAsia="zh-CN" w:bidi="zh-CN"/>
        </w:rPr>
        <w:br w:type="page"/>
      </w:r>
    </w:p>
    <w:p w14:paraId="1542B1D3">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十四</w:t>
      </w:r>
      <w:r>
        <w:rPr>
          <w:rFonts w:hint="eastAsia" w:ascii="宋体" w:hAnsi="宋体" w:eastAsia="宋体" w:cs="宋体"/>
          <w:b/>
          <w:bCs/>
          <w:kern w:val="2"/>
          <w:sz w:val="32"/>
          <w:szCs w:val="32"/>
          <w:highlight w:val="none"/>
          <w:lang w:val="zh-CN" w:eastAsia="zh-CN" w:bidi="zh-CN"/>
        </w:rPr>
        <w:t>、</w:t>
      </w:r>
      <w:r>
        <w:rPr>
          <w:rFonts w:hint="eastAsia" w:ascii="宋体" w:hAnsi="宋体" w:eastAsia="宋体" w:cs="宋体"/>
          <w:b/>
          <w:bCs/>
          <w:kern w:val="2"/>
          <w:sz w:val="32"/>
          <w:szCs w:val="32"/>
          <w:highlight w:val="none"/>
          <w:lang w:val="en-US" w:eastAsia="zh-CN" w:bidi="zh-CN"/>
        </w:rPr>
        <w:t>监狱企业（不属于可不填写内容或不提供）</w:t>
      </w:r>
    </w:p>
    <w:p w14:paraId="35740E20">
      <w:pPr>
        <w:keepNext w:val="0"/>
        <w:keepLines w:val="0"/>
        <w:pageBreakBefore w:val="0"/>
        <w:widowControl w:val="0"/>
        <w:kinsoku w:val="0"/>
        <w:wordWrap/>
        <w:overflowPunct w:val="0"/>
        <w:topLinePunct w:val="0"/>
        <w:autoSpaceDE w:val="0"/>
        <w:autoSpaceDN w:val="0"/>
        <w:bidi w:val="0"/>
        <w:adjustRightInd/>
        <w:snapToGrid/>
        <w:spacing w:before="28" w:after="0" w:line="360" w:lineRule="auto"/>
        <w:ind w:right="102" w:rightChars="0" w:firstLine="480" w:firstLineChars="200"/>
        <w:jc w:val="both"/>
        <w:textAlignment w:val="auto"/>
        <w:outlineLvl w:val="9"/>
        <w:rPr>
          <w:rFonts w:hint="eastAsia" w:ascii="宋体" w:hAnsi="宋体" w:eastAsia="宋体" w:cs="宋体"/>
          <w:b/>
          <w:bCs/>
          <w:color w:val="auto"/>
          <w:spacing w:val="0"/>
          <w:kern w:val="0"/>
          <w:sz w:val="24"/>
          <w:szCs w:val="24"/>
          <w:highlight w:val="none"/>
          <w:lang w:val="en-US" w:eastAsia="zh-CN" w:bidi="ar"/>
        </w:rPr>
      </w:pPr>
      <w:r>
        <w:rPr>
          <w:rFonts w:hint="eastAsia" w:ascii="宋体" w:hAnsi="宋体" w:eastAsia="宋体" w:cs="宋体"/>
          <w:color w:val="auto"/>
          <w:spacing w:val="0"/>
          <w:sz w:val="24"/>
          <w:szCs w:val="24"/>
          <w:highlight w:val="none"/>
        </w:rPr>
        <w:t>提供由监狱管理局、戒毒管理局（含新疆生产建设兵团）出具的属于监狱企业的证明文件。</w:t>
      </w:r>
    </w:p>
    <w:p w14:paraId="43FD4787">
      <w:pP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br w:type="page"/>
      </w:r>
    </w:p>
    <w:p w14:paraId="31A4EC8D">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十五、主要商务要求承诺书</w:t>
      </w:r>
    </w:p>
    <w:p w14:paraId="28801480">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我公司承诺可以完全满足本次采购项目的所有主要商务条款要求（</w:t>
      </w:r>
      <w:r>
        <w:rPr>
          <w:rFonts w:hint="eastAsia" w:ascii="宋体" w:hAnsi="宋体" w:eastAsia="宋体" w:cs="宋体"/>
          <w:color w:val="auto"/>
          <w:spacing w:val="0"/>
          <w:sz w:val="24"/>
          <w:szCs w:val="24"/>
          <w:highlight w:val="none"/>
          <w:lang w:val="en-US" w:eastAsia="zh-CN"/>
        </w:rPr>
        <w:t>如供货期、维护期</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rPr>
        <w:t>有效期、</w:t>
      </w:r>
      <w:r>
        <w:rPr>
          <w:rFonts w:hint="eastAsia" w:ascii="宋体" w:hAnsi="宋体" w:eastAsia="宋体" w:cs="宋体"/>
          <w:color w:val="auto"/>
          <w:spacing w:val="0"/>
          <w:sz w:val="24"/>
          <w:szCs w:val="24"/>
          <w:highlight w:val="none"/>
          <w:lang w:val="en-US" w:eastAsia="zh-CN"/>
        </w:rPr>
        <w:t>付款方式</w:t>
      </w:r>
      <w:r>
        <w:rPr>
          <w:rFonts w:hint="eastAsia" w:ascii="宋体" w:hAnsi="宋体" w:eastAsia="宋体" w:cs="宋体"/>
          <w:color w:val="auto"/>
          <w:spacing w:val="0"/>
          <w:sz w:val="24"/>
          <w:szCs w:val="24"/>
          <w:highlight w:val="none"/>
        </w:rPr>
        <w:t>等）。若有不符合或未按承诺履行的，后果和责任自负。</w:t>
      </w:r>
    </w:p>
    <w:p w14:paraId="7223241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如有优于</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文件主要商务要求的请在此承诺书中说明。</w:t>
      </w:r>
    </w:p>
    <w:p w14:paraId="464DBDBF">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具体优于内容 （</w:t>
      </w:r>
      <w:r>
        <w:rPr>
          <w:rFonts w:hint="eastAsia" w:ascii="宋体" w:hAnsi="宋体" w:eastAsia="宋体" w:cs="宋体"/>
          <w:color w:val="auto"/>
          <w:spacing w:val="0"/>
          <w:sz w:val="24"/>
          <w:szCs w:val="24"/>
          <w:highlight w:val="none"/>
          <w:lang w:val="en-US" w:eastAsia="zh-CN"/>
        </w:rPr>
        <w:t>如供货期、维护期</w:t>
      </w:r>
      <w:r>
        <w:rPr>
          <w:rFonts w:hint="eastAsia" w:ascii="宋体" w:hAnsi="宋体" w:eastAsia="宋体" w:cs="宋体"/>
          <w:color w:val="auto"/>
          <w:spacing w:val="0"/>
          <w:sz w:val="24"/>
          <w:szCs w:val="24"/>
          <w:highlight w:val="none"/>
        </w:rPr>
        <w:t>、地点，质保期等）。</w:t>
      </w:r>
    </w:p>
    <w:p w14:paraId="6B601EC4">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14:paraId="21CD0B75">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0C81E4BB">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14:paraId="1D6F9E60">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p>
    <w:p w14:paraId="5C4B85B3">
      <w:pPr>
        <w:keepNext w:val="0"/>
        <w:keepLines w:val="0"/>
        <w:pageBreakBefore w:val="0"/>
        <w:widowControl w:val="0"/>
        <w:kinsoku/>
        <w:wordWrap w:val="0"/>
        <w:overflowPunct/>
        <w:topLinePunct/>
        <w:autoSpaceDE/>
        <w:autoSpaceDN/>
        <w:bidi w:val="0"/>
        <w:adjustRightInd/>
        <w:snapToGrid/>
        <w:spacing w:line="520" w:lineRule="exact"/>
        <w:ind w:firstLine="3120" w:firstLineChars="13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w:t>
      </w:r>
      <w:r>
        <w:rPr>
          <w:rFonts w:hint="eastAsia" w:ascii="宋体" w:hAnsi="宋体" w:eastAsia="宋体" w:cs="宋体"/>
          <w:color w:val="auto"/>
          <w:spacing w:val="0"/>
          <w:sz w:val="24"/>
          <w:szCs w:val="24"/>
          <w:highlight w:val="none"/>
          <w:lang w:val="en-US" w:eastAsia="zh-CN"/>
        </w:rPr>
        <w:t>全</w:t>
      </w:r>
      <w:r>
        <w:rPr>
          <w:rFonts w:hint="eastAsia" w:ascii="宋体" w:hAnsi="宋体" w:eastAsia="宋体" w:cs="宋体"/>
          <w:color w:val="auto"/>
          <w:spacing w:val="0"/>
          <w:sz w:val="24"/>
          <w:szCs w:val="24"/>
          <w:highlight w:val="none"/>
        </w:rPr>
        <w:t>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（加盖公章）</w:t>
      </w:r>
    </w:p>
    <w:p w14:paraId="0220AE23">
      <w:pPr>
        <w:keepNext w:val="0"/>
        <w:keepLines w:val="0"/>
        <w:pageBreakBefore w:val="0"/>
        <w:widowControl w:val="0"/>
        <w:kinsoku/>
        <w:wordWrap w:val="0"/>
        <w:overflowPunct/>
        <w:topLinePunct/>
        <w:autoSpaceDE/>
        <w:autoSpaceDN/>
        <w:bidi w:val="0"/>
        <w:adjustRightInd/>
        <w:snapToGrid/>
        <w:spacing w:line="520" w:lineRule="exact"/>
        <w:ind w:left="0" w:leftChars="0" w:firstLine="3840" w:firstLineChars="16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val="0"/>
          <w:bCs w:val="0"/>
          <w:color w:val="auto"/>
          <w:spacing w:val="0"/>
          <w:sz w:val="24"/>
          <w:szCs w:val="24"/>
          <w:highlight w:val="none"/>
        </w:rPr>
        <w:t>年</w:t>
      </w:r>
      <w:r>
        <w:rPr>
          <w:rFonts w:hint="eastAsia" w:ascii="宋体" w:hAnsi="宋体" w:eastAsia="宋体" w:cs="宋体"/>
          <w:b w:val="0"/>
          <w:bCs w:val="0"/>
          <w:color w:val="auto"/>
          <w:spacing w:val="0"/>
          <w:sz w:val="24"/>
          <w:szCs w:val="24"/>
          <w:highlight w:val="none"/>
          <w:lang w:val="en-US" w:eastAsia="zh-CN"/>
        </w:rPr>
        <w:t xml:space="preserve"> </w:t>
      </w:r>
      <w:r>
        <w:rPr>
          <w:rFonts w:hint="eastAsia" w:ascii="宋体" w:hAnsi="宋体" w:eastAsia="宋体" w:cs="宋体"/>
          <w:b w:val="0"/>
          <w:bCs w:val="0"/>
          <w:color w:val="auto"/>
          <w:spacing w:val="0"/>
          <w:sz w:val="24"/>
          <w:szCs w:val="24"/>
          <w:highlight w:val="none"/>
        </w:rPr>
        <w:t xml:space="preserve"> 月</w:t>
      </w:r>
      <w:r>
        <w:rPr>
          <w:rFonts w:hint="eastAsia" w:ascii="宋体" w:hAnsi="宋体" w:eastAsia="宋体" w:cs="宋体"/>
          <w:b w:val="0"/>
          <w:bCs w:val="0"/>
          <w:color w:val="auto"/>
          <w:spacing w:val="0"/>
          <w:sz w:val="24"/>
          <w:szCs w:val="24"/>
          <w:highlight w:val="none"/>
          <w:lang w:val="en-US" w:eastAsia="zh-CN"/>
        </w:rPr>
        <w:t xml:space="preserve"> </w:t>
      </w:r>
      <w:r>
        <w:rPr>
          <w:rFonts w:hint="eastAsia" w:ascii="宋体" w:hAnsi="宋体" w:eastAsia="宋体" w:cs="宋体"/>
          <w:b w:val="0"/>
          <w:bCs w:val="0"/>
          <w:color w:val="auto"/>
          <w:spacing w:val="0"/>
          <w:sz w:val="24"/>
          <w:szCs w:val="24"/>
          <w:highlight w:val="none"/>
        </w:rPr>
        <w:t xml:space="preserve"> 日</w:t>
      </w:r>
    </w:p>
    <w:p w14:paraId="79084C07">
      <w:pPr>
        <w:rPr>
          <w:rFonts w:hint="eastAsia" w:ascii="宋体" w:hAnsi="宋体" w:eastAsia="宋体" w:cs="宋体"/>
          <w:b/>
          <w:bCs/>
          <w:color w:val="auto"/>
          <w:spacing w:val="0"/>
          <w:kern w:val="2"/>
          <w:sz w:val="24"/>
          <w:szCs w:val="24"/>
          <w:highlight w:val="none"/>
          <w:lang w:val="en-US" w:eastAsia="zh-CN" w:bidi="zh-CN"/>
        </w:rPr>
      </w:pPr>
      <w:r>
        <w:rPr>
          <w:rFonts w:hint="eastAsia" w:ascii="宋体" w:hAnsi="宋体" w:eastAsia="宋体" w:cs="宋体"/>
          <w:b/>
          <w:bCs/>
          <w:color w:val="auto"/>
          <w:spacing w:val="0"/>
          <w:kern w:val="2"/>
          <w:sz w:val="24"/>
          <w:szCs w:val="24"/>
          <w:highlight w:val="none"/>
          <w:lang w:val="en-US" w:eastAsia="zh-CN" w:bidi="zh-CN"/>
        </w:rPr>
        <w:br w:type="page"/>
      </w:r>
    </w:p>
    <w:p w14:paraId="5719DAA5">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十六、技术偏离表</w:t>
      </w:r>
    </w:p>
    <w:p w14:paraId="2A8C867B">
      <w:pPr>
        <w:spacing w:line="36" w:lineRule="exact"/>
        <w:rPr>
          <w:rFonts w:hint="eastAsia" w:ascii="宋体" w:hAnsi="宋体" w:eastAsia="宋体" w:cs="宋体"/>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02"/>
        <w:gridCol w:w="1505"/>
        <w:gridCol w:w="721"/>
        <w:gridCol w:w="1383"/>
        <w:gridCol w:w="2124"/>
        <w:gridCol w:w="1516"/>
        <w:gridCol w:w="923"/>
      </w:tblGrid>
      <w:tr w14:paraId="4324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97" w:type="pct"/>
            <w:tcBorders>
              <w:tl2br w:val="nil"/>
              <w:tr2bl w:val="nil"/>
            </w:tcBorders>
            <w:vAlign w:val="center"/>
          </w:tcPr>
          <w:p w14:paraId="06B6716C">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9" w:type="pct"/>
            <w:tcBorders>
              <w:tl2br w:val="nil"/>
              <w:tr2bl w:val="nil"/>
            </w:tcBorders>
            <w:vAlign w:val="center"/>
          </w:tcPr>
          <w:p w14:paraId="7770DFB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159" w:type="pct"/>
            <w:gridSpan w:val="2"/>
            <w:tcBorders>
              <w:tl2br w:val="nil"/>
              <w:tr2bl w:val="nil"/>
            </w:tcBorders>
            <w:vAlign w:val="center"/>
          </w:tcPr>
          <w:p w14:paraId="6D6A8E1B">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1170" w:type="pct"/>
            <w:tcBorders>
              <w:tl2br w:val="nil"/>
              <w:tr2bl w:val="nil"/>
            </w:tcBorders>
            <w:vAlign w:val="center"/>
          </w:tcPr>
          <w:p w14:paraId="1D473EB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响应内容</w:t>
            </w:r>
          </w:p>
        </w:tc>
        <w:tc>
          <w:tcPr>
            <w:tcW w:w="835" w:type="pct"/>
            <w:tcBorders>
              <w:tl2br w:val="nil"/>
              <w:tr2bl w:val="nil"/>
            </w:tcBorders>
            <w:vAlign w:val="center"/>
          </w:tcPr>
          <w:p w14:paraId="29DD01A6">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偏离程度</w:t>
            </w:r>
          </w:p>
        </w:tc>
        <w:tc>
          <w:tcPr>
            <w:tcW w:w="508" w:type="pct"/>
            <w:tcBorders>
              <w:tl2br w:val="nil"/>
              <w:tr2bl w:val="nil"/>
            </w:tcBorders>
            <w:vAlign w:val="center"/>
          </w:tcPr>
          <w:p w14:paraId="4DD559D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73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restart"/>
            <w:tcBorders>
              <w:tl2br w:val="nil"/>
              <w:tr2bl w:val="nil"/>
            </w:tcBorders>
            <w:vAlign w:val="center"/>
          </w:tcPr>
          <w:p w14:paraId="6153ECEB">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9" w:type="pct"/>
            <w:vMerge w:val="restart"/>
            <w:tcBorders>
              <w:tl2br w:val="nil"/>
              <w:tr2bl w:val="nil"/>
            </w:tcBorders>
            <w:vAlign w:val="center"/>
          </w:tcPr>
          <w:p w14:paraId="4EBDB649">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6FC915F0">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61" w:type="pct"/>
            <w:tcBorders>
              <w:tl2br w:val="nil"/>
              <w:tr2bl w:val="nil"/>
            </w:tcBorders>
            <w:vAlign w:val="center"/>
          </w:tcPr>
          <w:p w14:paraId="319C99B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70" w:type="pct"/>
            <w:tcBorders>
              <w:tl2br w:val="nil"/>
              <w:tr2bl w:val="nil"/>
            </w:tcBorders>
            <w:vAlign w:val="center"/>
          </w:tcPr>
          <w:p w14:paraId="2157450C">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5A276AAE">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5DC10FFC">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14:paraId="6B14B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continue"/>
            <w:tcBorders>
              <w:tl2br w:val="nil"/>
              <w:tr2bl w:val="nil"/>
            </w:tcBorders>
            <w:vAlign w:val="center"/>
          </w:tcPr>
          <w:p w14:paraId="0AED122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14:paraId="18FC4D4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408B937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14:paraId="40A1F43E">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70" w:type="pct"/>
            <w:tcBorders>
              <w:tl2br w:val="nil"/>
              <w:tr2bl w:val="nil"/>
            </w:tcBorders>
            <w:vAlign w:val="center"/>
          </w:tcPr>
          <w:p w14:paraId="5BC8005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381C5870">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5C414C49">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14:paraId="63B4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7" w:type="pct"/>
            <w:vMerge w:val="continue"/>
            <w:tcBorders>
              <w:tl2br w:val="nil"/>
              <w:tr2bl w:val="nil"/>
            </w:tcBorders>
            <w:vAlign w:val="center"/>
          </w:tcPr>
          <w:p w14:paraId="1D40FBD1">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14:paraId="43B5721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5A7F7B10">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14:paraId="3FF63E4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70" w:type="pct"/>
            <w:tcBorders>
              <w:tl2br w:val="nil"/>
              <w:tr2bl w:val="nil"/>
            </w:tcBorders>
            <w:vAlign w:val="center"/>
          </w:tcPr>
          <w:p w14:paraId="2F7F437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078639E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41E1EE28">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14:paraId="03556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7" w:type="pct"/>
            <w:vMerge w:val="restart"/>
            <w:tcBorders>
              <w:tl2br w:val="nil"/>
              <w:tr2bl w:val="nil"/>
            </w:tcBorders>
            <w:vAlign w:val="center"/>
          </w:tcPr>
          <w:p w14:paraId="1CBC7A8F">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9" w:type="pct"/>
            <w:vMerge w:val="restart"/>
            <w:tcBorders>
              <w:tl2br w:val="nil"/>
              <w:tr2bl w:val="nil"/>
            </w:tcBorders>
            <w:vAlign w:val="center"/>
          </w:tcPr>
          <w:p w14:paraId="21EB0337">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7D0CA734">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61" w:type="pct"/>
            <w:tcBorders>
              <w:tl2br w:val="nil"/>
              <w:tr2bl w:val="nil"/>
            </w:tcBorders>
            <w:vAlign w:val="center"/>
          </w:tcPr>
          <w:p w14:paraId="1581E77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170" w:type="pct"/>
            <w:tcBorders>
              <w:tl2br w:val="nil"/>
              <w:tr2bl w:val="nil"/>
            </w:tcBorders>
            <w:vAlign w:val="center"/>
          </w:tcPr>
          <w:p w14:paraId="4DC943E8">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5E63E6C1">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55EAD1ED">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14:paraId="4AD1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97" w:type="pct"/>
            <w:vMerge w:val="continue"/>
            <w:tcBorders>
              <w:tl2br w:val="nil"/>
              <w:tr2bl w:val="nil"/>
            </w:tcBorders>
            <w:vAlign w:val="center"/>
          </w:tcPr>
          <w:p w14:paraId="331B01DC">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14:paraId="631E651E">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4DACE63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14:paraId="3A49CAD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170" w:type="pct"/>
            <w:tcBorders>
              <w:tl2br w:val="nil"/>
              <w:tr2bl w:val="nil"/>
            </w:tcBorders>
            <w:vAlign w:val="center"/>
          </w:tcPr>
          <w:p w14:paraId="6172E15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0FF8FEE3">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5F11A8BA">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r w14:paraId="5FB81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97" w:type="pct"/>
            <w:vMerge w:val="continue"/>
            <w:tcBorders>
              <w:tl2br w:val="nil"/>
              <w:tr2bl w:val="nil"/>
            </w:tcBorders>
            <w:vAlign w:val="center"/>
          </w:tcPr>
          <w:p w14:paraId="6526B3B6">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29" w:type="pct"/>
            <w:vMerge w:val="continue"/>
            <w:tcBorders>
              <w:tl2br w:val="nil"/>
              <w:tr2bl w:val="nil"/>
            </w:tcBorders>
            <w:vAlign w:val="center"/>
          </w:tcPr>
          <w:p w14:paraId="58051BF7">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397" w:type="pct"/>
            <w:tcBorders>
              <w:tl2br w:val="nil"/>
              <w:tr2bl w:val="nil"/>
            </w:tcBorders>
            <w:vAlign w:val="center"/>
          </w:tcPr>
          <w:p w14:paraId="7F14AE8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761" w:type="pct"/>
            <w:tcBorders>
              <w:tl2br w:val="nil"/>
              <w:tr2bl w:val="nil"/>
            </w:tcBorders>
            <w:vAlign w:val="center"/>
          </w:tcPr>
          <w:p w14:paraId="657B4E05">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170" w:type="pct"/>
            <w:tcBorders>
              <w:tl2br w:val="nil"/>
              <w:tr2bl w:val="nil"/>
            </w:tcBorders>
            <w:vAlign w:val="center"/>
          </w:tcPr>
          <w:p w14:paraId="5C1D5C72">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835" w:type="pct"/>
            <w:tcBorders>
              <w:tl2br w:val="nil"/>
              <w:tr2bl w:val="nil"/>
            </w:tcBorders>
            <w:vAlign w:val="center"/>
          </w:tcPr>
          <w:p w14:paraId="65B9F9ED">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508" w:type="pct"/>
            <w:tcBorders>
              <w:tl2br w:val="nil"/>
              <w:tr2bl w:val="nil"/>
            </w:tcBorders>
            <w:vAlign w:val="center"/>
          </w:tcPr>
          <w:p w14:paraId="00932B7D">
            <w:pPr>
              <w:keepNext w:val="0"/>
              <w:keepLines w:val="0"/>
              <w:pageBreakBefore w:val="0"/>
              <w:widowControl w:val="0"/>
              <w:kinsoku/>
              <w:wordWrap w:val="0"/>
              <w:overflowPunct/>
              <w:topLinePunct/>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sz w:val="24"/>
                <w:szCs w:val="24"/>
                <w:highlight w:val="none"/>
              </w:rPr>
            </w:pPr>
          </w:p>
        </w:tc>
      </w:tr>
    </w:tbl>
    <w:p w14:paraId="0CCF2A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456D33F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技术要求”栏应详细列明</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中的技术要求。</w:t>
      </w:r>
    </w:p>
    <w:p w14:paraId="2CF50D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响应内容”栏填写</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对</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提出的技术要求作出的明确响应，并列明具体响应数值或内容，只注明符合、满足等无具体内容表述的，将视为未实质性满足</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w:t>
      </w:r>
    </w:p>
    <w:p w14:paraId="153272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偏离程度”栏填写满足、响应或正偏离、负偏离。</w:t>
      </w:r>
    </w:p>
    <w:p w14:paraId="3C8292E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4.备注”栏可填写偏离情况的具体说明。</w:t>
      </w:r>
    </w:p>
    <w:p w14:paraId="0FDDE2B8">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67A7B94B">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以下格式文件由</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根据需要选用</w:t>
      </w:r>
      <w:r>
        <w:rPr>
          <w:rFonts w:hint="eastAsia" w:ascii="宋体" w:hAnsi="宋体" w:eastAsia="宋体" w:cs="宋体"/>
          <w:color w:val="auto"/>
          <w:spacing w:val="0"/>
          <w:sz w:val="24"/>
          <w:szCs w:val="24"/>
          <w:highlight w:val="none"/>
          <w:lang w:eastAsia="zh-CN"/>
        </w:rPr>
        <w:t>）</w:t>
      </w:r>
    </w:p>
    <w:p w14:paraId="0067BCD5">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十七、项目组成人员一览表</w:t>
      </w:r>
    </w:p>
    <w:tbl>
      <w:tblPr>
        <w:tblStyle w:val="33"/>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783"/>
        <w:gridCol w:w="2066"/>
        <w:gridCol w:w="783"/>
        <w:gridCol w:w="2065"/>
        <w:gridCol w:w="1301"/>
        <w:gridCol w:w="1306"/>
      </w:tblGrid>
      <w:tr w14:paraId="00C9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7" w:type="pct"/>
            <w:tcBorders>
              <w:tl2br w:val="nil"/>
              <w:tr2bl w:val="nil"/>
            </w:tcBorders>
            <w:vAlign w:val="center"/>
          </w:tcPr>
          <w:p w14:paraId="1AB213AF">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31" w:type="pct"/>
            <w:tcBorders>
              <w:tl2br w:val="nil"/>
              <w:tr2bl w:val="nil"/>
            </w:tcBorders>
            <w:vAlign w:val="center"/>
          </w:tcPr>
          <w:p w14:paraId="0D70087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137" w:type="pct"/>
            <w:tcBorders>
              <w:tl2br w:val="nil"/>
              <w:tr2bl w:val="nil"/>
            </w:tcBorders>
            <w:vAlign w:val="center"/>
          </w:tcPr>
          <w:p w14:paraId="4F8DEEA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本项目拟任职务</w:t>
            </w:r>
          </w:p>
        </w:tc>
        <w:tc>
          <w:tcPr>
            <w:tcW w:w="431" w:type="pct"/>
            <w:tcBorders>
              <w:tl2br w:val="nil"/>
              <w:tr2bl w:val="nil"/>
            </w:tcBorders>
            <w:vAlign w:val="center"/>
          </w:tcPr>
          <w:p w14:paraId="7E295E09">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1136" w:type="pct"/>
            <w:tcBorders>
              <w:tl2br w:val="nil"/>
              <w:tr2bl w:val="nil"/>
            </w:tcBorders>
            <w:vAlign w:val="center"/>
          </w:tcPr>
          <w:p w14:paraId="09E881C9">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职称或执业资格</w:t>
            </w:r>
          </w:p>
        </w:tc>
        <w:tc>
          <w:tcPr>
            <w:tcW w:w="716" w:type="pct"/>
            <w:tcBorders>
              <w:tl2br w:val="nil"/>
              <w:tr2bl w:val="nil"/>
            </w:tcBorders>
            <w:vAlign w:val="center"/>
          </w:tcPr>
          <w:p w14:paraId="403B83AA">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tc>
        <w:tc>
          <w:tcPr>
            <w:tcW w:w="718" w:type="pct"/>
            <w:tcBorders>
              <w:tl2br w:val="nil"/>
              <w:tr2bl w:val="nil"/>
            </w:tcBorders>
            <w:vAlign w:val="center"/>
          </w:tcPr>
          <w:p w14:paraId="56998ABF">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0FA38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14:paraId="32F9DB33">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31" w:type="pct"/>
            <w:tcBorders>
              <w:tl2br w:val="nil"/>
              <w:tr2bl w:val="nil"/>
            </w:tcBorders>
            <w:vAlign w:val="center"/>
          </w:tcPr>
          <w:p w14:paraId="06711318">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14:paraId="786C8B72">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14:paraId="413E676C">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14:paraId="46B0F5A6">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14:paraId="4131E7FA">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14:paraId="2803C75F">
            <w:pPr>
              <w:bidi w:val="0"/>
              <w:spacing w:line="360" w:lineRule="auto"/>
              <w:jc w:val="center"/>
              <w:rPr>
                <w:rFonts w:hint="eastAsia" w:ascii="宋体" w:hAnsi="宋体" w:eastAsia="宋体" w:cs="宋体"/>
                <w:sz w:val="24"/>
                <w:szCs w:val="24"/>
                <w:highlight w:val="none"/>
              </w:rPr>
            </w:pPr>
          </w:p>
        </w:tc>
      </w:tr>
      <w:tr w14:paraId="5951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14:paraId="61239AD4">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31" w:type="pct"/>
            <w:tcBorders>
              <w:tl2br w:val="nil"/>
              <w:tr2bl w:val="nil"/>
            </w:tcBorders>
            <w:vAlign w:val="center"/>
          </w:tcPr>
          <w:p w14:paraId="5D4C1F73">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14:paraId="1C4CCC79">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14:paraId="751D61E3">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14:paraId="54D2B736">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14:paraId="00ABA4EE">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14:paraId="1C087FD3">
            <w:pPr>
              <w:bidi w:val="0"/>
              <w:spacing w:line="360" w:lineRule="auto"/>
              <w:jc w:val="center"/>
              <w:rPr>
                <w:rFonts w:hint="eastAsia" w:ascii="宋体" w:hAnsi="宋体" w:eastAsia="宋体" w:cs="宋体"/>
                <w:sz w:val="24"/>
                <w:szCs w:val="24"/>
                <w:highlight w:val="none"/>
              </w:rPr>
            </w:pPr>
          </w:p>
        </w:tc>
      </w:tr>
      <w:tr w14:paraId="4FFB8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27" w:type="pct"/>
            <w:tcBorders>
              <w:tl2br w:val="nil"/>
              <w:tr2bl w:val="nil"/>
            </w:tcBorders>
            <w:vAlign w:val="center"/>
          </w:tcPr>
          <w:p w14:paraId="23DB30E3">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31" w:type="pct"/>
            <w:tcBorders>
              <w:tl2br w:val="nil"/>
              <w:tr2bl w:val="nil"/>
            </w:tcBorders>
            <w:vAlign w:val="center"/>
          </w:tcPr>
          <w:p w14:paraId="0B93019E">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14:paraId="160DA2C6">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14:paraId="69105CEB">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14:paraId="50A3C13B">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14:paraId="1456589C">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14:paraId="57BB5086">
            <w:pPr>
              <w:bidi w:val="0"/>
              <w:spacing w:line="360" w:lineRule="auto"/>
              <w:jc w:val="center"/>
              <w:rPr>
                <w:rFonts w:hint="eastAsia" w:ascii="宋体" w:hAnsi="宋体" w:eastAsia="宋体" w:cs="宋体"/>
                <w:sz w:val="24"/>
                <w:szCs w:val="24"/>
                <w:highlight w:val="none"/>
              </w:rPr>
            </w:pPr>
          </w:p>
        </w:tc>
      </w:tr>
      <w:tr w14:paraId="5DA7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7" w:type="pct"/>
            <w:tcBorders>
              <w:tl2br w:val="nil"/>
              <w:tr2bl w:val="nil"/>
            </w:tcBorders>
            <w:vAlign w:val="center"/>
          </w:tcPr>
          <w:p w14:paraId="002D2E56">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431" w:type="pct"/>
            <w:tcBorders>
              <w:tl2br w:val="nil"/>
              <w:tr2bl w:val="nil"/>
            </w:tcBorders>
            <w:vAlign w:val="center"/>
          </w:tcPr>
          <w:p w14:paraId="233BC70D">
            <w:pPr>
              <w:bidi w:val="0"/>
              <w:spacing w:line="360" w:lineRule="auto"/>
              <w:jc w:val="center"/>
              <w:rPr>
                <w:rFonts w:hint="eastAsia" w:ascii="宋体" w:hAnsi="宋体" w:eastAsia="宋体" w:cs="宋体"/>
                <w:sz w:val="24"/>
                <w:szCs w:val="24"/>
                <w:highlight w:val="none"/>
              </w:rPr>
            </w:pPr>
          </w:p>
        </w:tc>
        <w:tc>
          <w:tcPr>
            <w:tcW w:w="1137" w:type="pct"/>
            <w:tcBorders>
              <w:tl2br w:val="nil"/>
              <w:tr2bl w:val="nil"/>
            </w:tcBorders>
            <w:vAlign w:val="center"/>
          </w:tcPr>
          <w:p w14:paraId="47F0C10B">
            <w:pPr>
              <w:bidi w:val="0"/>
              <w:spacing w:line="360" w:lineRule="auto"/>
              <w:jc w:val="center"/>
              <w:rPr>
                <w:rFonts w:hint="eastAsia" w:ascii="宋体" w:hAnsi="宋体" w:eastAsia="宋体" w:cs="宋体"/>
                <w:sz w:val="24"/>
                <w:szCs w:val="24"/>
                <w:highlight w:val="none"/>
              </w:rPr>
            </w:pPr>
          </w:p>
        </w:tc>
        <w:tc>
          <w:tcPr>
            <w:tcW w:w="431" w:type="pct"/>
            <w:tcBorders>
              <w:tl2br w:val="nil"/>
              <w:tr2bl w:val="nil"/>
            </w:tcBorders>
            <w:vAlign w:val="center"/>
          </w:tcPr>
          <w:p w14:paraId="69F6D90D">
            <w:pPr>
              <w:bidi w:val="0"/>
              <w:spacing w:line="360" w:lineRule="auto"/>
              <w:jc w:val="center"/>
              <w:rPr>
                <w:rFonts w:hint="eastAsia" w:ascii="宋体" w:hAnsi="宋体" w:eastAsia="宋体" w:cs="宋体"/>
                <w:sz w:val="24"/>
                <w:szCs w:val="24"/>
                <w:highlight w:val="none"/>
              </w:rPr>
            </w:pPr>
          </w:p>
        </w:tc>
        <w:tc>
          <w:tcPr>
            <w:tcW w:w="1136" w:type="pct"/>
            <w:tcBorders>
              <w:tl2br w:val="nil"/>
              <w:tr2bl w:val="nil"/>
            </w:tcBorders>
            <w:vAlign w:val="center"/>
          </w:tcPr>
          <w:p w14:paraId="73E6870D">
            <w:pPr>
              <w:bidi w:val="0"/>
              <w:spacing w:line="360" w:lineRule="auto"/>
              <w:jc w:val="center"/>
              <w:rPr>
                <w:rFonts w:hint="eastAsia" w:ascii="宋体" w:hAnsi="宋体" w:eastAsia="宋体" w:cs="宋体"/>
                <w:sz w:val="24"/>
                <w:szCs w:val="24"/>
                <w:highlight w:val="none"/>
              </w:rPr>
            </w:pPr>
          </w:p>
        </w:tc>
        <w:tc>
          <w:tcPr>
            <w:tcW w:w="716" w:type="pct"/>
            <w:tcBorders>
              <w:tl2br w:val="nil"/>
              <w:tr2bl w:val="nil"/>
            </w:tcBorders>
            <w:vAlign w:val="center"/>
          </w:tcPr>
          <w:p w14:paraId="7653D32E">
            <w:pPr>
              <w:bidi w:val="0"/>
              <w:spacing w:line="360" w:lineRule="auto"/>
              <w:jc w:val="center"/>
              <w:rPr>
                <w:rFonts w:hint="eastAsia" w:ascii="宋体" w:hAnsi="宋体" w:eastAsia="宋体" w:cs="宋体"/>
                <w:sz w:val="24"/>
                <w:szCs w:val="24"/>
                <w:highlight w:val="none"/>
              </w:rPr>
            </w:pPr>
          </w:p>
        </w:tc>
        <w:tc>
          <w:tcPr>
            <w:tcW w:w="718" w:type="pct"/>
            <w:tcBorders>
              <w:tl2br w:val="nil"/>
              <w:tr2bl w:val="nil"/>
            </w:tcBorders>
            <w:vAlign w:val="center"/>
          </w:tcPr>
          <w:p w14:paraId="503A86DD">
            <w:pPr>
              <w:bidi w:val="0"/>
              <w:spacing w:line="360" w:lineRule="auto"/>
              <w:jc w:val="center"/>
              <w:rPr>
                <w:rFonts w:hint="eastAsia" w:ascii="宋体" w:hAnsi="宋体" w:eastAsia="宋体" w:cs="宋体"/>
                <w:sz w:val="24"/>
                <w:szCs w:val="24"/>
                <w:highlight w:val="none"/>
              </w:rPr>
            </w:pPr>
          </w:p>
        </w:tc>
      </w:tr>
    </w:tbl>
    <w:p w14:paraId="470BD8A3">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按</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要求在本表后附相关人员证书。</w:t>
      </w:r>
    </w:p>
    <w:p w14:paraId="6586227B">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078B0191">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1.本项目拟任职务”栏应包括：项目负责人、项目联系人、项目服务人员或技术人员等。</w:t>
      </w:r>
    </w:p>
    <w:p w14:paraId="573BE66A">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2.如</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中标，须按本表项目组成人员操作，不得随意更换。</w:t>
      </w:r>
    </w:p>
    <w:p w14:paraId="54485014">
      <w:pPr>
        <w:rPr>
          <w:rFonts w:hint="eastAsia" w:ascii="宋体" w:hAnsi="宋体" w:eastAsia="宋体" w:cs="宋体"/>
          <w:spacing w:val="17"/>
          <w:sz w:val="21"/>
          <w:szCs w:val="21"/>
          <w:highlight w:val="none"/>
        </w:rPr>
      </w:pPr>
      <w:r>
        <w:rPr>
          <w:rFonts w:hint="eastAsia" w:ascii="宋体" w:hAnsi="宋体" w:eastAsia="宋体" w:cs="宋体"/>
          <w:spacing w:val="17"/>
          <w:sz w:val="21"/>
          <w:szCs w:val="21"/>
          <w:highlight w:val="none"/>
        </w:rPr>
        <w:br w:type="page"/>
      </w:r>
    </w:p>
    <w:p w14:paraId="00F92FFC">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十八、项目实施方案、质量保证及售后服务承诺等</w:t>
      </w:r>
    </w:p>
    <w:p w14:paraId="18190636">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内容和格式自拟</w:t>
      </w:r>
      <w:r>
        <w:rPr>
          <w:rFonts w:hint="eastAsia" w:ascii="宋体" w:hAnsi="宋体" w:eastAsia="宋体" w:cs="宋体"/>
          <w:color w:val="auto"/>
          <w:spacing w:val="0"/>
          <w:sz w:val="24"/>
          <w:szCs w:val="24"/>
          <w:highlight w:val="none"/>
          <w:lang w:eastAsia="zh-CN"/>
        </w:rPr>
        <w:t>）</w:t>
      </w:r>
    </w:p>
    <w:p w14:paraId="18CDC55C">
      <w:pPr>
        <w:rPr>
          <w:rFonts w:hint="eastAsia" w:ascii="宋体" w:hAnsi="宋体" w:eastAsia="宋体" w:cs="宋体"/>
          <w:spacing w:val="23"/>
          <w:sz w:val="21"/>
          <w:szCs w:val="21"/>
          <w:highlight w:val="none"/>
        </w:rPr>
      </w:pPr>
      <w:r>
        <w:rPr>
          <w:rFonts w:hint="eastAsia" w:ascii="宋体" w:hAnsi="宋体" w:eastAsia="宋体" w:cs="宋体"/>
          <w:spacing w:val="23"/>
          <w:sz w:val="21"/>
          <w:szCs w:val="21"/>
          <w:highlight w:val="none"/>
        </w:rPr>
        <w:br w:type="page"/>
      </w:r>
    </w:p>
    <w:p w14:paraId="23192FBB">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zh-CN" w:eastAsia="zh-CN" w:bidi="zh-CN"/>
        </w:rPr>
      </w:pPr>
      <w:r>
        <w:rPr>
          <w:rFonts w:hint="eastAsia" w:ascii="宋体" w:hAnsi="宋体" w:eastAsia="宋体" w:cs="宋体"/>
          <w:b/>
          <w:bCs/>
          <w:kern w:val="2"/>
          <w:sz w:val="32"/>
          <w:szCs w:val="32"/>
          <w:highlight w:val="none"/>
          <w:lang w:val="zh-CN" w:eastAsia="zh-CN" w:bidi="zh-CN"/>
        </w:rPr>
        <w:t>十</w:t>
      </w:r>
      <w:r>
        <w:rPr>
          <w:rFonts w:hint="eastAsia" w:ascii="宋体" w:hAnsi="宋体" w:eastAsia="宋体" w:cs="宋体"/>
          <w:b/>
          <w:bCs/>
          <w:kern w:val="2"/>
          <w:sz w:val="32"/>
          <w:szCs w:val="32"/>
          <w:highlight w:val="none"/>
          <w:lang w:val="en-US" w:eastAsia="zh-CN" w:bidi="zh-CN"/>
        </w:rPr>
        <w:t>九</w:t>
      </w:r>
      <w:r>
        <w:rPr>
          <w:rFonts w:hint="eastAsia" w:ascii="宋体" w:hAnsi="宋体" w:eastAsia="宋体" w:cs="宋体"/>
          <w:b/>
          <w:bCs/>
          <w:kern w:val="2"/>
          <w:sz w:val="32"/>
          <w:szCs w:val="32"/>
          <w:highlight w:val="none"/>
          <w:lang w:val="zh-CN" w:eastAsia="zh-CN" w:bidi="zh-CN"/>
        </w:rPr>
        <w:t>、供应商业绩情况表</w:t>
      </w:r>
    </w:p>
    <w:p w14:paraId="14F2E773">
      <w:pPr>
        <w:spacing w:line="36" w:lineRule="exact"/>
        <w:rPr>
          <w:rFonts w:hint="eastAsia" w:ascii="宋体" w:hAnsi="宋体" w:eastAsia="宋体" w:cs="宋体"/>
          <w:highlight w:val="none"/>
        </w:rPr>
      </w:pPr>
    </w:p>
    <w:tbl>
      <w:tblPr>
        <w:tblStyle w:val="3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9"/>
        <w:gridCol w:w="1970"/>
        <w:gridCol w:w="1970"/>
        <w:gridCol w:w="1970"/>
        <w:gridCol w:w="1975"/>
      </w:tblGrid>
      <w:tr w14:paraId="14C5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55" w:type="pct"/>
            <w:tcBorders>
              <w:tl2br w:val="nil"/>
              <w:tr2bl w:val="nil"/>
            </w:tcBorders>
            <w:vAlign w:val="center"/>
          </w:tcPr>
          <w:p w14:paraId="3015D1B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85" w:type="pct"/>
            <w:tcBorders>
              <w:tl2br w:val="nil"/>
              <w:tr2bl w:val="nil"/>
            </w:tcBorders>
            <w:vAlign w:val="center"/>
          </w:tcPr>
          <w:p w14:paraId="17D80A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使用单位</w:t>
            </w:r>
          </w:p>
        </w:tc>
        <w:tc>
          <w:tcPr>
            <w:tcW w:w="1085" w:type="pct"/>
            <w:tcBorders>
              <w:tl2br w:val="nil"/>
              <w:tr2bl w:val="nil"/>
            </w:tcBorders>
            <w:vAlign w:val="center"/>
          </w:tcPr>
          <w:p w14:paraId="4951B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业绩名称</w:t>
            </w:r>
          </w:p>
        </w:tc>
        <w:tc>
          <w:tcPr>
            <w:tcW w:w="1085" w:type="pct"/>
            <w:tcBorders>
              <w:tl2br w:val="nil"/>
              <w:tr2bl w:val="nil"/>
            </w:tcBorders>
            <w:vAlign w:val="center"/>
          </w:tcPr>
          <w:p w14:paraId="54186A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w:t>
            </w:r>
          </w:p>
        </w:tc>
        <w:tc>
          <w:tcPr>
            <w:tcW w:w="1087" w:type="pct"/>
            <w:tcBorders>
              <w:tl2br w:val="nil"/>
              <w:tr2bl w:val="nil"/>
            </w:tcBorders>
            <w:vAlign w:val="center"/>
          </w:tcPr>
          <w:p w14:paraId="412966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r>
      <w:tr w14:paraId="4111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14:paraId="4A7E99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85" w:type="pct"/>
            <w:tcBorders>
              <w:tl2br w:val="nil"/>
              <w:tr2bl w:val="nil"/>
            </w:tcBorders>
            <w:vAlign w:val="center"/>
          </w:tcPr>
          <w:p w14:paraId="5768CF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2DF30F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54B687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14:paraId="1BCD07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14:paraId="39173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14:paraId="7F7358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85" w:type="pct"/>
            <w:tcBorders>
              <w:tl2br w:val="nil"/>
              <w:tr2bl w:val="nil"/>
            </w:tcBorders>
            <w:vAlign w:val="center"/>
          </w:tcPr>
          <w:p w14:paraId="64CFFE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5441D3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508077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14:paraId="72D0B2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14:paraId="5CA28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55" w:type="pct"/>
            <w:tcBorders>
              <w:tl2br w:val="nil"/>
              <w:tr2bl w:val="nil"/>
            </w:tcBorders>
            <w:vAlign w:val="center"/>
          </w:tcPr>
          <w:p w14:paraId="0DB76A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85" w:type="pct"/>
            <w:tcBorders>
              <w:tl2br w:val="nil"/>
              <w:tr2bl w:val="nil"/>
            </w:tcBorders>
            <w:vAlign w:val="center"/>
          </w:tcPr>
          <w:p w14:paraId="48A826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7D3353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0801B6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14:paraId="077C82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14:paraId="13CAA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55" w:type="pct"/>
            <w:tcBorders>
              <w:tl2br w:val="nil"/>
              <w:tr2bl w:val="nil"/>
            </w:tcBorders>
            <w:vAlign w:val="center"/>
          </w:tcPr>
          <w:p w14:paraId="38665F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85" w:type="pct"/>
            <w:tcBorders>
              <w:tl2br w:val="nil"/>
              <w:tr2bl w:val="nil"/>
            </w:tcBorders>
            <w:vAlign w:val="center"/>
          </w:tcPr>
          <w:p w14:paraId="6259E4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18F07A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5B4B7A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14:paraId="03BFEB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r w14:paraId="070F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55" w:type="pct"/>
            <w:tcBorders>
              <w:tl2br w:val="nil"/>
              <w:tr2bl w:val="nil"/>
            </w:tcBorders>
            <w:vAlign w:val="center"/>
          </w:tcPr>
          <w:p w14:paraId="176B20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085" w:type="pct"/>
            <w:tcBorders>
              <w:tl2br w:val="nil"/>
              <w:tr2bl w:val="nil"/>
            </w:tcBorders>
            <w:vAlign w:val="center"/>
          </w:tcPr>
          <w:p w14:paraId="36C625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79C8C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5" w:type="pct"/>
            <w:tcBorders>
              <w:tl2br w:val="nil"/>
              <w:tr2bl w:val="nil"/>
            </w:tcBorders>
            <w:vAlign w:val="center"/>
          </w:tcPr>
          <w:p w14:paraId="66BED2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c>
          <w:tcPr>
            <w:tcW w:w="1087" w:type="pct"/>
            <w:tcBorders>
              <w:tl2br w:val="nil"/>
              <w:tr2bl w:val="nil"/>
            </w:tcBorders>
            <w:vAlign w:val="center"/>
          </w:tcPr>
          <w:p w14:paraId="2020E1D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highlight w:val="none"/>
              </w:rPr>
            </w:pPr>
          </w:p>
        </w:tc>
      </w:tr>
    </w:tbl>
    <w:p w14:paraId="2CDD5D9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根据上述业绩情况后附销售或服务合同复印件。</w:t>
      </w:r>
    </w:p>
    <w:p w14:paraId="46F38C0E">
      <w:pPr>
        <w:rPr>
          <w:rFonts w:hint="eastAsia" w:ascii="宋体" w:hAnsi="宋体" w:eastAsia="宋体" w:cs="宋体"/>
          <w:spacing w:val="20"/>
          <w:sz w:val="21"/>
          <w:szCs w:val="21"/>
          <w:highlight w:val="none"/>
        </w:rPr>
      </w:pPr>
      <w:r>
        <w:rPr>
          <w:rFonts w:hint="eastAsia" w:ascii="宋体" w:hAnsi="宋体" w:eastAsia="宋体" w:cs="宋体"/>
          <w:spacing w:val="20"/>
          <w:sz w:val="21"/>
          <w:szCs w:val="21"/>
          <w:highlight w:val="none"/>
        </w:rPr>
        <w:br w:type="page"/>
      </w:r>
    </w:p>
    <w:p w14:paraId="20CE829F">
      <w:pPr>
        <w:keepNext w:val="0"/>
        <w:keepLines w:val="0"/>
        <w:pageBreakBefore w:val="0"/>
        <w:widowControl w:val="0"/>
        <w:kinsoku/>
        <w:wordWrap/>
        <w:overflowPunct/>
        <w:topLinePunct w:val="0"/>
        <w:autoSpaceDE/>
        <w:autoSpaceDN/>
        <w:bidi w:val="0"/>
        <w:adjustRightInd/>
        <w:snapToGrid/>
        <w:spacing w:before="0"/>
        <w:ind w:left="0" w:right="0"/>
        <w:jc w:val="center"/>
        <w:textAlignment w:val="auto"/>
        <w:outlineLvl w:val="2"/>
        <w:rPr>
          <w:rFonts w:hint="eastAsia" w:ascii="宋体" w:hAnsi="宋体" w:eastAsia="宋体" w:cs="宋体"/>
          <w:b/>
          <w:bCs/>
          <w:kern w:val="2"/>
          <w:sz w:val="32"/>
          <w:szCs w:val="32"/>
          <w:highlight w:val="none"/>
          <w:lang w:val="en-US" w:eastAsia="zh-CN" w:bidi="zh-CN"/>
        </w:rPr>
      </w:pPr>
      <w:r>
        <w:rPr>
          <w:rFonts w:hint="eastAsia" w:ascii="宋体" w:hAnsi="宋体" w:eastAsia="宋体" w:cs="宋体"/>
          <w:b/>
          <w:bCs/>
          <w:kern w:val="2"/>
          <w:sz w:val="32"/>
          <w:szCs w:val="32"/>
          <w:highlight w:val="none"/>
          <w:lang w:val="en-US" w:eastAsia="zh-CN" w:bidi="zh-CN"/>
        </w:rPr>
        <w:t>二十、各类证明材料</w:t>
      </w:r>
    </w:p>
    <w:p w14:paraId="7CC01624">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磋商文件</w:t>
      </w:r>
      <w:r>
        <w:rPr>
          <w:rFonts w:hint="eastAsia" w:ascii="宋体" w:hAnsi="宋体" w:eastAsia="宋体" w:cs="宋体"/>
          <w:color w:val="auto"/>
          <w:spacing w:val="0"/>
          <w:sz w:val="24"/>
          <w:szCs w:val="24"/>
          <w:highlight w:val="none"/>
        </w:rPr>
        <w:t>要求提供的其他资料。</w:t>
      </w:r>
    </w:p>
    <w:p w14:paraId="3B001846">
      <w:pPr>
        <w:keepNext w:val="0"/>
        <w:keepLines w:val="0"/>
        <w:pageBreakBefore w:val="0"/>
        <w:widowControl w:val="0"/>
        <w:kinsoku w:val="0"/>
        <w:wordWrap/>
        <w:overflowPunct w:val="0"/>
        <w:topLinePunct w:val="0"/>
        <w:autoSpaceDE w:val="0"/>
        <w:autoSpaceDN w:val="0"/>
        <w:bidi w:val="0"/>
        <w:adjustRightInd/>
        <w:snapToGrid w:val="0"/>
        <w:spacing w:before="32" w:line="520" w:lineRule="exact"/>
        <w:textAlignment w:val="auto"/>
        <w:outlineLvl w:val="9"/>
        <w:rPr>
          <w:rFonts w:hint="eastAsia" w:ascii="宋体" w:hAnsi="宋体" w:eastAsia="宋体" w:cs="宋体"/>
          <w:color w:val="auto"/>
          <w:spacing w:val="0"/>
        </w:rPr>
      </w:pP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供应商</w:t>
      </w:r>
      <w:r>
        <w:rPr>
          <w:rFonts w:hint="eastAsia" w:ascii="宋体" w:hAnsi="宋体" w:eastAsia="宋体" w:cs="宋体"/>
          <w:color w:val="auto"/>
          <w:spacing w:val="0"/>
          <w:sz w:val="24"/>
          <w:szCs w:val="24"/>
          <w:highlight w:val="none"/>
        </w:rPr>
        <w:t>认为需提供的其他资料。</w:t>
      </w:r>
    </w:p>
    <w:p w14:paraId="6CE3E173">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256EA1D9">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144EF844">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604D4B71">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62E3799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6B43AC44">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45E9014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663C185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7A99B24B">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15FCB03B">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44929D4E">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4FB6C7D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4FA5138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19172D67">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5371842D">
      <w:pPr>
        <w:pStyle w:val="12"/>
        <w:keepNext w:val="0"/>
        <w:keepLines w:val="0"/>
        <w:pageBreakBefore w:val="0"/>
        <w:widowControl w:val="0"/>
        <w:kinsoku w:val="0"/>
        <w:wordWrap/>
        <w:overflowPunct w:val="0"/>
        <w:topLinePunct w:val="0"/>
        <w:autoSpaceDE w:val="0"/>
        <w:autoSpaceDN w:val="0"/>
        <w:bidi w:val="0"/>
        <w:ind w:left="0" w:leftChars="0" w:right="0"/>
        <w:textAlignment w:val="auto"/>
        <w:rPr>
          <w:rFonts w:hint="eastAsia" w:ascii="宋体" w:hAnsi="宋体" w:eastAsia="宋体" w:cs="宋体"/>
          <w:color w:val="auto"/>
          <w:spacing w:val="0"/>
          <w:highlight w:val="none"/>
          <w:lang w:val="zh-CN" w:eastAsia="zh-CN"/>
        </w:rPr>
      </w:pPr>
    </w:p>
    <w:p w14:paraId="181577F5">
      <w:pPr>
        <w:keepNext w:val="0"/>
        <w:keepLines w:val="0"/>
        <w:pageBreakBefore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pacing w:val="0"/>
          <w:highlight w:val="none"/>
        </w:rPr>
      </w:pPr>
    </w:p>
    <w:sectPr>
      <w:footerReference r:id="rId4" w:type="default"/>
      <w:pgSz w:w="11906" w:h="16838"/>
      <w:pgMar w:top="1417" w:right="1417" w:bottom="1417" w:left="1417"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E29A7">
    <w:pPr>
      <w:pStyle w:val="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3582F">
    <w:pPr>
      <w:widowControl w:val="0"/>
      <w:autoSpaceDE w:val="0"/>
      <w:autoSpaceDN w:val="0"/>
      <w:spacing w:before="0" w:after="0" w:line="14" w:lineRule="auto"/>
      <w:ind w:left="0" w:right="0"/>
      <w:jc w:val="left"/>
      <w:rPr>
        <w:rFonts w:ascii="宋体" w:hAnsi="宋体" w:eastAsia="宋体" w:cs="宋体"/>
        <w:sz w:val="20"/>
        <w:szCs w:val="28"/>
        <w:lang w:val="zh-CN" w:eastAsia="zh-CN" w:bidi="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4B2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94B2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RhODEwZTgyNGE4MTdiN2JhNGViMWMyZmNjM2MifQ=="/>
  </w:docVars>
  <w:rsids>
    <w:rsidRoot w:val="29C14485"/>
    <w:rsid w:val="0046375D"/>
    <w:rsid w:val="004A009A"/>
    <w:rsid w:val="006D4F79"/>
    <w:rsid w:val="007F0A1D"/>
    <w:rsid w:val="008F6857"/>
    <w:rsid w:val="00A77503"/>
    <w:rsid w:val="00CA20D5"/>
    <w:rsid w:val="00D20B4D"/>
    <w:rsid w:val="00D3708C"/>
    <w:rsid w:val="00DC5E6F"/>
    <w:rsid w:val="00E30FAC"/>
    <w:rsid w:val="00E371FE"/>
    <w:rsid w:val="010F7FF3"/>
    <w:rsid w:val="01A26920"/>
    <w:rsid w:val="01B666C0"/>
    <w:rsid w:val="01CD5E3E"/>
    <w:rsid w:val="01D6466C"/>
    <w:rsid w:val="01FD1F0E"/>
    <w:rsid w:val="02013704"/>
    <w:rsid w:val="0227311A"/>
    <w:rsid w:val="025F0B06"/>
    <w:rsid w:val="02614C1D"/>
    <w:rsid w:val="028916DF"/>
    <w:rsid w:val="02EB05EB"/>
    <w:rsid w:val="038D4985"/>
    <w:rsid w:val="038F0977"/>
    <w:rsid w:val="03990047"/>
    <w:rsid w:val="039A7B48"/>
    <w:rsid w:val="03B9335E"/>
    <w:rsid w:val="03CF75C5"/>
    <w:rsid w:val="03EA090B"/>
    <w:rsid w:val="040358A0"/>
    <w:rsid w:val="04245B63"/>
    <w:rsid w:val="042A0ED2"/>
    <w:rsid w:val="042F3F7D"/>
    <w:rsid w:val="044E498E"/>
    <w:rsid w:val="04912DFD"/>
    <w:rsid w:val="04956A61"/>
    <w:rsid w:val="04F903A4"/>
    <w:rsid w:val="050369E9"/>
    <w:rsid w:val="05080FE1"/>
    <w:rsid w:val="051A0D14"/>
    <w:rsid w:val="052720EE"/>
    <w:rsid w:val="05446D9B"/>
    <w:rsid w:val="0547458D"/>
    <w:rsid w:val="05581271"/>
    <w:rsid w:val="05793F07"/>
    <w:rsid w:val="05BF2781"/>
    <w:rsid w:val="05C054C9"/>
    <w:rsid w:val="05E03D0C"/>
    <w:rsid w:val="05E355AA"/>
    <w:rsid w:val="06193156"/>
    <w:rsid w:val="0621779F"/>
    <w:rsid w:val="062D67B7"/>
    <w:rsid w:val="06336E15"/>
    <w:rsid w:val="06792CF4"/>
    <w:rsid w:val="06940F6E"/>
    <w:rsid w:val="06A91D04"/>
    <w:rsid w:val="06B14283"/>
    <w:rsid w:val="06D53CC1"/>
    <w:rsid w:val="06DC2725"/>
    <w:rsid w:val="06E5247B"/>
    <w:rsid w:val="07047ECE"/>
    <w:rsid w:val="0706742D"/>
    <w:rsid w:val="071874D5"/>
    <w:rsid w:val="0724643B"/>
    <w:rsid w:val="07267E44"/>
    <w:rsid w:val="072E6CF9"/>
    <w:rsid w:val="073562D9"/>
    <w:rsid w:val="074E7D0A"/>
    <w:rsid w:val="0789466C"/>
    <w:rsid w:val="07957ADC"/>
    <w:rsid w:val="07A64AE1"/>
    <w:rsid w:val="07BC47EC"/>
    <w:rsid w:val="07DA6895"/>
    <w:rsid w:val="07EC3F0B"/>
    <w:rsid w:val="0808084B"/>
    <w:rsid w:val="081F3AE6"/>
    <w:rsid w:val="08597DA5"/>
    <w:rsid w:val="086F1377"/>
    <w:rsid w:val="08844E22"/>
    <w:rsid w:val="089E50F5"/>
    <w:rsid w:val="08A47272"/>
    <w:rsid w:val="08A644FD"/>
    <w:rsid w:val="08B60BC5"/>
    <w:rsid w:val="08C07E24"/>
    <w:rsid w:val="08DA08BA"/>
    <w:rsid w:val="08F55C7D"/>
    <w:rsid w:val="09082248"/>
    <w:rsid w:val="091435BD"/>
    <w:rsid w:val="09602AB2"/>
    <w:rsid w:val="097E5D15"/>
    <w:rsid w:val="098D5F59"/>
    <w:rsid w:val="09962123"/>
    <w:rsid w:val="09B023D6"/>
    <w:rsid w:val="09DF5219"/>
    <w:rsid w:val="09E8755A"/>
    <w:rsid w:val="0A1B645D"/>
    <w:rsid w:val="0A396CC6"/>
    <w:rsid w:val="0A6E4CFF"/>
    <w:rsid w:val="0AAD2689"/>
    <w:rsid w:val="0ABF5084"/>
    <w:rsid w:val="0AC0235E"/>
    <w:rsid w:val="0AD33E3F"/>
    <w:rsid w:val="0AD433E5"/>
    <w:rsid w:val="0AD45054"/>
    <w:rsid w:val="0AE75944"/>
    <w:rsid w:val="0AF13704"/>
    <w:rsid w:val="0B424B21"/>
    <w:rsid w:val="0B4E4F6D"/>
    <w:rsid w:val="0B8A2CF5"/>
    <w:rsid w:val="0BAE1103"/>
    <w:rsid w:val="0BBC17DF"/>
    <w:rsid w:val="0BE303E7"/>
    <w:rsid w:val="0BF71DAF"/>
    <w:rsid w:val="0BFB510E"/>
    <w:rsid w:val="0C0F0006"/>
    <w:rsid w:val="0C1E10EA"/>
    <w:rsid w:val="0C21079D"/>
    <w:rsid w:val="0C3A6343"/>
    <w:rsid w:val="0C4C3EA9"/>
    <w:rsid w:val="0C57284E"/>
    <w:rsid w:val="0C573E25"/>
    <w:rsid w:val="0C851852"/>
    <w:rsid w:val="0C8D626F"/>
    <w:rsid w:val="0C965124"/>
    <w:rsid w:val="0C9B0117"/>
    <w:rsid w:val="0CB842FF"/>
    <w:rsid w:val="0CC52D02"/>
    <w:rsid w:val="0CC71088"/>
    <w:rsid w:val="0CFE2CC9"/>
    <w:rsid w:val="0CFF1D5D"/>
    <w:rsid w:val="0D305579"/>
    <w:rsid w:val="0D4508F8"/>
    <w:rsid w:val="0D5677DD"/>
    <w:rsid w:val="0D652E26"/>
    <w:rsid w:val="0D8B0A01"/>
    <w:rsid w:val="0D921D8F"/>
    <w:rsid w:val="0DA669A8"/>
    <w:rsid w:val="0DB55685"/>
    <w:rsid w:val="0DE819AF"/>
    <w:rsid w:val="0E06678C"/>
    <w:rsid w:val="0E0802A4"/>
    <w:rsid w:val="0E15651D"/>
    <w:rsid w:val="0E1C5453"/>
    <w:rsid w:val="0E2C2D73"/>
    <w:rsid w:val="0E3A5F83"/>
    <w:rsid w:val="0E6574A4"/>
    <w:rsid w:val="0E6B438E"/>
    <w:rsid w:val="0E72396F"/>
    <w:rsid w:val="0E7F2EFE"/>
    <w:rsid w:val="0E80608C"/>
    <w:rsid w:val="0E8C4A31"/>
    <w:rsid w:val="0EA2399D"/>
    <w:rsid w:val="0EA7186A"/>
    <w:rsid w:val="0EBE0962"/>
    <w:rsid w:val="0EE9262B"/>
    <w:rsid w:val="0F161AFB"/>
    <w:rsid w:val="0F1A028E"/>
    <w:rsid w:val="0F255E8D"/>
    <w:rsid w:val="0F3F5F47"/>
    <w:rsid w:val="0F4D19EF"/>
    <w:rsid w:val="0F5F5CA1"/>
    <w:rsid w:val="0F6B16F2"/>
    <w:rsid w:val="0F7F4595"/>
    <w:rsid w:val="0FFB0F84"/>
    <w:rsid w:val="103108BE"/>
    <w:rsid w:val="10560982"/>
    <w:rsid w:val="105A3B20"/>
    <w:rsid w:val="1065378B"/>
    <w:rsid w:val="10863702"/>
    <w:rsid w:val="10D25943"/>
    <w:rsid w:val="10D4446D"/>
    <w:rsid w:val="10DD0F24"/>
    <w:rsid w:val="10FC126D"/>
    <w:rsid w:val="110E3FBE"/>
    <w:rsid w:val="1142016F"/>
    <w:rsid w:val="11576D6C"/>
    <w:rsid w:val="115B4B8E"/>
    <w:rsid w:val="11625F1D"/>
    <w:rsid w:val="11A16A45"/>
    <w:rsid w:val="11A41E98"/>
    <w:rsid w:val="11E042B9"/>
    <w:rsid w:val="11E94114"/>
    <w:rsid w:val="11F03528"/>
    <w:rsid w:val="12311F7A"/>
    <w:rsid w:val="123A12B6"/>
    <w:rsid w:val="1279351E"/>
    <w:rsid w:val="127A5249"/>
    <w:rsid w:val="128D521B"/>
    <w:rsid w:val="12901073"/>
    <w:rsid w:val="1296510B"/>
    <w:rsid w:val="12A12F54"/>
    <w:rsid w:val="12AC33ED"/>
    <w:rsid w:val="12F0721A"/>
    <w:rsid w:val="12F847D6"/>
    <w:rsid w:val="131274CE"/>
    <w:rsid w:val="13141499"/>
    <w:rsid w:val="131905E4"/>
    <w:rsid w:val="136C7742"/>
    <w:rsid w:val="139E2979"/>
    <w:rsid w:val="13AC7923"/>
    <w:rsid w:val="13DA7FEC"/>
    <w:rsid w:val="13FE2369"/>
    <w:rsid w:val="140F6EAB"/>
    <w:rsid w:val="14171240"/>
    <w:rsid w:val="142E0338"/>
    <w:rsid w:val="147E0BAC"/>
    <w:rsid w:val="148937C0"/>
    <w:rsid w:val="14A2553F"/>
    <w:rsid w:val="14B00D4D"/>
    <w:rsid w:val="14C77018"/>
    <w:rsid w:val="14D71E9A"/>
    <w:rsid w:val="14D967EE"/>
    <w:rsid w:val="14DC1398"/>
    <w:rsid w:val="150B4598"/>
    <w:rsid w:val="15190FE8"/>
    <w:rsid w:val="151E6CB3"/>
    <w:rsid w:val="15325C06"/>
    <w:rsid w:val="154D47EE"/>
    <w:rsid w:val="154F6212"/>
    <w:rsid w:val="155913E5"/>
    <w:rsid w:val="156A3E8A"/>
    <w:rsid w:val="157321D1"/>
    <w:rsid w:val="159C63AE"/>
    <w:rsid w:val="15A85EC8"/>
    <w:rsid w:val="15AE34DE"/>
    <w:rsid w:val="15C665B5"/>
    <w:rsid w:val="15D32F45"/>
    <w:rsid w:val="15EF6571"/>
    <w:rsid w:val="16092E0B"/>
    <w:rsid w:val="16293958"/>
    <w:rsid w:val="1633430E"/>
    <w:rsid w:val="1638724C"/>
    <w:rsid w:val="16783AEC"/>
    <w:rsid w:val="167E2426"/>
    <w:rsid w:val="16C46D32"/>
    <w:rsid w:val="16E11692"/>
    <w:rsid w:val="16FE0496"/>
    <w:rsid w:val="170A0BE8"/>
    <w:rsid w:val="174D4DC0"/>
    <w:rsid w:val="176127D3"/>
    <w:rsid w:val="176F4EEF"/>
    <w:rsid w:val="177C55A8"/>
    <w:rsid w:val="178A6601"/>
    <w:rsid w:val="178B5EB7"/>
    <w:rsid w:val="17946ADF"/>
    <w:rsid w:val="17A56B63"/>
    <w:rsid w:val="17A857DA"/>
    <w:rsid w:val="17A96653"/>
    <w:rsid w:val="17AA7DE4"/>
    <w:rsid w:val="17FF64B2"/>
    <w:rsid w:val="182633AB"/>
    <w:rsid w:val="18270461"/>
    <w:rsid w:val="18307719"/>
    <w:rsid w:val="183A7A40"/>
    <w:rsid w:val="187C78C4"/>
    <w:rsid w:val="18876335"/>
    <w:rsid w:val="189D5A8C"/>
    <w:rsid w:val="18A706B9"/>
    <w:rsid w:val="18B506EB"/>
    <w:rsid w:val="191C1478"/>
    <w:rsid w:val="193429C5"/>
    <w:rsid w:val="19572B31"/>
    <w:rsid w:val="195C2E64"/>
    <w:rsid w:val="196205F6"/>
    <w:rsid w:val="19632832"/>
    <w:rsid w:val="19866520"/>
    <w:rsid w:val="199131C9"/>
    <w:rsid w:val="19960E59"/>
    <w:rsid w:val="19B7492C"/>
    <w:rsid w:val="19CE6D54"/>
    <w:rsid w:val="19E020D4"/>
    <w:rsid w:val="19EC6D02"/>
    <w:rsid w:val="19F4792E"/>
    <w:rsid w:val="1A140049"/>
    <w:rsid w:val="1A2E2E40"/>
    <w:rsid w:val="1A3B046A"/>
    <w:rsid w:val="1A3D7527"/>
    <w:rsid w:val="1A5003B0"/>
    <w:rsid w:val="1A710F7F"/>
    <w:rsid w:val="1A8B0292"/>
    <w:rsid w:val="1AE7115F"/>
    <w:rsid w:val="1AE85922"/>
    <w:rsid w:val="1AED2CFB"/>
    <w:rsid w:val="1AFF47DC"/>
    <w:rsid w:val="1B010554"/>
    <w:rsid w:val="1B684130"/>
    <w:rsid w:val="1B882A24"/>
    <w:rsid w:val="1BD73063"/>
    <w:rsid w:val="1C0F0A4F"/>
    <w:rsid w:val="1C185B56"/>
    <w:rsid w:val="1C3B1844"/>
    <w:rsid w:val="1C4D6FA4"/>
    <w:rsid w:val="1C4E1577"/>
    <w:rsid w:val="1C516B2B"/>
    <w:rsid w:val="1C60574F"/>
    <w:rsid w:val="1C6E7677"/>
    <w:rsid w:val="1C9A0C60"/>
    <w:rsid w:val="1CA53161"/>
    <w:rsid w:val="1CB36EEC"/>
    <w:rsid w:val="1CC73CEB"/>
    <w:rsid w:val="1CCB0E1A"/>
    <w:rsid w:val="1CCE26B8"/>
    <w:rsid w:val="1D000EB9"/>
    <w:rsid w:val="1D22539B"/>
    <w:rsid w:val="1D266050"/>
    <w:rsid w:val="1D2D65E1"/>
    <w:rsid w:val="1D7443D0"/>
    <w:rsid w:val="1D892D1E"/>
    <w:rsid w:val="1DAE0412"/>
    <w:rsid w:val="1DD106B2"/>
    <w:rsid w:val="1DE725A7"/>
    <w:rsid w:val="1DEE6320"/>
    <w:rsid w:val="1DF036F0"/>
    <w:rsid w:val="1DF83E91"/>
    <w:rsid w:val="1DFB572F"/>
    <w:rsid w:val="1E14059F"/>
    <w:rsid w:val="1E262080"/>
    <w:rsid w:val="1E4D682F"/>
    <w:rsid w:val="1E8F7C25"/>
    <w:rsid w:val="1E9B034B"/>
    <w:rsid w:val="1E9D67E6"/>
    <w:rsid w:val="1EA628CB"/>
    <w:rsid w:val="1ECB5101"/>
    <w:rsid w:val="1EFA5B5E"/>
    <w:rsid w:val="1F076C03"/>
    <w:rsid w:val="1F1545CE"/>
    <w:rsid w:val="1F6410B2"/>
    <w:rsid w:val="1F9D5F01"/>
    <w:rsid w:val="1FBF1807"/>
    <w:rsid w:val="1FEF2593"/>
    <w:rsid w:val="20067215"/>
    <w:rsid w:val="204A474C"/>
    <w:rsid w:val="207B2B57"/>
    <w:rsid w:val="20C43BD1"/>
    <w:rsid w:val="20D84F5E"/>
    <w:rsid w:val="20DB636F"/>
    <w:rsid w:val="20E26732"/>
    <w:rsid w:val="20EE3329"/>
    <w:rsid w:val="20F128FE"/>
    <w:rsid w:val="20FD27C4"/>
    <w:rsid w:val="211B39F2"/>
    <w:rsid w:val="213D7E0C"/>
    <w:rsid w:val="21584C46"/>
    <w:rsid w:val="217B0BD5"/>
    <w:rsid w:val="217D2727"/>
    <w:rsid w:val="218D4E86"/>
    <w:rsid w:val="21920158"/>
    <w:rsid w:val="21A300B0"/>
    <w:rsid w:val="21BC74B2"/>
    <w:rsid w:val="21D95D87"/>
    <w:rsid w:val="21ED35E0"/>
    <w:rsid w:val="21EF55AB"/>
    <w:rsid w:val="222C0A2A"/>
    <w:rsid w:val="223D5D60"/>
    <w:rsid w:val="225E003A"/>
    <w:rsid w:val="226B2757"/>
    <w:rsid w:val="22775D02"/>
    <w:rsid w:val="22AF0896"/>
    <w:rsid w:val="22BE6D2B"/>
    <w:rsid w:val="22D14CB0"/>
    <w:rsid w:val="22D87DED"/>
    <w:rsid w:val="22D91A6D"/>
    <w:rsid w:val="22E06CA1"/>
    <w:rsid w:val="2325294D"/>
    <w:rsid w:val="23583D48"/>
    <w:rsid w:val="235A4846"/>
    <w:rsid w:val="23641680"/>
    <w:rsid w:val="237D0994"/>
    <w:rsid w:val="238E0A5E"/>
    <w:rsid w:val="23CC162C"/>
    <w:rsid w:val="24107652"/>
    <w:rsid w:val="241A2687"/>
    <w:rsid w:val="242B4894"/>
    <w:rsid w:val="245C676F"/>
    <w:rsid w:val="2460453E"/>
    <w:rsid w:val="24661428"/>
    <w:rsid w:val="247D2A19"/>
    <w:rsid w:val="24B108F5"/>
    <w:rsid w:val="24B747FE"/>
    <w:rsid w:val="24DD7379"/>
    <w:rsid w:val="2500362B"/>
    <w:rsid w:val="251A0B90"/>
    <w:rsid w:val="251C2EB4"/>
    <w:rsid w:val="256B4CE2"/>
    <w:rsid w:val="25A53AC0"/>
    <w:rsid w:val="25AC730F"/>
    <w:rsid w:val="25C92D94"/>
    <w:rsid w:val="25DC4B30"/>
    <w:rsid w:val="25DD571A"/>
    <w:rsid w:val="260B04D9"/>
    <w:rsid w:val="262B7D6D"/>
    <w:rsid w:val="26356FD8"/>
    <w:rsid w:val="267B5750"/>
    <w:rsid w:val="26802C75"/>
    <w:rsid w:val="26880E9B"/>
    <w:rsid w:val="26AD1765"/>
    <w:rsid w:val="26B14C8A"/>
    <w:rsid w:val="26C05842"/>
    <w:rsid w:val="26E31456"/>
    <w:rsid w:val="272D4FAD"/>
    <w:rsid w:val="275C55C1"/>
    <w:rsid w:val="278C73F8"/>
    <w:rsid w:val="27983FEE"/>
    <w:rsid w:val="27A91D58"/>
    <w:rsid w:val="27A97FAA"/>
    <w:rsid w:val="27B85EE1"/>
    <w:rsid w:val="27D03788"/>
    <w:rsid w:val="27D65F95"/>
    <w:rsid w:val="27FD20A3"/>
    <w:rsid w:val="27FD6C9B"/>
    <w:rsid w:val="28610884"/>
    <w:rsid w:val="28F25980"/>
    <w:rsid w:val="29187538"/>
    <w:rsid w:val="29420EB1"/>
    <w:rsid w:val="29C14485"/>
    <w:rsid w:val="2A224043"/>
    <w:rsid w:val="2A2953D2"/>
    <w:rsid w:val="2A3F0751"/>
    <w:rsid w:val="2A7C6F2B"/>
    <w:rsid w:val="2A895E70"/>
    <w:rsid w:val="2A922F77"/>
    <w:rsid w:val="2AA23185"/>
    <w:rsid w:val="2AB501D7"/>
    <w:rsid w:val="2AB736F8"/>
    <w:rsid w:val="2AB94FB3"/>
    <w:rsid w:val="2AE72E9E"/>
    <w:rsid w:val="2AFA0B1C"/>
    <w:rsid w:val="2B026B64"/>
    <w:rsid w:val="2B1A260F"/>
    <w:rsid w:val="2B201DB9"/>
    <w:rsid w:val="2B367DA6"/>
    <w:rsid w:val="2B404781"/>
    <w:rsid w:val="2B4800F9"/>
    <w:rsid w:val="2B653354"/>
    <w:rsid w:val="2B704611"/>
    <w:rsid w:val="2B767375"/>
    <w:rsid w:val="2BAF1907"/>
    <w:rsid w:val="2C33078A"/>
    <w:rsid w:val="2C413321"/>
    <w:rsid w:val="2C4B219E"/>
    <w:rsid w:val="2C796398"/>
    <w:rsid w:val="2C8A5613"/>
    <w:rsid w:val="2CA55717"/>
    <w:rsid w:val="2CA90349"/>
    <w:rsid w:val="2CC7285B"/>
    <w:rsid w:val="2CE13D42"/>
    <w:rsid w:val="2CE455E0"/>
    <w:rsid w:val="2D2D12F6"/>
    <w:rsid w:val="2D342CCC"/>
    <w:rsid w:val="2D410C84"/>
    <w:rsid w:val="2D6F134E"/>
    <w:rsid w:val="2D852054"/>
    <w:rsid w:val="2D8F7C42"/>
    <w:rsid w:val="2DBD5F5C"/>
    <w:rsid w:val="2DD9710F"/>
    <w:rsid w:val="2DDB69E3"/>
    <w:rsid w:val="2E011C5D"/>
    <w:rsid w:val="2E112405"/>
    <w:rsid w:val="2E124403"/>
    <w:rsid w:val="2E9C43C4"/>
    <w:rsid w:val="2EA15E7F"/>
    <w:rsid w:val="2EA64400"/>
    <w:rsid w:val="2ED85DFF"/>
    <w:rsid w:val="2EF04710"/>
    <w:rsid w:val="2F1C30A3"/>
    <w:rsid w:val="2F1E75BD"/>
    <w:rsid w:val="2F334060"/>
    <w:rsid w:val="2F4755D8"/>
    <w:rsid w:val="2F723377"/>
    <w:rsid w:val="2F725125"/>
    <w:rsid w:val="2F7E3DAE"/>
    <w:rsid w:val="2F8A6913"/>
    <w:rsid w:val="2F990EF1"/>
    <w:rsid w:val="2FC260AC"/>
    <w:rsid w:val="2FE83697"/>
    <w:rsid w:val="2FE9188B"/>
    <w:rsid w:val="30063EE1"/>
    <w:rsid w:val="30201E39"/>
    <w:rsid w:val="304B2B61"/>
    <w:rsid w:val="306755FB"/>
    <w:rsid w:val="30893C43"/>
    <w:rsid w:val="309657DE"/>
    <w:rsid w:val="30D665D5"/>
    <w:rsid w:val="30F10937"/>
    <w:rsid w:val="30FC45CB"/>
    <w:rsid w:val="30FF5F8E"/>
    <w:rsid w:val="310B6FEE"/>
    <w:rsid w:val="310E0E7D"/>
    <w:rsid w:val="310F3573"/>
    <w:rsid w:val="3133354E"/>
    <w:rsid w:val="31451B93"/>
    <w:rsid w:val="31741628"/>
    <w:rsid w:val="31750EFD"/>
    <w:rsid w:val="31C9302A"/>
    <w:rsid w:val="31D75713"/>
    <w:rsid w:val="32260C66"/>
    <w:rsid w:val="324B1493"/>
    <w:rsid w:val="324C4353"/>
    <w:rsid w:val="324E3C27"/>
    <w:rsid w:val="324F79A0"/>
    <w:rsid w:val="325E19B3"/>
    <w:rsid w:val="329F628A"/>
    <w:rsid w:val="32B67A1F"/>
    <w:rsid w:val="32BB5035"/>
    <w:rsid w:val="32BB5517"/>
    <w:rsid w:val="32BF68D3"/>
    <w:rsid w:val="32CC0FF0"/>
    <w:rsid w:val="32CF5773"/>
    <w:rsid w:val="32DE5D29"/>
    <w:rsid w:val="32F83B93"/>
    <w:rsid w:val="330E5059"/>
    <w:rsid w:val="336254B1"/>
    <w:rsid w:val="33706882"/>
    <w:rsid w:val="33753436"/>
    <w:rsid w:val="337B0E24"/>
    <w:rsid w:val="33831668"/>
    <w:rsid w:val="339E298D"/>
    <w:rsid w:val="33A64EC8"/>
    <w:rsid w:val="33AB32FB"/>
    <w:rsid w:val="33C65A3F"/>
    <w:rsid w:val="33DC6C9D"/>
    <w:rsid w:val="33E35A9C"/>
    <w:rsid w:val="33EF3C9C"/>
    <w:rsid w:val="33F7209D"/>
    <w:rsid w:val="341A7C2E"/>
    <w:rsid w:val="341E7629"/>
    <w:rsid w:val="34422D8D"/>
    <w:rsid w:val="347754C4"/>
    <w:rsid w:val="348F6779"/>
    <w:rsid w:val="34937F79"/>
    <w:rsid w:val="34A75871"/>
    <w:rsid w:val="34F32864"/>
    <w:rsid w:val="35301145"/>
    <w:rsid w:val="353F7639"/>
    <w:rsid w:val="35524487"/>
    <w:rsid w:val="35527ED3"/>
    <w:rsid w:val="3579545F"/>
    <w:rsid w:val="35900C6C"/>
    <w:rsid w:val="35935DF5"/>
    <w:rsid w:val="359E55F9"/>
    <w:rsid w:val="359E7759"/>
    <w:rsid w:val="35BA7826"/>
    <w:rsid w:val="35E548A3"/>
    <w:rsid w:val="360C1C1F"/>
    <w:rsid w:val="363D519A"/>
    <w:rsid w:val="36652BD0"/>
    <w:rsid w:val="366D3428"/>
    <w:rsid w:val="36716136"/>
    <w:rsid w:val="3679648B"/>
    <w:rsid w:val="36B97ADD"/>
    <w:rsid w:val="36BB3856"/>
    <w:rsid w:val="36C50230"/>
    <w:rsid w:val="36CB687A"/>
    <w:rsid w:val="36CC7811"/>
    <w:rsid w:val="36FD1843"/>
    <w:rsid w:val="372A4537"/>
    <w:rsid w:val="3757121F"/>
    <w:rsid w:val="376B75A0"/>
    <w:rsid w:val="376C0B36"/>
    <w:rsid w:val="37724CFD"/>
    <w:rsid w:val="37765262"/>
    <w:rsid w:val="377D4FA2"/>
    <w:rsid w:val="37855855"/>
    <w:rsid w:val="37A83DDA"/>
    <w:rsid w:val="37CC31C3"/>
    <w:rsid w:val="37E33064"/>
    <w:rsid w:val="3825367C"/>
    <w:rsid w:val="383241A4"/>
    <w:rsid w:val="38353194"/>
    <w:rsid w:val="383D3AB3"/>
    <w:rsid w:val="3851621F"/>
    <w:rsid w:val="386D5023"/>
    <w:rsid w:val="38A85853"/>
    <w:rsid w:val="38CF5396"/>
    <w:rsid w:val="38D40BFF"/>
    <w:rsid w:val="38D470D7"/>
    <w:rsid w:val="38E946AA"/>
    <w:rsid w:val="38EB008F"/>
    <w:rsid w:val="38ED3A6E"/>
    <w:rsid w:val="38F60FE5"/>
    <w:rsid w:val="39007C46"/>
    <w:rsid w:val="390A39E8"/>
    <w:rsid w:val="3916629D"/>
    <w:rsid w:val="393D0552"/>
    <w:rsid w:val="394D70A5"/>
    <w:rsid w:val="39517F13"/>
    <w:rsid w:val="395F496C"/>
    <w:rsid w:val="39B2476F"/>
    <w:rsid w:val="39B527DE"/>
    <w:rsid w:val="39B86510"/>
    <w:rsid w:val="39C3314D"/>
    <w:rsid w:val="39C71495"/>
    <w:rsid w:val="39D13674"/>
    <w:rsid w:val="39E76710"/>
    <w:rsid w:val="39F23A32"/>
    <w:rsid w:val="3A1A6AE5"/>
    <w:rsid w:val="3A2A31CC"/>
    <w:rsid w:val="3A2B4060"/>
    <w:rsid w:val="3A2E6674"/>
    <w:rsid w:val="3A3E27D3"/>
    <w:rsid w:val="3A4516C6"/>
    <w:rsid w:val="3A4C245F"/>
    <w:rsid w:val="3A510B09"/>
    <w:rsid w:val="3A717A0C"/>
    <w:rsid w:val="3A746A19"/>
    <w:rsid w:val="3A784A76"/>
    <w:rsid w:val="3A8655F3"/>
    <w:rsid w:val="3A901F52"/>
    <w:rsid w:val="3A974625"/>
    <w:rsid w:val="3AB00E19"/>
    <w:rsid w:val="3AB24F6F"/>
    <w:rsid w:val="3AEE41FA"/>
    <w:rsid w:val="3B0C559C"/>
    <w:rsid w:val="3B343BD6"/>
    <w:rsid w:val="3B3E6803"/>
    <w:rsid w:val="3B4715A0"/>
    <w:rsid w:val="3B62491C"/>
    <w:rsid w:val="3B7B1A84"/>
    <w:rsid w:val="3B8334A3"/>
    <w:rsid w:val="3BB422D1"/>
    <w:rsid w:val="3BFE1B26"/>
    <w:rsid w:val="3C011D0B"/>
    <w:rsid w:val="3CD64F45"/>
    <w:rsid w:val="3CE20892"/>
    <w:rsid w:val="3CE37662"/>
    <w:rsid w:val="3CE53400"/>
    <w:rsid w:val="3D08531B"/>
    <w:rsid w:val="3D2324C3"/>
    <w:rsid w:val="3D271C45"/>
    <w:rsid w:val="3D78424E"/>
    <w:rsid w:val="3D7D3613"/>
    <w:rsid w:val="3D815C7D"/>
    <w:rsid w:val="3D844F5C"/>
    <w:rsid w:val="3D85696B"/>
    <w:rsid w:val="3D976F39"/>
    <w:rsid w:val="3D9775F6"/>
    <w:rsid w:val="3DFC4DA5"/>
    <w:rsid w:val="3DFC534B"/>
    <w:rsid w:val="3E0E63CB"/>
    <w:rsid w:val="3E295549"/>
    <w:rsid w:val="3E2F4A26"/>
    <w:rsid w:val="3E4573F0"/>
    <w:rsid w:val="3E4F2AF2"/>
    <w:rsid w:val="3EE766E7"/>
    <w:rsid w:val="3EEC476F"/>
    <w:rsid w:val="3F4F0FDF"/>
    <w:rsid w:val="3F5C3AA3"/>
    <w:rsid w:val="3F621BB4"/>
    <w:rsid w:val="3F650802"/>
    <w:rsid w:val="3F6B2247"/>
    <w:rsid w:val="3FC11F91"/>
    <w:rsid w:val="3FCD4591"/>
    <w:rsid w:val="3FDF6807"/>
    <w:rsid w:val="4031322D"/>
    <w:rsid w:val="403652D6"/>
    <w:rsid w:val="40927E28"/>
    <w:rsid w:val="40AE0805"/>
    <w:rsid w:val="40B27A77"/>
    <w:rsid w:val="40B32646"/>
    <w:rsid w:val="40F510FD"/>
    <w:rsid w:val="41022FFD"/>
    <w:rsid w:val="41296823"/>
    <w:rsid w:val="416108A6"/>
    <w:rsid w:val="41647E5B"/>
    <w:rsid w:val="41792B98"/>
    <w:rsid w:val="417967E7"/>
    <w:rsid w:val="4182569C"/>
    <w:rsid w:val="41864563"/>
    <w:rsid w:val="419248B1"/>
    <w:rsid w:val="41B96BE3"/>
    <w:rsid w:val="41BA3087"/>
    <w:rsid w:val="41BB0753"/>
    <w:rsid w:val="41C55588"/>
    <w:rsid w:val="41CA2B9F"/>
    <w:rsid w:val="41D66AFC"/>
    <w:rsid w:val="41D93769"/>
    <w:rsid w:val="42165E08"/>
    <w:rsid w:val="42182236"/>
    <w:rsid w:val="425103BC"/>
    <w:rsid w:val="425A03C6"/>
    <w:rsid w:val="427174BE"/>
    <w:rsid w:val="429D0863"/>
    <w:rsid w:val="42B51C7D"/>
    <w:rsid w:val="42CF2B62"/>
    <w:rsid w:val="42E154BB"/>
    <w:rsid w:val="42F177C2"/>
    <w:rsid w:val="430D368B"/>
    <w:rsid w:val="43195B8C"/>
    <w:rsid w:val="4329176C"/>
    <w:rsid w:val="43553FA0"/>
    <w:rsid w:val="435574CF"/>
    <w:rsid w:val="435E3EE6"/>
    <w:rsid w:val="436A6D8B"/>
    <w:rsid w:val="436E377C"/>
    <w:rsid w:val="438C45B0"/>
    <w:rsid w:val="4392593E"/>
    <w:rsid w:val="43F86C27"/>
    <w:rsid w:val="440A7BCA"/>
    <w:rsid w:val="44271E06"/>
    <w:rsid w:val="4433725C"/>
    <w:rsid w:val="445D419E"/>
    <w:rsid w:val="446217B4"/>
    <w:rsid w:val="44861074"/>
    <w:rsid w:val="44A818BD"/>
    <w:rsid w:val="44AC44D9"/>
    <w:rsid w:val="44ED5522"/>
    <w:rsid w:val="45594965"/>
    <w:rsid w:val="458D79A0"/>
    <w:rsid w:val="45AB1823"/>
    <w:rsid w:val="45C134FB"/>
    <w:rsid w:val="45D0245B"/>
    <w:rsid w:val="45DC63A5"/>
    <w:rsid w:val="45E630C9"/>
    <w:rsid w:val="45F12DF0"/>
    <w:rsid w:val="45F4468E"/>
    <w:rsid w:val="460C19D8"/>
    <w:rsid w:val="460D5750"/>
    <w:rsid w:val="460D74FE"/>
    <w:rsid w:val="46455D3F"/>
    <w:rsid w:val="466E0C85"/>
    <w:rsid w:val="467331F2"/>
    <w:rsid w:val="46AC6D17"/>
    <w:rsid w:val="46C33BD6"/>
    <w:rsid w:val="46D85D5E"/>
    <w:rsid w:val="46DD2912"/>
    <w:rsid w:val="46F661E4"/>
    <w:rsid w:val="47024B89"/>
    <w:rsid w:val="47122163"/>
    <w:rsid w:val="4714549A"/>
    <w:rsid w:val="47176886"/>
    <w:rsid w:val="47183B70"/>
    <w:rsid w:val="47330A3E"/>
    <w:rsid w:val="473D32FD"/>
    <w:rsid w:val="475F3D89"/>
    <w:rsid w:val="47636D69"/>
    <w:rsid w:val="47880AE0"/>
    <w:rsid w:val="478A200F"/>
    <w:rsid w:val="478A7A66"/>
    <w:rsid w:val="47A345BE"/>
    <w:rsid w:val="47B57E4D"/>
    <w:rsid w:val="47C06F1E"/>
    <w:rsid w:val="47C357D6"/>
    <w:rsid w:val="480A6980"/>
    <w:rsid w:val="48244C23"/>
    <w:rsid w:val="48313978"/>
    <w:rsid w:val="487C1E60"/>
    <w:rsid w:val="48820FBF"/>
    <w:rsid w:val="48CD37F3"/>
    <w:rsid w:val="48D35B76"/>
    <w:rsid w:val="48E11046"/>
    <w:rsid w:val="48E32CA1"/>
    <w:rsid w:val="48E72288"/>
    <w:rsid w:val="48EC5AF0"/>
    <w:rsid w:val="490D68EC"/>
    <w:rsid w:val="490F72BD"/>
    <w:rsid w:val="492C73A8"/>
    <w:rsid w:val="49755672"/>
    <w:rsid w:val="497A30FC"/>
    <w:rsid w:val="498B2DA7"/>
    <w:rsid w:val="498C7A08"/>
    <w:rsid w:val="49995C78"/>
    <w:rsid w:val="499C311B"/>
    <w:rsid w:val="49BD29C4"/>
    <w:rsid w:val="49C820BA"/>
    <w:rsid w:val="49E046AA"/>
    <w:rsid w:val="4A191ED4"/>
    <w:rsid w:val="4A2A68D0"/>
    <w:rsid w:val="4A392FB7"/>
    <w:rsid w:val="4A396B13"/>
    <w:rsid w:val="4A3E05CE"/>
    <w:rsid w:val="4A437992"/>
    <w:rsid w:val="4A664866"/>
    <w:rsid w:val="4A914E43"/>
    <w:rsid w:val="4A970AA4"/>
    <w:rsid w:val="4AA2290B"/>
    <w:rsid w:val="4AA71438"/>
    <w:rsid w:val="4AB329C4"/>
    <w:rsid w:val="4B542EFC"/>
    <w:rsid w:val="4B8E1F8A"/>
    <w:rsid w:val="4BA2180D"/>
    <w:rsid w:val="4BBC1BF8"/>
    <w:rsid w:val="4BC13264"/>
    <w:rsid w:val="4BD57EF3"/>
    <w:rsid w:val="4BEB7255"/>
    <w:rsid w:val="4BFB2271"/>
    <w:rsid w:val="4C4F0870"/>
    <w:rsid w:val="4C910BCD"/>
    <w:rsid w:val="4CC43E58"/>
    <w:rsid w:val="4D014B07"/>
    <w:rsid w:val="4D0A0CA1"/>
    <w:rsid w:val="4D132D76"/>
    <w:rsid w:val="4D1D0636"/>
    <w:rsid w:val="4D1E0E81"/>
    <w:rsid w:val="4D2039B7"/>
    <w:rsid w:val="4D252EEC"/>
    <w:rsid w:val="4D260610"/>
    <w:rsid w:val="4D3D13AC"/>
    <w:rsid w:val="4D4330E2"/>
    <w:rsid w:val="4D5819A6"/>
    <w:rsid w:val="4D5A127B"/>
    <w:rsid w:val="4D5C1C0C"/>
    <w:rsid w:val="4D84436B"/>
    <w:rsid w:val="4DB42505"/>
    <w:rsid w:val="4DB971B3"/>
    <w:rsid w:val="4DC614FB"/>
    <w:rsid w:val="4DD70B1D"/>
    <w:rsid w:val="4DE1672F"/>
    <w:rsid w:val="4DF96CE5"/>
    <w:rsid w:val="4E112BC4"/>
    <w:rsid w:val="4E173610"/>
    <w:rsid w:val="4E4A643E"/>
    <w:rsid w:val="4E630603"/>
    <w:rsid w:val="4E745F3F"/>
    <w:rsid w:val="4E910F9E"/>
    <w:rsid w:val="4E935C2E"/>
    <w:rsid w:val="4EA00746"/>
    <w:rsid w:val="4EA17491"/>
    <w:rsid w:val="4EAD5D22"/>
    <w:rsid w:val="4EAE22F8"/>
    <w:rsid w:val="4EC05A55"/>
    <w:rsid w:val="4EE51018"/>
    <w:rsid w:val="4EF13605"/>
    <w:rsid w:val="4F3F4BCC"/>
    <w:rsid w:val="4F4405DB"/>
    <w:rsid w:val="4F485D81"/>
    <w:rsid w:val="4F583303"/>
    <w:rsid w:val="4F5E3B4E"/>
    <w:rsid w:val="4F5F1347"/>
    <w:rsid w:val="4F742574"/>
    <w:rsid w:val="4F7F76BE"/>
    <w:rsid w:val="4F8A1BF1"/>
    <w:rsid w:val="4FA03191"/>
    <w:rsid w:val="4FA113E3"/>
    <w:rsid w:val="4FCB1C78"/>
    <w:rsid w:val="4FE70DC0"/>
    <w:rsid w:val="500109DB"/>
    <w:rsid w:val="500602E1"/>
    <w:rsid w:val="502D107E"/>
    <w:rsid w:val="502E4F53"/>
    <w:rsid w:val="503A1858"/>
    <w:rsid w:val="50501A26"/>
    <w:rsid w:val="50513BC0"/>
    <w:rsid w:val="50530CCA"/>
    <w:rsid w:val="50697A27"/>
    <w:rsid w:val="507B60D8"/>
    <w:rsid w:val="50B25872"/>
    <w:rsid w:val="50B96C00"/>
    <w:rsid w:val="50BB1142"/>
    <w:rsid w:val="50C2389A"/>
    <w:rsid w:val="50D14BB5"/>
    <w:rsid w:val="50E85C70"/>
    <w:rsid w:val="50F6575E"/>
    <w:rsid w:val="51491D32"/>
    <w:rsid w:val="51555439"/>
    <w:rsid w:val="51597A9B"/>
    <w:rsid w:val="51614032"/>
    <w:rsid w:val="517406A0"/>
    <w:rsid w:val="51864D34"/>
    <w:rsid w:val="519311FF"/>
    <w:rsid w:val="51956D25"/>
    <w:rsid w:val="519C21AA"/>
    <w:rsid w:val="51B11685"/>
    <w:rsid w:val="51BA6636"/>
    <w:rsid w:val="51DF4444"/>
    <w:rsid w:val="520B5239"/>
    <w:rsid w:val="524349D3"/>
    <w:rsid w:val="52482369"/>
    <w:rsid w:val="52690190"/>
    <w:rsid w:val="52B92EE7"/>
    <w:rsid w:val="52C23FFB"/>
    <w:rsid w:val="52D23FA9"/>
    <w:rsid w:val="52EF6909"/>
    <w:rsid w:val="52F6045B"/>
    <w:rsid w:val="52FB3500"/>
    <w:rsid w:val="5319725C"/>
    <w:rsid w:val="532F2357"/>
    <w:rsid w:val="5334431C"/>
    <w:rsid w:val="534E0274"/>
    <w:rsid w:val="535D2229"/>
    <w:rsid w:val="536536F6"/>
    <w:rsid w:val="536A41E2"/>
    <w:rsid w:val="53F86BF3"/>
    <w:rsid w:val="54046ABA"/>
    <w:rsid w:val="542F4176"/>
    <w:rsid w:val="543A41C1"/>
    <w:rsid w:val="543C5B7E"/>
    <w:rsid w:val="54754BEC"/>
    <w:rsid w:val="549241B0"/>
    <w:rsid w:val="54A23B7A"/>
    <w:rsid w:val="54AA6632"/>
    <w:rsid w:val="54AB2576"/>
    <w:rsid w:val="54AB59CA"/>
    <w:rsid w:val="54C17E31"/>
    <w:rsid w:val="54F93EBC"/>
    <w:rsid w:val="55081F04"/>
    <w:rsid w:val="550A7A2A"/>
    <w:rsid w:val="552F06F4"/>
    <w:rsid w:val="55390642"/>
    <w:rsid w:val="5540344C"/>
    <w:rsid w:val="55420931"/>
    <w:rsid w:val="55A93701"/>
    <w:rsid w:val="55AC0AE1"/>
    <w:rsid w:val="55CF39BF"/>
    <w:rsid w:val="55E54FDA"/>
    <w:rsid w:val="55F41188"/>
    <w:rsid w:val="560501F2"/>
    <w:rsid w:val="562A4416"/>
    <w:rsid w:val="562C1C6F"/>
    <w:rsid w:val="56301FF7"/>
    <w:rsid w:val="563F16EB"/>
    <w:rsid w:val="564F3020"/>
    <w:rsid w:val="566D2A60"/>
    <w:rsid w:val="566F1487"/>
    <w:rsid w:val="56920730"/>
    <w:rsid w:val="56CE6835"/>
    <w:rsid w:val="56D007FF"/>
    <w:rsid w:val="56FD2198"/>
    <w:rsid w:val="57016C0B"/>
    <w:rsid w:val="574D00A2"/>
    <w:rsid w:val="575D60AD"/>
    <w:rsid w:val="57631674"/>
    <w:rsid w:val="578F2469"/>
    <w:rsid w:val="57C55E8A"/>
    <w:rsid w:val="57E15643"/>
    <w:rsid w:val="58507A64"/>
    <w:rsid w:val="58D40387"/>
    <w:rsid w:val="58DC7930"/>
    <w:rsid w:val="58E8550D"/>
    <w:rsid w:val="58E95BA9"/>
    <w:rsid w:val="59044790"/>
    <w:rsid w:val="591D40C0"/>
    <w:rsid w:val="59213252"/>
    <w:rsid w:val="59224E0F"/>
    <w:rsid w:val="59236960"/>
    <w:rsid w:val="59407EBE"/>
    <w:rsid w:val="59827FC3"/>
    <w:rsid w:val="59E44536"/>
    <w:rsid w:val="59EB03D1"/>
    <w:rsid w:val="5A293A76"/>
    <w:rsid w:val="5A447542"/>
    <w:rsid w:val="5A5A571B"/>
    <w:rsid w:val="5A753F56"/>
    <w:rsid w:val="5A8A5C64"/>
    <w:rsid w:val="5A981634"/>
    <w:rsid w:val="5AA1498D"/>
    <w:rsid w:val="5AA81D80"/>
    <w:rsid w:val="5AB53EE2"/>
    <w:rsid w:val="5ABD109B"/>
    <w:rsid w:val="5B1201C8"/>
    <w:rsid w:val="5B1B0BB6"/>
    <w:rsid w:val="5B2D4472"/>
    <w:rsid w:val="5B731E8B"/>
    <w:rsid w:val="5B7E02D3"/>
    <w:rsid w:val="5B9C6B80"/>
    <w:rsid w:val="5BC1213B"/>
    <w:rsid w:val="5C182A2D"/>
    <w:rsid w:val="5C2B5DAC"/>
    <w:rsid w:val="5C3D06E5"/>
    <w:rsid w:val="5C530C50"/>
    <w:rsid w:val="5C6152C1"/>
    <w:rsid w:val="5C683D16"/>
    <w:rsid w:val="5C7C05AD"/>
    <w:rsid w:val="5C7F00B4"/>
    <w:rsid w:val="5C9127DF"/>
    <w:rsid w:val="5CA249EC"/>
    <w:rsid w:val="5D325D70"/>
    <w:rsid w:val="5D431D2B"/>
    <w:rsid w:val="5D5A52C7"/>
    <w:rsid w:val="5D5E4DB7"/>
    <w:rsid w:val="5D610403"/>
    <w:rsid w:val="5D64598E"/>
    <w:rsid w:val="5D862C62"/>
    <w:rsid w:val="5D8A795A"/>
    <w:rsid w:val="5D942587"/>
    <w:rsid w:val="5D973E25"/>
    <w:rsid w:val="5D977EC8"/>
    <w:rsid w:val="5DC2265C"/>
    <w:rsid w:val="5DD2302F"/>
    <w:rsid w:val="5DF956DC"/>
    <w:rsid w:val="5E2D1009"/>
    <w:rsid w:val="5E413D91"/>
    <w:rsid w:val="5E5844D7"/>
    <w:rsid w:val="5E855258"/>
    <w:rsid w:val="5E8B544C"/>
    <w:rsid w:val="5E8E1E22"/>
    <w:rsid w:val="5EA7453C"/>
    <w:rsid w:val="5EB17168"/>
    <w:rsid w:val="5EC44398"/>
    <w:rsid w:val="5EE03046"/>
    <w:rsid w:val="5EE27CB0"/>
    <w:rsid w:val="5F0B4ACB"/>
    <w:rsid w:val="5F0C25E7"/>
    <w:rsid w:val="5F110A91"/>
    <w:rsid w:val="5F223BC2"/>
    <w:rsid w:val="5F3538F6"/>
    <w:rsid w:val="5F36141C"/>
    <w:rsid w:val="5F4B517B"/>
    <w:rsid w:val="5F827965"/>
    <w:rsid w:val="5FC92290"/>
    <w:rsid w:val="5FCF79D3"/>
    <w:rsid w:val="5FD526FD"/>
    <w:rsid w:val="6003378A"/>
    <w:rsid w:val="60313D0C"/>
    <w:rsid w:val="6036401A"/>
    <w:rsid w:val="60593614"/>
    <w:rsid w:val="606326E4"/>
    <w:rsid w:val="606B2875"/>
    <w:rsid w:val="6074044E"/>
    <w:rsid w:val="6084027F"/>
    <w:rsid w:val="60AE1BB1"/>
    <w:rsid w:val="60DB671F"/>
    <w:rsid w:val="61153CA3"/>
    <w:rsid w:val="611C2257"/>
    <w:rsid w:val="611F7FD5"/>
    <w:rsid w:val="612801C0"/>
    <w:rsid w:val="61314591"/>
    <w:rsid w:val="613657CA"/>
    <w:rsid w:val="613A3445"/>
    <w:rsid w:val="614E7B14"/>
    <w:rsid w:val="617760D8"/>
    <w:rsid w:val="6195300F"/>
    <w:rsid w:val="61AA6229"/>
    <w:rsid w:val="61B9541A"/>
    <w:rsid w:val="61CD42B9"/>
    <w:rsid w:val="62124F8E"/>
    <w:rsid w:val="624125B1"/>
    <w:rsid w:val="626369CC"/>
    <w:rsid w:val="62782477"/>
    <w:rsid w:val="62791E31"/>
    <w:rsid w:val="628726BA"/>
    <w:rsid w:val="628A591F"/>
    <w:rsid w:val="62C456BC"/>
    <w:rsid w:val="62D53DF6"/>
    <w:rsid w:val="62DC1168"/>
    <w:rsid w:val="62ED48C8"/>
    <w:rsid w:val="631F2EFB"/>
    <w:rsid w:val="63426E07"/>
    <w:rsid w:val="636049DF"/>
    <w:rsid w:val="63736A93"/>
    <w:rsid w:val="63936A91"/>
    <w:rsid w:val="63AE1EC8"/>
    <w:rsid w:val="63C96D02"/>
    <w:rsid w:val="63E83476"/>
    <w:rsid w:val="63E878EA"/>
    <w:rsid w:val="63EC6C6B"/>
    <w:rsid w:val="63F7561D"/>
    <w:rsid w:val="6410048D"/>
    <w:rsid w:val="64340620"/>
    <w:rsid w:val="644A587D"/>
    <w:rsid w:val="644A7E43"/>
    <w:rsid w:val="645760BC"/>
    <w:rsid w:val="647F6EB8"/>
    <w:rsid w:val="648A6492"/>
    <w:rsid w:val="648D1C00"/>
    <w:rsid w:val="64970BAF"/>
    <w:rsid w:val="64986E00"/>
    <w:rsid w:val="64A95B8B"/>
    <w:rsid w:val="64D34799"/>
    <w:rsid w:val="65361571"/>
    <w:rsid w:val="658623D3"/>
    <w:rsid w:val="658729D1"/>
    <w:rsid w:val="65B55790"/>
    <w:rsid w:val="65BA4B55"/>
    <w:rsid w:val="65C77271"/>
    <w:rsid w:val="65F4293E"/>
    <w:rsid w:val="661326BF"/>
    <w:rsid w:val="664D2F06"/>
    <w:rsid w:val="66573387"/>
    <w:rsid w:val="665B6338"/>
    <w:rsid w:val="66912F14"/>
    <w:rsid w:val="66966C15"/>
    <w:rsid w:val="66C832A1"/>
    <w:rsid w:val="66D103A8"/>
    <w:rsid w:val="66EC6F90"/>
    <w:rsid w:val="66ED39FA"/>
    <w:rsid w:val="670E33AA"/>
    <w:rsid w:val="672D4275"/>
    <w:rsid w:val="672F3D42"/>
    <w:rsid w:val="67423054"/>
    <w:rsid w:val="678E2418"/>
    <w:rsid w:val="67CE1528"/>
    <w:rsid w:val="68014BFF"/>
    <w:rsid w:val="68103152"/>
    <w:rsid w:val="683012AB"/>
    <w:rsid w:val="683A1F7D"/>
    <w:rsid w:val="683C5CF5"/>
    <w:rsid w:val="68EB60F8"/>
    <w:rsid w:val="68EF2D67"/>
    <w:rsid w:val="68F214A7"/>
    <w:rsid w:val="69254764"/>
    <w:rsid w:val="693C3885"/>
    <w:rsid w:val="69983B50"/>
    <w:rsid w:val="699D23D7"/>
    <w:rsid w:val="69AF0748"/>
    <w:rsid w:val="69C75A92"/>
    <w:rsid w:val="69D762CF"/>
    <w:rsid w:val="6A093829"/>
    <w:rsid w:val="6A3D3FA6"/>
    <w:rsid w:val="6A7F011B"/>
    <w:rsid w:val="6A8D7B2E"/>
    <w:rsid w:val="6A9D16A1"/>
    <w:rsid w:val="6AD1407E"/>
    <w:rsid w:val="6B225676"/>
    <w:rsid w:val="6B4E6CBD"/>
    <w:rsid w:val="6B50547F"/>
    <w:rsid w:val="6B59096C"/>
    <w:rsid w:val="6BAC3191"/>
    <w:rsid w:val="6BE31ED3"/>
    <w:rsid w:val="6BEC0C0A"/>
    <w:rsid w:val="6BF01484"/>
    <w:rsid w:val="6C0409ED"/>
    <w:rsid w:val="6C206C75"/>
    <w:rsid w:val="6C361715"/>
    <w:rsid w:val="6C3B453F"/>
    <w:rsid w:val="6C444857"/>
    <w:rsid w:val="6C4545B4"/>
    <w:rsid w:val="6C471FA4"/>
    <w:rsid w:val="6C6C46CF"/>
    <w:rsid w:val="6CD04C5E"/>
    <w:rsid w:val="6CF24C81"/>
    <w:rsid w:val="6CF37A4E"/>
    <w:rsid w:val="6D0B76A3"/>
    <w:rsid w:val="6D186E20"/>
    <w:rsid w:val="6D321474"/>
    <w:rsid w:val="6D602485"/>
    <w:rsid w:val="6D631F76"/>
    <w:rsid w:val="6D655CEE"/>
    <w:rsid w:val="6D6C4395"/>
    <w:rsid w:val="6DA451F9"/>
    <w:rsid w:val="6DBA3E47"/>
    <w:rsid w:val="6DBB3B60"/>
    <w:rsid w:val="6DBD2ACA"/>
    <w:rsid w:val="6DE44E65"/>
    <w:rsid w:val="6DF17581"/>
    <w:rsid w:val="6DF350A8"/>
    <w:rsid w:val="6DF57E44"/>
    <w:rsid w:val="6DF8092B"/>
    <w:rsid w:val="6E0A23F1"/>
    <w:rsid w:val="6E1D2124"/>
    <w:rsid w:val="6E4A4483"/>
    <w:rsid w:val="6E923C2D"/>
    <w:rsid w:val="6E9F0057"/>
    <w:rsid w:val="6EA649CC"/>
    <w:rsid w:val="6ED37E15"/>
    <w:rsid w:val="6EED64DD"/>
    <w:rsid w:val="6F0926A9"/>
    <w:rsid w:val="6F176797"/>
    <w:rsid w:val="6F1E75BC"/>
    <w:rsid w:val="6F280106"/>
    <w:rsid w:val="6F341A7D"/>
    <w:rsid w:val="6F4F27B2"/>
    <w:rsid w:val="6F6057C3"/>
    <w:rsid w:val="6F7775C6"/>
    <w:rsid w:val="6F7A7103"/>
    <w:rsid w:val="6F7C2E7B"/>
    <w:rsid w:val="6FE078AE"/>
    <w:rsid w:val="703D260A"/>
    <w:rsid w:val="706436E2"/>
    <w:rsid w:val="70740450"/>
    <w:rsid w:val="70B54896"/>
    <w:rsid w:val="70B54DCC"/>
    <w:rsid w:val="70E82FA7"/>
    <w:rsid w:val="71033DEC"/>
    <w:rsid w:val="71155335"/>
    <w:rsid w:val="71265794"/>
    <w:rsid w:val="71394352"/>
    <w:rsid w:val="714B6FA9"/>
    <w:rsid w:val="715A543E"/>
    <w:rsid w:val="716A38D3"/>
    <w:rsid w:val="717007BD"/>
    <w:rsid w:val="717812F3"/>
    <w:rsid w:val="719D296F"/>
    <w:rsid w:val="719E477E"/>
    <w:rsid w:val="71A14742"/>
    <w:rsid w:val="71A70BCF"/>
    <w:rsid w:val="71B42DA0"/>
    <w:rsid w:val="71C56D5B"/>
    <w:rsid w:val="71DE079F"/>
    <w:rsid w:val="71EF7CC6"/>
    <w:rsid w:val="72247F25"/>
    <w:rsid w:val="724D0AFE"/>
    <w:rsid w:val="72760055"/>
    <w:rsid w:val="72767A54"/>
    <w:rsid w:val="72816AB1"/>
    <w:rsid w:val="7285473C"/>
    <w:rsid w:val="72AD0CF5"/>
    <w:rsid w:val="730E410D"/>
    <w:rsid w:val="73221F8B"/>
    <w:rsid w:val="73324E77"/>
    <w:rsid w:val="733A2B5C"/>
    <w:rsid w:val="733C4DFB"/>
    <w:rsid w:val="73410920"/>
    <w:rsid w:val="734E4B2E"/>
    <w:rsid w:val="7386708A"/>
    <w:rsid w:val="73F76F74"/>
    <w:rsid w:val="74055B35"/>
    <w:rsid w:val="740F42BD"/>
    <w:rsid w:val="742D0A23"/>
    <w:rsid w:val="745919DD"/>
    <w:rsid w:val="745D49B7"/>
    <w:rsid w:val="74BD1F6B"/>
    <w:rsid w:val="74C72DEA"/>
    <w:rsid w:val="74D3178F"/>
    <w:rsid w:val="74D63C4F"/>
    <w:rsid w:val="74F3598D"/>
    <w:rsid w:val="74F646C9"/>
    <w:rsid w:val="74FA2620"/>
    <w:rsid w:val="750A2CD7"/>
    <w:rsid w:val="750D2EF3"/>
    <w:rsid w:val="75232716"/>
    <w:rsid w:val="752826D8"/>
    <w:rsid w:val="753C7334"/>
    <w:rsid w:val="755D72AA"/>
    <w:rsid w:val="756816A0"/>
    <w:rsid w:val="756B5E6B"/>
    <w:rsid w:val="75792336"/>
    <w:rsid w:val="757F36C5"/>
    <w:rsid w:val="758A004D"/>
    <w:rsid w:val="75995B66"/>
    <w:rsid w:val="75A629FF"/>
    <w:rsid w:val="75BF14E0"/>
    <w:rsid w:val="75F014BE"/>
    <w:rsid w:val="75F06371"/>
    <w:rsid w:val="75F714AD"/>
    <w:rsid w:val="760A11E0"/>
    <w:rsid w:val="76193DFA"/>
    <w:rsid w:val="762229CE"/>
    <w:rsid w:val="762D4ECF"/>
    <w:rsid w:val="76395433"/>
    <w:rsid w:val="764D0FCD"/>
    <w:rsid w:val="7650110C"/>
    <w:rsid w:val="765362CF"/>
    <w:rsid w:val="765E152C"/>
    <w:rsid w:val="766D169F"/>
    <w:rsid w:val="76780905"/>
    <w:rsid w:val="767E397C"/>
    <w:rsid w:val="767E73ED"/>
    <w:rsid w:val="767E7464"/>
    <w:rsid w:val="769F7133"/>
    <w:rsid w:val="76A908DF"/>
    <w:rsid w:val="76BB28DB"/>
    <w:rsid w:val="76FA1868"/>
    <w:rsid w:val="770519A8"/>
    <w:rsid w:val="774E707A"/>
    <w:rsid w:val="776409DB"/>
    <w:rsid w:val="776F57B4"/>
    <w:rsid w:val="778B1DFE"/>
    <w:rsid w:val="77C33D3D"/>
    <w:rsid w:val="77DF5A0E"/>
    <w:rsid w:val="77E56DD6"/>
    <w:rsid w:val="77EC67E9"/>
    <w:rsid w:val="77F80B6B"/>
    <w:rsid w:val="780A57DD"/>
    <w:rsid w:val="780F6F82"/>
    <w:rsid w:val="782D178F"/>
    <w:rsid w:val="784D3606"/>
    <w:rsid w:val="78663C24"/>
    <w:rsid w:val="786A065C"/>
    <w:rsid w:val="78846E2E"/>
    <w:rsid w:val="78915BE9"/>
    <w:rsid w:val="78A63C00"/>
    <w:rsid w:val="78CF6711"/>
    <w:rsid w:val="78D1255B"/>
    <w:rsid w:val="78EA52F9"/>
    <w:rsid w:val="79046783"/>
    <w:rsid w:val="79435CDC"/>
    <w:rsid w:val="795041BD"/>
    <w:rsid w:val="7956298E"/>
    <w:rsid w:val="795B7FA5"/>
    <w:rsid w:val="79611F3A"/>
    <w:rsid w:val="79974A93"/>
    <w:rsid w:val="79F226B7"/>
    <w:rsid w:val="7A01139C"/>
    <w:rsid w:val="7A1268B5"/>
    <w:rsid w:val="7A1F7224"/>
    <w:rsid w:val="7A2F5A0A"/>
    <w:rsid w:val="7A3966CC"/>
    <w:rsid w:val="7A450285"/>
    <w:rsid w:val="7A57076C"/>
    <w:rsid w:val="7A6A75FE"/>
    <w:rsid w:val="7A6B1FA0"/>
    <w:rsid w:val="7AB94F83"/>
    <w:rsid w:val="7AC26CAF"/>
    <w:rsid w:val="7AD41DBD"/>
    <w:rsid w:val="7B034450"/>
    <w:rsid w:val="7B24506C"/>
    <w:rsid w:val="7B4D1C31"/>
    <w:rsid w:val="7B6079AF"/>
    <w:rsid w:val="7B8508BE"/>
    <w:rsid w:val="7B91689D"/>
    <w:rsid w:val="7BB61AC0"/>
    <w:rsid w:val="7BB7631A"/>
    <w:rsid w:val="7BD059A3"/>
    <w:rsid w:val="7BE30224"/>
    <w:rsid w:val="7C2E56AF"/>
    <w:rsid w:val="7C393DDB"/>
    <w:rsid w:val="7C605FFE"/>
    <w:rsid w:val="7C9E6B26"/>
    <w:rsid w:val="7CCC3693"/>
    <w:rsid w:val="7CCF6CE0"/>
    <w:rsid w:val="7D1307C6"/>
    <w:rsid w:val="7D252718"/>
    <w:rsid w:val="7D2F59A8"/>
    <w:rsid w:val="7D4E3C29"/>
    <w:rsid w:val="7D67200E"/>
    <w:rsid w:val="7D830876"/>
    <w:rsid w:val="7DC15B41"/>
    <w:rsid w:val="7DDB5528"/>
    <w:rsid w:val="7DDE5692"/>
    <w:rsid w:val="7E7044F2"/>
    <w:rsid w:val="7E956EBF"/>
    <w:rsid w:val="7EAD4DFF"/>
    <w:rsid w:val="7EEB43E8"/>
    <w:rsid w:val="7EFF0216"/>
    <w:rsid w:val="7F0828CC"/>
    <w:rsid w:val="7F10538E"/>
    <w:rsid w:val="7F247A67"/>
    <w:rsid w:val="7F2C21C7"/>
    <w:rsid w:val="7F58120E"/>
    <w:rsid w:val="7F594F2F"/>
    <w:rsid w:val="7F5E4D8F"/>
    <w:rsid w:val="7F641AF7"/>
    <w:rsid w:val="7F761695"/>
    <w:rsid w:val="7FAC50B6"/>
    <w:rsid w:val="7FE0492C"/>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1"/>
    <w:pPr>
      <w:spacing w:before="30"/>
      <w:ind w:right="302"/>
      <w:jc w:val="center"/>
      <w:outlineLvl w:val="1"/>
    </w:pPr>
    <w:rPr>
      <w:rFonts w:ascii="宋体" w:hAnsi="宋体" w:eastAsia="宋体" w:cs="宋体"/>
      <w:b/>
      <w:bCs/>
      <w:sz w:val="36"/>
      <w:szCs w:val="36"/>
      <w:lang w:val="zh-CN" w:eastAsia="zh-CN" w:bidi="zh-CN"/>
    </w:rPr>
  </w:style>
  <w:style w:type="paragraph" w:styleId="6">
    <w:name w:val="heading 2"/>
    <w:basedOn w:val="1"/>
    <w:next w:val="1"/>
    <w:qFormat/>
    <w:uiPriority w:val="1"/>
    <w:pPr>
      <w:spacing w:before="28"/>
      <w:ind w:left="312" w:right="732"/>
      <w:jc w:val="center"/>
      <w:outlineLvl w:val="2"/>
    </w:pPr>
    <w:rPr>
      <w:rFonts w:ascii="宋体" w:hAnsi="宋体" w:eastAsia="宋体" w:cs="宋体"/>
      <w:b/>
      <w:bCs/>
      <w:sz w:val="32"/>
      <w:szCs w:val="32"/>
      <w:lang w:val="zh-CN" w:eastAsia="zh-CN" w:bidi="zh-CN"/>
    </w:rPr>
  </w:style>
  <w:style w:type="paragraph" w:styleId="7">
    <w:name w:val="heading 3"/>
    <w:basedOn w:val="1"/>
    <w:next w:val="1"/>
    <w:autoRedefine/>
    <w:qFormat/>
    <w:uiPriority w:val="1"/>
    <w:pPr>
      <w:spacing w:before="4"/>
      <w:ind w:left="668"/>
      <w:outlineLvl w:val="3"/>
    </w:pPr>
    <w:rPr>
      <w:rFonts w:ascii="宋体" w:hAnsi="宋体" w:eastAsia="宋体" w:cs="宋体"/>
      <w:b/>
      <w:bCs/>
      <w:sz w:val="28"/>
      <w:szCs w:val="28"/>
      <w:lang w:val="zh-CN" w:eastAsia="zh-CN" w:bidi="zh-CN"/>
    </w:rPr>
  </w:style>
  <w:style w:type="paragraph" w:styleId="8">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left="0" w:leftChars="0" w:firstLine="420" w:firstLineChars="200"/>
    </w:pPr>
    <w:rPr>
      <w:rFonts w:ascii="仿宋_GB2312" w:eastAsia="仿宋_GB2312"/>
      <w:kern w:val="0"/>
      <w:sz w:val="32"/>
      <w:szCs w:val="20"/>
    </w:rPr>
  </w:style>
  <w:style w:type="paragraph" w:styleId="3">
    <w:name w:val="Body Text"/>
    <w:basedOn w:val="1"/>
    <w:next w:val="4"/>
    <w:autoRedefine/>
    <w:qFormat/>
    <w:uiPriority w:val="1"/>
    <w:pPr>
      <w:ind w:left="108"/>
    </w:pPr>
    <w:rPr>
      <w:rFonts w:ascii="宋体" w:hAnsi="宋体" w:eastAsia="宋体" w:cs="宋体"/>
      <w:sz w:val="28"/>
      <w:szCs w:val="28"/>
      <w:lang w:val="zh-CN" w:eastAsia="zh-CN" w:bidi="zh-CN"/>
    </w:rPr>
  </w:style>
  <w:style w:type="paragraph" w:styleId="4">
    <w:name w:val="toc 2"/>
    <w:basedOn w:val="1"/>
    <w:next w:val="1"/>
    <w:qFormat/>
    <w:uiPriority w:val="0"/>
    <w:pPr>
      <w:ind w:left="420" w:leftChars="200"/>
    </w:pPr>
  </w:style>
  <w:style w:type="paragraph" w:styleId="10">
    <w:name w:val="Normal Indent"/>
    <w:basedOn w:val="1"/>
    <w:next w:val="11"/>
    <w:autoRedefine/>
    <w:qFormat/>
    <w:uiPriority w:val="0"/>
    <w:pPr>
      <w:ind w:firstLine="420"/>
    </w:pPr>
    <w:rPr>
      <w:kern w:val="1"/>
    </w:rPr>
  </w:style>
  <w:style w:type="paragraph" w:styleId="11">
    <w:name w:val="index 9"/>
    <w:basedOn w:val="1"/>
    <w:next w:val="1"/>
    <w:qFormat/>
    <w:uiPriority w:val="0"/>
    <w:pPr>
      <w:ind w:left="1600" w:leftChars="1600"/>
      <w:textAlignment w:val="top"/>
    </w:pPr>
    <w:rPr>
      <w:sz w:val="32"/>
      <w:szCs w:val="20"/>
    </w:rPr>
  </w:style>
  <w:style w:type="paragraph" w:styleId="12">
    <w:name w:val="Body Text Indent 2"/>
    <w:basedOn w:val="1"/>
    <w:autoRedefine/>
    <w:qFormat/>
    <w:uiPriority w:val="0"/>
    <w:pPr>
      <w:tabs>
        <w:tab w:val="left" w:pos="1680"/>
        <w:tab w:val="left" w:pos="3990"/>
      </w:tabs>
      <w:spacing w:line="300" w:lineRule="auto"/>
      <w:ind w:left="2307" w:hanging="2310"/>
    </w:pPr>
    <w:rPr>
      <w:rFonts w:ascii="宋体" w:hAnsi="宋体"/>
      <w:kern w:val="1"/>
      <w:szCs w:val="2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able of figures"/>
    <w:basedOn w:val="1"/>
    <w:next w:val="1"/>
    <w:autoRedefine/>
    <w:semiHidden/>
    <w:qFormat/>
    <w:uiPriority w:val="0"/>
    <w:pPr>
      <w:ind w:left="840" w:leftChars="200" w:hanging="420" w:hangingChars="200"/>
    </w:pPr>
    <w:rPr>
      <w:color w:val="FF0000"/>
      <w:sz w:val="24"/>
      <w:szCs w:val="20"/>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10"/>
    <w:pPr>
      <w:adjustRightInd w:val="0"/>
      <w:spacing w:before="240" w:after="60" w:line="360" w:lineRule="atLeast"/>
      <w:jc w:val="center"/>
      <w:textAlignment w:val="baseline"/>
      <w:outlineLvl w:val="0"/>
    </w:pPr>
    <w:rPr>
      <w:rFonts w:ascii="Arial" w:hAnsi="Arial" w:eastAsia="宋体" w:cs="Arial"/>
      <w:b/>
      <w:bCs/>
      <w:sz w:val="32"/>
      <w:szCs w:val="32"/>
    </w:rPr>
  </w:style>
  <w:style w:type="paragraph" w:styleId="19">
    <w:name w:val="Body Text First Indent"/>
    <w:basedOn w:val="3"/>
    <w:next w:val="2"/>
    <w:unhideWhenUsed/>
    <w:qFormat/>
    <w:uiPriority w:val="99"/>
    <w:pPr>
      <w:ind w:firstLine="420" w:firstLineChars="1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autoRedefine/>
    <w:qFormat/>
    <w:uiPriority w:val="0"/>
    <w:rPr>
      <w:color w:val="333333"/>
      <w:u w:val="none"/>
    </w:rPr>
  </w:style>
  <w:style w:type="character" w:styleId="25">
    <w:name w:val="Hyperlink"/>
    <w:basedOn w:val="22"/>
    <w:autoRedefine/>
    <w:qFormat/>
    <w:uiPriority w:val="0"/>
    <w:rPr>
      <w:color w:val="333333"/>
      <w:u w:val="none"/>
    </w:rPr>
  </w:style>
  <w:style w:type="paragraph" w:customStyle="1" w:styleId="26">
    <w:name w:val="_Style 2"/>
    <w:next w:val="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7">
    <w:name w:val="样式 首行缩进:  2 字符"/>
    <w:basedOn w:val="1"/>
    <w:autoRedefine/>
    <w:qFormat/>
    <w:uiPriority w:val="0"/>
    <w:pPr>
      <w:snapToGrid w:val="0"/>
    </w:pPr>
    <w:rPr>
      <w:rFonts w:cs="宋体"/>
      <w:szCs w:val="20"/>
    </w:rPr>
  </w:style>
  <w:style w:type="paragraph" w:customStyle="1" w:styleId="28">
    <w:name w:val="Default"/>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9">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kern w:val="1"/>
      <w:sz w:val="28"/>
      <w:szCs w:val="2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autoRedefine/>
    <w:qFormat/>
    <w:uiPriority w:val="1"/>
    <w:pPr>
      <w:ind w:left="108" w:firstLine="559"/>
    </w:pPr>
    <w:rPr>
      <w:rFonts w:ascii="宋体" w:hAnsi="宋体" w:eastAsia="宋体" w:cs="宋体"/>
      <w:lang w:val="zh-CN" w:eastAsia="zh-CN" w:bidi="zh-CN"/>
    </w:rPr>
  </w:style>
  <w:style w:type="character" w:customStyle="1" w:styleId="32">
    <w:name w:val="font01"/>
    <w:basedOn w:val="22"/>
    <w:autoRedefine/>
    <w:qFormat/>
    <w:uiPriority w:val="0"/>
    <w:rPr>
      <w:rFonts w:hint="eastAsia" w:ascii="宋体" w:hAnsi="宋体" w:eastAsia="宋体" w:cs="宋体"/>
      <w:color w:val="000000"/>
      <w:sz w:val="24"/>
      <w:szCs w:val="24"/>
      <w:u w:val="none"/>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7298</Words>
  <Characters>7765</Characters>
  <Lines>0</Lines>
  <Paragraphs>0</Paragraphs>
  <TotalTime>2</TotalTime>
  <ScaleCrop>false</ScaleCrop>
  <LinksUpToDate>false</LinksUpToDate>
  <CharactersWithSpaces>8369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2022-06-29T07:49:00Z</dcterms:created>
  <dc:creator>尚</dc:creator>
  <cp:lastModifiedBy>Administrator</cp:lastModifiedBy>
  <cp:lastPrinted>2023-06-14T07:12:00Z</cp:lastPrinted>
  <dcterms:modified xsi:type="dcterms:W3CDTF">2025-05-21T06:48:28Z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1BD0AAF6F6CB4101899679E54A4E3576_13</vt:lpwstr>
  </property>
  <property fmtid="{D5CDD505-2E9C-101B-9397-08002B2CF9AE}" pid="4" name="KSOTemplateDocerSaveRecord">
    <vt:lpwstr>eyJoZGlkIjoiZmZjMDUyZjUxMWU1MjJmMzY1ODUwOTU1ZmVhYjA5OTYiLCJ1c2VySWQiOiI2ODAzNzQyMTUifQ==</vt:lpwstr>
  </property>
</Properties>
</file>