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360" w:lineRule="auto"/>
        <w:ind w:firstLine="480" w:firstLineChars="200"/>
        <w:rPr>
          <w:rFonts w:ascii="宋体" w:eastAsia="宋体" w:cs="宋体"/>
          <w:color w:val="auto"/>
          <w:sz w:val="24"/>
          <w:szCs w:val="24"/>
        </w:rPr>
      </w:pPr>
    </w:p>
    <w:p>
      <w:pPr>
        <w:kinsoku/>
        <w:spacing w:line="360" w:lineRule="auto"/>
        <w:jc w:val="center"/>
        <w:rPr>
          <w:rFonts w:ascii="宋体" w:eastAsia="宋体" w:cs="宋体"/>
          <w:b/>
          <w:bCs/>
          <w:color w:val="auto"/>
          <w:sz w:val="48"/>
          <w:szCs w:val="48"/>
          <w:lang w:eastAsia="zh-CN"/>
        </w:rPr>
      </w:pPr>
    </w:p>
    <w:p>
      <w:pPr>
        <w:kinsoku/>
        <w:jc w:val="center"/>
        <w:rPr>
          <w:rFonts w:hint="eastAsia" w:ascii="宋体" w:eastAsia="宋体" w:cs="宋体"/>
          <w:b w:val="0"/>
          <w:bCs w:val="0"/>
          <w:color w:val="auto"/>
          <w:sz w:val="52"/>
          <w:szCs w:val="52"/>
          <w:lang w:eastAsia="zh-CN"/>
        </w:rPr>
      </w:pPr>
      <w:r>
        <w:rPr>
          <w:rFonts w:hint="eastAsia" w:ascii="宋体" w:eastAsia="宋体" w:cs="宋体"/>
          <w:b w:val="0"/>
          <w:bCs w:val="0"/>
          <w:color w:val="auto"/>
          <w:sz w:val="52"/>
          <w:szCs w:val="52"/>
          <w:lang w:eastAsia="zh-CN"/>
        </w:rPr>
        <w:t>2025年赤峰市红山区乡镇及农村集中式</w:t>
      </w:r>
    </w:p>
    <w:p>
      <w:pPr>
        <w:kinsoku/>
        <w:jc w:val="center"/>
        <w:rPr>
          <w:rFonts w:ascii="宋体" w:eastAsia="宋体" w:cs="宋体"/>
          <w:b w:val="0"/>
          <w:bCs w:val="0"/>
          <w:color w:val="auto"/>
          <w:sz w:val="44"/>
          <w:szCs w:val="44"/>
          <w:lang w:eastAsia="zh-CN"/>
        </w:rPr>
      </w:pPr>
      <w:r>
        <w:rPr>
          <w:rFonts w:hint="eastAsia" w:ascii="宋体" w:eastAsia="宋体" w:cs="宋体"/>
          <w:b w:val="0"/>
          <w:bCs w:val="0"/>
          <w:color w:val="auto"/>
          <w:sz w:val="52"/>
          <w:szCs w:val="52"/>
          <w:lang w:eastAsia="zh-CN"/>
        </w:rPr>
        <w:t>饮用水水源地水质环境监测服务项目</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pStyle w:val="16"/>
        <w:rPr>
          <w:color w:val="auto"/>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48"/>
          <w:szCs w:val="48"/>
          <w:lang w:eastAsia="zh-CN"/>
        </w:rPr>
        <w:t>竞争性磋商文件</w:t>
      </w:r>
    </w:p>
    <w:p>
      <w:pPr>
        <w:kinsoku/>
        <w:spacing w:line="360" w:lineRule="auto"/>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8"/>
          <w:szCs w:val="28"/>
          <w:lang w:eastAsia="zh-CN"/>
        </w:rPr>
        <w:t>项目编号：JZ2025-0601</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pStyle w:val="16"/>
        <w:rPr>
          <w:rFonts w:ascii="宋体" w:eastAsia="宋体" w:cs="宋体"/>
          <w:color w:val="auto"/>
          <w:sz w:val="24"/>
          <w:szCs w:val="24"/>
          <w:lang w:eastAsia="zh-CN"/>
        </w:rPr>
      </w:pPr>
    </w:p>
    <w:p>
      <w:pPr>
        <w:rPr>
          <w:color w:val="auto"/>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left="0" w:leftChars="0" w:right="0" w:rightChars="0" w:firstLine="0" w:firstLineChars="0"/>
        <w:jc w:val="center"/>
        <w:rPr>
          <w:rFonts w:ascii="宋体" w:eastAsia="宋体" w:cs="宋体"/>
          <w:color w:val="auto"/>
          <w:sz w:val="28"/>
          <w:szCs w:val="28"/>
          <w:lang w:eastAsia="zh-CN"/>
        </w:rPr>
      </w:pPr>
      <w:r>
        <w:rPr>
          <w:rFonts w:hint="eastAsia" w:ascii="宋体" w:eastAsia="宋体" w:cs="宋体"/>
          <w:color w:val="auto"/>
          <w:sz w:val="28"/>
          <w:szCs w:val="28"/>
          <w:lang w:eastAsia="zh-CN"/>
        </w:rPr>
        <w:t>采购单位名称：赤峰市生态环境局红山区分局</w:t>
      </w:r>
    </w:p>
    <w:p>
      <w:pPr>
        <w:kinsoku/>
        <w:spacing w:line="360" w:lineRule="auto"/>
        <w:ind w:left="0" w:leftChars="0" w:right="0" w:rightChars="0" w:firstLine="0" w:firstLineChars="0"/>
        <w:jc w:val="center"/>
        <w:rPr>
          <w:rFonts w:ascii="宋体" w:eastAsia="宋体" w:cs="宋体"/>
          <w:color w:val="auto"/>
          <w:sz w:val="28"/>
          <w:szCs w:val="28"/>
          <w:lang w:eastAsia="zh-CN"/>
        </w:rPr>
      </w:pPr>
      <w:r>
        <w:rPr>
          <w:rFonts w:hint="eastAsia" w:ascii="宋体" w:eastAsia="宋体" w:cs="宋体"/>
          <w:color w:val="auto"/>
          <w:sz w:val="28"/>
          <w:szCs w:val="28"/>
          <w:lang w:eastAsia="zh-CN"/>
        </w:rPr>
        <w:t>代理机构名称：赤峰鸿途项目管理有限公司</w:t>
      </w:r>
    </w:p>
    <w:p>
      <w:pPr>
        <w:kinsoku/>
        <w:spacing w:line="360" w:lineRule="auto"/>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8"/>
          <w:szCs w:val="28"/>
          <w:lang w:eastAsia="zh-CN"/>
        </w:rPr>
        <w:t>二〇二五年七月</w:t>
      </w:r>
    </w:p>
    <w:p>
      <w:pPr>
        <w:kinsoku/>
        <w:spacing w:line="360" w:lineRule="auto"/>
        <w:ind w:firstLine="480" w:firstLineChars="200"/>
        <w:rPr>
          <w:rFonts w:ascii="宋体" w:eastAsia="宋体" w:cs="宋体"/>
          <w:color w:val="auto"/>
          <w:sz w:val="24"/>
          <w:szCs w:val="24"/>
          <w:lang w:eastAsia="zh-CN"/>
        </w:rPr>
        <w:sectPr>
          <w:headerReference r:id="rId3" w:type="default"/>
          <w:pgSz w:w="11906" w:h="16838"/>
          <w:pgMar w:top="1440" w:right="1080" w:bottom="1440" w:left="1080" w:header="0" w:footer="850" w:gutter="0"/>
          <w:cols w:space="0" w:num="1"/>
          <w:rtlGutter w:val="0"/>
          <w:docGrid w:linePitch="312" w:charSpace="0"/>
        </w:sectPr>
      </w:pPr>
    </w:p>
    <w:p>
      <w:pPr>
        <w:kinsoku/>
        <w:spacing w:line="480" w:lineRule="auto"/>
        <w:ind w:firstLine="562" w:firstLineChars="200"/>
        <w:jc w:val="center"/>
        <w:rPr>
          <w:rFonts w:ascii="宋体" w:eastAsia="宋体" w:cs="宋体"/>
          <w:b/>
          <w:bCs/>
          <w:color w:val="auto"/>
          <w:sz w:val="28"/>
          <w:szCs w:val="28"/>
          <w:lang w:eastAsia="zh-CN"/>
        </w:rPr>
      </w:pPr>
      <w:r>
        <w:rPr>
          <w:rFonts w:hint="eastAsia" w:ascii="宋体" w:eastAsia="宋体" w:cs="宋体"/>
          <w:b/>
          <w:bCs/>
          <w:color w:val="auto"/>
          <w:sz w:val="28"/>
          <w:szCs w:val="28"/>
          <w:lang w:eastAsia="zh-CN"/>
        </w:rPr>
        <w:t>目  录</w:t>
      </w:r>
    </w:p>
    <w:p>
      <w:pPr>
        <w:kinsoku/>
        <w:spacing w:line="48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第一章  磋商邀请</w:t>
      </w:r>
    </w:p>
    <w:p>
      <w:pPr>
        <w:kinsoku/>
        <w:spacing w:line="48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第二章  供应商须知</w:t>
      </w:r>
    </w:p>
    <w:p>
      <w:pPr>
        <w:kinsoku/>
        <w:spacing w:line="48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第三章  采购内容与技术要求</w:t>
      </w:r>
    </w:p>
    <w:p>
      <w:pPr>
        <w:kinsoku/>
        <w:spacing w:line="48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第四章  供应商资格证明及相关文件要求</w:t>
      </w:r>
    </w:p>
    <w:p>
      <w:pPr>
        <w:kinsoku/>
        <w:spacing w:line="48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第五章  评审</w:t>
      </w:r>
    </w:p>
    <w:p>
      <w:pPr>
        <w:kinsoku/>
        <w:spacing w:line="48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第六章  合同与验收</w:t>
      </w:r>
    </w:p>
    <w:p>
      <w:pPr>
        <w:kinsoku/>
        <w:spacing w:line="48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第七章  响应文件格式与要求</w:t>
      </w:r>
    </w:p>
    <w:p>
      <w:pPr>
        <w:kinsoku/>
        <w:spacing w:line="360" w:lineRule="auto"/>
        <w:ind w:firstLine="560" w:firstLineChars="200"/>
        <w:rPr>
          <w:rFonts w:ascii="宋体" w:eastAsia="宋体" w:cs="宋体"/>
          <w:color w:val="auto"/>
          <w:sz w:val="28"/>
          <w:szCs w:val="28"/>
          <w:lang w:eastAsia="zh-CN"/>
        </w:rPr>
      </w:pPr>
    </w:p>
    <w:p>
      <w:pPr>
        <w:kinsoku/>
        <w:spacing w:line="360" w:lineRule="auto"/>
        <w:ind w:firstLine="480" w:firstLineChars="200"/>
        <w:rPr>
          <w:rFonts w:ascii="宋体" w:eastAsia="宋体" w:cs="宋体"/>
          <w:color w:val="auto"/>
          <w:sz w:val="24"/>
          <w:szCs w:val="24"/>
          <w:lang w:eastAsia="zh-CN"/>
        </w:rPr>
        <w:sectPr>
          <w:headerReference r:id="rId4" w:type="default"/>
          <w:pgSz w:w="11906" w:h="16838"/>
          <w:pgMar w:top="1440" w:right="1080" w:bottom="1440" w:left="1080" w:header="0" w:footer="850" w:gutter="0"/>
          <w:cols w:space="0" w:num="1"/>
          <w:rtlGutter w:val="0"/>
          <w:docGrid w:linePitch="312" w:charSpace="0"/>
        </w:sectPr>
      </w:pPr>
    </w:p>
    <w:p>
      <w:pPr>
        <w:kinsoku/>
        <w:spacing w:line="360" w:lineRule="auto"/>
        <w:ind w:firstLine="562" w:firstLineChars="200"/>
        <w:jc w:val="center"/>
        <w:outlineLvl w:val="0"/>
        <w:rPr>
          <w:rFonts w:ascii="宋体" w:eastAsia="宋体" w:cs="宋体"/>
          <w:color w:val="auto"/>
          <w:sz w:val="24"/>
          <w:szCs w:val="24"/>
          <w:lang w:eastAsia="zh-CN"/>
        </w:rPr>
      </w:pPr>
      <w:r>
        <w:rPr>
          <w:rFonts w:hint="eastAsia" w:ascii="宋体" w:eastAsia="宋体" w:cs="宋体"/>
          <w:b/>
          <w:bCs/>
          <w:color w:val="auto"/>
          <w:sz w:val="28"/>
          <w:szCs w:val="28"/>
          <w:lang w:eastAsia="zh-CN"/>
        </w:rPr>
        <w:t>第一章  磋商邀请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赤峰鸿途项目管理有限公司受赤峰市生态环境局红山区分局委托，采用竞争性磋商方式组织采购2025年赤峰市红山区乡镇及农村集中式饮用水水源地水质环境监测服务项目，欢迎符合资格条件的供应商前来参加。</w:t>
      </w:r>
    </w:p>
    <w:p>
      <w:pPr>
        <w:kinsoku/>
        <w:spacing w:line="360" w:lineRule="auto"/>
        <w:ind w:firstLine="481" w:firstLineChars="200"/>
        <w:outlineLvl w:val="1"/>
        <w:rPr>
          <w:rFonts w:ascii="宋体" w:eastAsia="宋体" w:cs="宋体"/>
          <w:b/>
          <w:bCs/>
          <w:color w:val="auto"/>
          <w:sz w:val="24"/>
          <w:szCs w:val="24"/>
          <w:lang w:eastAsia="zh-CN"/>
        </w:rPr>
      </w:pPr>
      <w:r>
        <w:rPr>
          <w:rFonts w:hint="eastAsia" w:ascii="宋体" w:eastAsia="宋体" w:cs="宋体"/>
          <w:b/>
          <w:bCs/>
          <w:color w:val="auto"/>
          <w:sz w:val="24"/>
          <w:szCs w:val="24"/>
          <w:lang w:eastAsia="zh-CN"/>
        </w:rPr>
        <w:t>一、项目概述</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1.名称与编号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项目名称：2025年赤峰市红山区乡镇及农村集中式饮用水水源地水质环境监测服务项目</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项目编号：JZ2025-0601</w:t>
      </w:r>
    </w:p>
    <w:p>
      <w:pPr>
        <w:numPr>
          <w:ilvl w:val="0"/>
          <w:numId w:val="0"/>
        </w:numPr>
        <w:kinsoku/>
        <w:spacing w:line="360" w:lineRule="auto"/>
        <w:ind w:firstLine="480" w:firstLineChars="200"/>
        <w:rPr>
          <w:rFonts w:hint="eastAsia" w:ascii="宋体" w:eastAsia="宋体" w:cs="宋体"/>
          <w:color w:val="auto"/>
          <w:sz w:val="24"/>
          <w:szCs w:val="24"/>
        </w:rPr>
      </w:pPr>
      <w:r>
        <w:rPr>
          <w:rFonts w:hint="eastAsia" w:ascii="宋体" w:hAnsi="Arial" w:eastAsia="宋体" w:cs="宋体"/>
          <w:snapToGrid w:val="0"/>
          <w:color w:val="auto"/>
          <w:sz w:val="24"/>
          <w:szCs w:val="24"/>
          <w:lang w:val="en-US" w:eastAsia="en-US" w:bidi="ar-SA"/>
        </w:rPr>
        <w:t>2.</w:t>
      </w:r>
      <w:r>
        <w:rPr>
          <w:rFonts w:hint="eastAsia" w:ascii="宋体" w:eastAsia="宋体" w:cs="宋体"/>
          <w:color w:val="auto"/>
          <w:sz w:val="24"/>
          <w:szCs w:val="24"/>
        </w:rPr>
        <w:t>内容及划分采购包情况</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采购包</w:t>
      </w:r>
      <w:r>
        <w:rPr>
          <w:rFonts w:hint="eastAsia" w:ascii="宋体" w:hAnsi="宋体" w:eastAsia="宋体" w:cs="宋体"/>
          <w:spacing w:val="0"/>
          <w:w w:val="100"/>
          <w:sz w:val="24"/>
          <w:szCs w:val="24"/>
          <w:lang w:val="en-US" w:eastAsia="zh-CN"/>
        </w:rPr>
        <w:t>1：2025年赤峰市红山区乡镇及农村集中式饮用水水源地水质环境监测服务项目</w:t>
      </w:r>
    </w:p>
    <w:p>
      <w:pPr>
        <w:numPr>
          <w:ilvl w:val="0"/>
          <w:numId w:val="0"/>
        </w:numPr>
        <w:ind w:firstLine="480" w:firstLineChars="200"/>
        <w:outlineLvl w:val="9"/>
        <w:rPr>
          <w:rFonts w:hint="default"/>
          <w:highlight w:val="none"/>
          <w:lang w:val="en-US"/>
        </w:rPr>
      </w:pPr>
      <w:r>
        <w:rPr>
          <w:rFonts w:hint="eastAsia" w:ascii="宋体" w:hAnsi="宋体" w:eastAsia="宋体" w:cs="宋体"/>
          <w:spacing w:val="0"/>
          <w:w w:val="100"/>
          <w:sz w:val="24"/>
          <w:szCs w:val="24"/>
          <w:lang w:eastAsia="zh-CN"/>
        </w:rPr>
        <w:t>采购包预算金额（元）:133076.00</w:t>
      </w:r>
    </w:p>
    <w:tbl>
      <w:tblPr>
        <w:tblStyle w:val="18"/>
        <w:tblW w:w="99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6"/>
        <w:gridCol w:w="4302"/>
        <w:gridCol w:w="1056"/>
        <w:gridCol w:w="1565"/>
        <w:gridCol w:w="1394"/>
        <w:gridCol w:w="11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0" w:hRule="atLeast"/>
          <w:jc w:val="center"/>
        </w:trPr>
        <w:tc>
          <w:tcPr>
            <w:tcW w:w="0" w:type="auto"/>
            <w:shd w:val="clear" w:color="auto" w:fill="auto"/>
            <w:vAlign w:val="center"/>
          </w:tcPr>
          <w:p>
            <w:pPr>
              <w:pStyle w:val="35"/>
              <w:ind w:left="0" w:leftChars="0" w:right="0" w:rightChars="0" w:firstLine="0" w:firstLineChars="0"/>
              <w:jc w:val="center"/>
              <w:rPr>
                <w:rFonts w:hint="eastAsia" w:ascii="宋体" w:hAnsi="宋体" w:eastAsia="宋体" w:cs="宋体"/>
                <w:b/>
                <w:bCs/>
                <w:highlight w:val="none"/>
                <w:lang w:val="en-US" w:eastAsia="zh-CN"/>
              </w:rPr>
            </w:pPr>
            <w:r>
              <w:rPr>
                <w:rFonts w:hint="eastAsia" w:ascii="宋体" w:hAnsi="宋体" w:eastAsia="宋体" w:cs="宋体"/>
                <w:b/>
                <w:bCs/>
                <w:highlight w:val="none"/>
              </w:rPr>
              <w:t>序号</w:t>
            </w:r>
          </w:p>
        </w:tc>
        <w:tc>
          <w:tcPr>
            <w:tcW w:w="0" w:type="auto"/>
            <w:vAlign w:val="center"/>
          </w:tcPr>
          <w:p>
            <w:pPr>
              <w:pStyle w:val="35"/>
              <w:ind w:left="0" w:leftChars="0" w:right="0" w:righ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标的名称</w:t>
            </w:r>
          </w:p>
        </w:tc>
        <w:tc>
          <w:tcPr>
            <w:tcW w:w="0" w:type="auto"/>
            <w:vAlign w:val="center"/>
          </w:tcPr>
          <w:p>
            <w:pPr>
              <w:pStyle w:val="35"/>
              <w:ind w:left="0" w:leftChars="0" w:right="0" w:rightChars="0" w:firstLine="0" w:firstLineChars="0"/>
              <w:jc w:val="center"/>
              <w:rPr>
                <w:rFonts w:hint="eastAsia" w:ascii="宋体" w:hAnsi="宋体" w:eastAsia="宋体" w:cs="宋体"/>
                <w:b/>
                <w:bCs/>
                <w:highlight w:val="none"/>
                <w:lang w:eastAsia="zh-CN"/>
              </w:rPr>
            </w:pPr>
            <w:r>
              <w:rPr>
                <w:rFonts w:hint="eastAsia" w:ascii="宋体" w:hAnsi="宋体" w:eastAsia="宋体" w:cs="宋体"/>
                <w:b/>
                <w:bCs/>
                <w:highlight w:val="none"/>
              </w:rPr>
              <w:t>数量</w:t>
            </w:r>
            <w:r>
              <w:rPr>
                <w:rFonts w:hint="eastAsia" w:ascii="宋体" w:hAnsi="宋体" w:eastAsia="宋体" w:cs="宋体"/>
                <w:b/>
                <w:bCs/>
                <w:highlight w:val="none"/>
                <w:lang w:eastAsia="zh-CN"/>
              </w:rPr>
              <w:t>（项）</w:t>
            </w:r>
          </w:p>
        </w:tc>
        <w:tc>
          <w:tcPr>
            <w:tcW w:w="0" w:type="auto"/>
            <w:shd w:val="clear" w:color="auto" w:fill="auto"/>
            <w:vAlign w:val="center"/>
          </w:tcPr>
          <w:p>
            <w:pPr>
              <w:pStyle w:val="35"/>
              <w:ind w:left="0" w:leftChars="0" w:right="0" w:righ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技术规格、参数及要求</w:t>
            </w:r>
          </w:p>
        </w:tc>
        <w:tc>
          <w:tcPr>
            <w:tcW w:w="0" w:type="auto"/>
            <w:shd w:val="clear" w:color="auto" w:fill="auto"/>
            <w:vAlign w:val="center"/>
          </w:tcPr>
          <w:p>
            <w:pPr>
              <w:pStyle w:val="35"/>
              <w:ind w:left="0" w:leftChars="0" w:right="0" w:rightChars="0" w:firstLine="0" w:firstLine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eastAsia="zh-CN"/>
              </w:rPr>
              <w:t>标的预算</w:t>
            </w:r>
            <w:r>
              <w:rPr>
                <w:rFonts w:hint="eastAsia" w:ascii="宋体" w:hAnsi="宋体" w:eastAsia="宋体" w:cs="宋体"/>
                <w:b/>
                <w:bCs/>
                <w:highlight w:val="none"/>
              </w:rPr>
              <w:t>（元）</w:t>
            </w:r>
          </w:p>
        </w:tc>
        <w:tc>
          <w:tcPr>
            <w:tcW w:w="0" w:type="auto"/>
            <w:shd w:val="clear" w:color="auto" w:fill="auto"/>
            <w:vAlign w:val="center"/>
          </w:tcPr>
          <w:p>
            <w:pPr>
              <w:pStyle w:val="35"/>
              <w:ind w:left="0" w:leftChars="0" w:right="0" w:righ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所属行业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3" w:hRule="atLeast"/>
          <w:jc w:val="center"/>
        </w:trPr>
        <w:tc>
          <w:tcPr>
            <w:tcW w:w="0" w:type="auto"/>
            <w:shd w:val="clear" w:color="auto" w:fill="auto"/>
            <w:vAlign w:val="center"/>
          </w:tcPr>
          <w:p>
            <w:pPr>
              <w:pStyle w:val="35"/>
              <w:ind w:left="0" w:leftChars="0" w:right="0" w:rightChars="0" w:firstLine="0" w:firstLine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rPr>
              <w:t>1</w:t>
            </w:r>
          </w:p>
        </w:tc>
        <w:tc>
          <w:tcPr>
            <w:tcW w:w="0" w:type="auto"/>
            <w:vAlign w:val="center"/>
          </w:tcPr>
          <w:p>
            <w:pPr>
              <w:pStyle w:val="35"/>
              <w:ind w:left="0" w:leftChars="0" w:right="0" w:rightChars="0" w:firstLine="0" w:firstLineChars="0"/>
              <w:jc w:val="center"/>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2025年赤峰市红山区乡镇及农村集中式饮用水水源地水质环境监测服务项目</w:t>
            </w:r>
          </w:p>
        </w:tc>
        <w:tc>
          <w:tcPr>
            <w:tcW w:w="0" w:type="auto"/>
            <w:vAlign w:val="center"/>
          </w:tcPr>
          <w:p>
            <w:pPr>
              <w:pStyle w:val="35"/>
              <w:ind w:left="0" w:leftChars="0" w:right="0" w:rightChars="0" w:firstLine="0" w:firstLineChars="0"/>
              <w:jc w:val="center"/>
              <w:rPr>
                <w:rFonts w:hint="eastAsia" w:ascii="宋体" w:hAnsi="宋体" w:eastAsia="宋体" w:cs="宋体"/>
                <w:b w:val="0"/>
                <w:bCs w:val="0"/>
                <w:highlight w:val="none"/>
              </w:rPr>
            </w:pPr>
            <w:r>
              <w:rPr>
                <w:rFonts w:hint="eastAsia" w:ascii="宋体" w:hAnsi="宋体" w:eastAsia="宋体" w:cs="宋体"/>
                <w:b w:val="0"/>
                <w:bCs w:val="0"/>
                <w:highlight w:val="none"/>
              </w:rPr>
              <w:t>1.00</w:t>
            </w:r>
          </w:p>
        </w:tc>
        <w:tc>
          <w:tcPr>
            <w:tcW w:w="0" w:type="auto"/>
            <w:shd w:val="clear" w:color="auto" w:fill="auto"/>
            <w:vAlign w:val="center"/>
          </w:tcPr>
          <w:p>
            <w:pPr>
              <w:pStyle w:val="35"/>
              <w:ind w:left="0" w:leftChars="0" w:right="0" w:rightChars="0" w:firstLine="0" w:firstLine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详见采购文件第三章</w:t>
            </w:r>
          </w:p>
        </w:tc>
        <w:tc>
          <w:tcPr>
            <w:tcW w:w="0" w:type="auto"/>
            <w:shd w:val="clear" w:color="auto" w:fill="auto"/>
            <w:vAlign w:val="center"/>
          </w:tcPr>
          <w:p>
            <w:pPr>
              <w:pStyle w:val="35"/>
              <w:ind w:left="0" w:leftChars="0" w:right="0" w:rightChars="0" w:firstLine="0" w:firstLineChars="0"/>
              <w:jc w:val="center"/>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133076.00</w:t>
            </w:r>
          </w:p>
        </w:tc>
        <w:tc>
          <w:tcPr>
            <w:tcW w:w="0" w:type="auto"/>
            <w:shd w:val="clear" w:color="auto" w:fill="auto"/>
            <w:vAlign w:val="center"/>
          </w:tcPr>
          <w:p>
            <w:pPr>
              <w:pStyle w:val="35"/>
              <w:ind w:left="0" w:leftChars="0" w:right="0" w:rightChars="0" w:firstLine="0" w:firstLineChars="0"/>
              <w:jc w:val="center"/>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其他未列明行业</w:t>
            </w:r>
          </w:p>
        </w:tc>
      </w:tr>
    </w:tbl>
    <w:p>
      <w:pPr>
        <w:kinsoku/>
        <w:spacing w:before="240" w:beforeLines="100" w:line="360" w:lineRule="auto"/>
        <w:ind w:firstLine="481" w:firstLineChars="200"/>
        <w:outlineLvl w:val="1"/>
        <w:rPr>
          <w:rFonts w:ascii="宋体" w:eastAsia="宋体" w:cs="宋体"/>
          <w:color w:val="auto"/>
          <w:sz w:val="24"/>
          <w:szCs w:val="24"/>
        </w:rPr>
      </w:pPr>
      <w:r>
        <w:rPr>
          <w:rFonts w:hint="eastAsia" w:ascii="宋体" w:eastAsia="宋体" w:cs="宋体"/>
          <w:b/>
          <w:bCs/>
          <w:color w:val="auto"/>
          <w:sz w:val="24"/>
          <w:szCs w:val="24"/>
        </w:rPr>
        <w:t>二、供应商的资格要求</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1.供应商应符合《中华人民共和国政府采购法》第二十二条规定的条件。</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2.资格审查时，供应商未被列入失信被执行人、重大税收违法失信主体、政府采购严重违法失信行为记录名单，相关信用情况通过“信用中国”网站、中国政府采购网等渠道查询。</w:t>
      </w:r>
    </w:p>
    <w:p>
      <w:pPr>
        <w:kinsoku/>
        <w:spacing w:line="360" w:lineRule="auto"/>
        <w:ind w:firstLine="480" w:firstLineChars="200"/>
        <w:rPr>
          <w:rFonts w:hint="eastAsia" w:ascii="宋体" w:eastAsia="宋体" w:cs="宋体"/>
          <w:color w:val="auto"/>
          <w:sz w:val="24"/>
          <w:szCs w:val="24"/>
          <w:lang w:eastAsia="zh-CN"/>
        </w:rPr>
      </w:pPr>
      <w:r>
        <w:rPr>
          <w:rFonts w:hint="eastAsia" w:ascii="宋体" w:eastAsia="宋体" w:cs="宋体"/>
          <w:color w:val="auto"/>
          <w:sz w:val="24"/>
          <w:szCs w:val="24"/>
          <w:lang w:eastAsia="zh-CN"/>
        </w:rPr>
        <w:t>3.本项目的特定资格要求：供应商须具备监督部门颁发的检验检测机构资质认定证书（CMA）（包含相应环境监测参数，详见第三章采购内容及技术要求）。提供资质证书及检测指标相关附件页复印件加盖公章。</w:t>
      </w:r>
    </w:p>
    <w:p>
      <w:pPr>
        <w:kinsoku/>
        <w:spacing w:line="360" w:lineRule="auto"/>
        <w:ind w:firstLine="480" w:firstLineChars="200"/>
        <w:rPr>
          <w:rFonts w:hint="eastAsia" w:ascii="宋体" w:eastAsia="宋体" w:cs="宋体"/>
          <w:color w:val="auto"/>
          <w:sz w:val="24"/>
          <w:szCs w:val="24"/>
          <w:lang w:eastAsia="zh-CN"/>
        </w:rPr>
      </w:pPr>
      <w:r>
        <w:rPr>
          <w:rFonts w:hint="eastAsia" w:ascii="宋体" w:eastAsia="宋体" w:cs="宋体"/>
          <w:color w:val="auto"/>
          <w:sz w:val="24"/>
          <w:szCs w:val="24"/>
          <w:lang w:eastAsia="zh-CN"/>
        </w:rPr>
        <w:t>4.落实政府采购政策需满足的资格要求：</w:t>
      </w:r>
      <w:r>
        <w:rPr>
          <w:rFonts w:hint="eastAsia" w:ascii="宋体" w:hAnsi="宋体" w:eastAsia="宋体" w:cs="宋体"/>
          <w:color w:val="auto"/>
          <w:sz w:val="24"/>
          <w:szCs w:val="24"/>
          <w:highlight w:val="none"/>
          <w:lang w:eastAsia="zh-CN"/>
        </w:rPr>
        <w:t>无</w:t>
      </w:r>
    </w:p>
    <w:p>
      <w:pPr>
        <w:kinsoku/>
        <w:spacing w:line="360" w:lineRule="auto"/>
        <w:ind w:firstLine="480" w:firstLineChars="200"/>
        <w:outlineLvl w:val="9"/>
        <w:rPr>
          <w:rFonts w:hint="eastAsia" w:ascii="宋体" w:eastAsia="宋体" w:cs="宋体"/>
          <w:b w:val="0"/>
          <w:bCs w:val="0"/>
          <w:color w:val="auto"/>
          <w:sz w:val="24"/>
          <w:szCs w:val="24"/>
          <w:lang w:eastAsia="zh-CN"/>
        </w:rPr>
      </w:pPr>
      <w:r>
        <w:rPr>
          <w:rFonts w:hint="eastAsia" w:ascii="宋体" w:eastAsia="宋体" w:cs="宋体"/>
          <w:b w:val="0"/>
          <w:bCs w:val="0"/>
          <w:color w:val="auto"/>
          <w:sz w:val="24"/>
          <w:szCs w:val="24"/>
          <w:lang w:eastAsia="zh-CN"/>
        </w:rPr>
        <w:t>5.本项目接受联合体投标：联合体成员不得超过两家</w:t>
      </w:r>
    </w:p>
    <w:p>
      <w:pPr>
        <w:kinsoku/>
        <w:spacing w:line="360" w:lineRule="auto"/>
        <w:ind w:firstLine="480" w:firstLineChars="200"/>
        <w:rPr>
          <w:rFonts w:hint="eastAsia" w:ascii="宋体" w:eastAsia="宋体" w:cs="宋体"/>
          <w:color w:val="auto"/>
          <w:sz w:val="24"/>
          <w:szCs w:val="24"/>
          <w:lang w:eastAsia="zh-CN"/>
        </w:rPr>
      </w:pPr>
      <w:r>
        <w:rPr>
          <w:rFonts w:hint="eastAsia" w:ascii="宋体" w:eastAsia="宋体" w:cs="宋体"/>
          <w:color w:val="auto"/>
          <w:sz w:val="24"/>
          <w:szCs w:val="24"/>
          <w:lang w:eastAsia="zh-CN"/>
        </w:rPr>
        <w:t>（</w:t>
      </w:r>
      <w:r>
        <w:rPr>
          <w:rFonts w:hint="eastAsia" w:ascii="宋体" w:eastAsia="宋体" w:cs="宋体"/>
          <w:color w:val="auto"/>
          <w:sz w:val="24"/>
          <w:szCs w:val="24"/>
          <w:lang w:val="en-US" w:eastAsia="zh-CN"/>
        </w:rPr>
        <w:t>1</w:t>
      </w:r>
      <w:r>
        <w:rPr>
          <w:rFonts w:hint="eastAsia" w:ascii="宋体" w:eastAsia="宋体" w:cs="宋体"/>
          <w:color w:val="auto"/>
          <w:sz w:val="24"/>
          <w:szCs w:val="24"/>
          <w:lang w:eastAsia="zh-CN"/>
        </w:rPr>
        <w:t>）以联合体形式进行本项目采购活动的，参加联合体的各方供应商均应具备</w:t>
      </w:r>
      <w:r>
        <w:rPr>
          <w:rFonts w:hint="eastAsia" w:ascii="宋体" w:eastAsia="宋体" w:cs="宋体"/>
          <w:b w:val="0"/>
          <w:bCs w:val="0"/>
          <w:color w:val="auto"/>
          <w:sz w:val="24"/>
          <w:szCs w:val="24"/>
          <w:lang w:eastAsia="zh-CN"/>
        </w:rPr>
        <w:t>《中华人民共和国政府采购法》第二十二条规定的条件，</w:t>
      </w:r>
      <w:r>
        <w:rPr>
          <w:rFonts w:hint="eastAsia" w:ascii="宋体" w:eastAsia="宋体" w:cs="宋体"/>
          <w:color w:val="auto"/>
          <w:sz w:val="24"/>
          <w:szCs w:val="24"/>
          <w:lang w:eastAsia="zh-CN"/>
        </w:rPr>
        <w:t>资格审查时，未被列入失信被执行人、重大税收违法失信主体、政府采购严重违法失信行为记录名单，相关信用情况通过“信用中国”网站、中国政府采购网等渠道查询。</w:t>
      </w:r>
    </w:p>
    <w:p>
      <w:pPr>
        <w:kinsoku/>
        <w:spacing w:line="360" w:lineRule="auto"/>
        <w:ind w:firstLine="480" w:firstLineChars="200"/>
        <w:rPr>
          <w:rFonts w:hint="eastAsia" w:ascii="宋体" w:eastAsia="宋体" w:cs="宋体"/>
          <w:color w:val="auto"/>
          <w:sz w:val="24"/>
          <w:szCs w:val="24"/>
          <w:lang w:eastAsia="zh-CN"/>
        </w:rPr>
      </w:pPr>
      <w:r>
        <w:rPr>
          <w:rFonts w:hint="eastAsia" w:ascii="宋体" w:eastAsia="宋体" w:cs="宋体"/>
          <w:color w:val="auto"/>
          <w:sz w:val="24"/>
          <w:szCs w:val="24"/>
          <w:lang w:eastAsia="zh-CN"/>
        </w:rPr>
        <w:t>（</w:t>
      </w:r>
      <w:r>
        <w:rPr>
          <w:rFonts w:hint="eastAsia" w:ascii="宋体" w:eastAsia="宋体" w:cs="宋体"/>
          <w:color w:val="auto"/>
          <w:sz w:val="24"/>
          <w:szCs w:val="24"/>
          <w:lang w:val="en-US" w:eastAsia="zh-CN"/>
        </w:rPr>
        <w:t>2</w:t>
      </w:r>
      <w:r>
        <w:rPr>
          <w:rFonts w:hint="eastAsia" w:ascii="宋体" w:eastAsia="宋体" w:cs="宋体"/>
          <w:color w:val="auto"/>
          <w:sz w:val="24"/>
          <w:szCs w:val="24"/>
          <w:lang w:eastAsia="zh-CN"/>
        </w:rPr>
        <w:t>）以联合体形式进行本项目采购活动的，应当在响应文件中提交联合体协议书，载明联合体各方承担的工作和义务。</w:t>
      </w:r>
    </w:p>
    <w:p>
      <w:pPr>
        <w:kinsoku/>
        <w:spacing w:line="360" w:lineRule="auto"/>
        <w:ind w:firstLine="480" w:firstLineChars="200"/>
        <w:rPr>
          <w:rFonts w:hint="eastAsia" w:ascii="宋体" w:eastAsia="宋体" w:cs="宋体"/>
          <w:color w:val="auto"/>
          <w:sz w:val="24"/>
          <w:szCs w:val="24"/>
          <w:lang w:eastAsia="zh-CN"/>
        </w:rPr>
      </w:pPr>
      <w:r>
        <w:rPr>
          <w:rFonts w:hint="eastAsia" w:ascii="宋体" w:eastAsia="宋体" w:cs="宋体"/>
          <w:color w:val="auto"/>
          <w:sz w:val="24"/>
          <w:szCs w:val="24"/>
          <w:lang w:eastAsia="zh-CN"/>
        </w:rPr>
        <w:t>（</w:t>
      </w:r>
      <w:r>
        <w:rPr>
          <w:rFonts w:hint="eastAsia" w:ascii="宋体" w:eastAsia="宋体" w:cs="宋体"/>
          <w:color w:val="auto"/>
          <w:sz w:val="24"/>
          <w:szCs w:val="24"/>
          <w:lang w:val="en-US" w:eastAsia="zh-CN"/>
        </w:rPr>
        <w:t>3</w:t>
      </w:r>
      <w:r>
        <w:rPr>
          <w:rFonts w:hint="eastAsia" w:ascii="宋体" w:eastAsia="宋体" w:cs="宋体"/>
          <w:color w:val="auto"/>
          <w:sz w:val="24"/>
          <w:szCs w:val="24"/>
          <w:lang w:eastAsia="zh-CN"/>
        </w:rPr>
        <w:t>）此次联合体投标，应指定具备监督部门颁发的检验检测机构资质认定证书（CMA）的一方为联合体牵头人，并以牵头人的的名义办理报名。</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三、获取磋商文件的时间、地点、方式</w:t>
      </w:r>
    </w:p>
    <w:p>
      <w:pPr>
        <w:kinsoku/>
        <w:spacing w:line="360" w:lineRule="auto"/>
        <w:ind w:firstLine="480" w:firstLineChars="200"/>
        <w:rPr>
          <w:rFonts w:ascii="宋体" w:eastAsia="宋体" w:cs="宋体"/>
          <w:b/>
          <w:bCs/>
          <w:color w:val="auto"/>
          <w:sz w:val="24"/>
          <w:szCs w:val="24"/>
          <w:lang w:eastAsia="zh-CN"/>
        </w:rPr>
      </w:pPr>
      <w:r>
        <w:rPr>
          <w:rFonts w:hint="eastAsia" w:ascii="宋体" w:eastAsia="宋体" w:cs="宋体"/>
          <w:color w:val="auto"/>
          <w:sz w:val="24"/>
          <w:szCs w:val="24"/>
          <w:lang w:eastAsia="zh-CN"/>
        </w:rPr>
        <w:t>详见竞争性磋商公告</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四、磋商文件售价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本次磋商文件的售价为0元人民币。</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五、响应文件提交的截止时间、开启时间和地点</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详见竞争性磋商公告</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六、联系方式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称：赤峰市生态环境局红山区分局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址：赤峰市红山区长青街中段116号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highlight w:val="yellow"/>
          <w:lang w:val="en-US"/>
        </w:rPr>
      </w:pPr>
      <w:r>
        <w:rPr>
          <w:rFonts w:hint="eastAsia" w:ascii="宋体" w:hAnsi="宋体" w:eastAsia="宋体" w:cs="宋体"/>
          <w:sz w:val="24"/>
          <w:szCs w:val="24"/>
        </w:rPr>
        <w:t>联系方式：赵文琪</w:t>
      </w:r>
      <w:r>
        <w:rPr>
          <w:rFonts w:hint="eastAsia" w:ascii="宋体" w:hAnsi="宋体" w:eastAsia="宋体" w:cs="宋体"/>
          <w:sz w:val="24"/>
          <w:szCs w:val="24"/>
          <w:highlight w:val="none"/>
          <w:lang w:val="en-US" w:eastAsia="zh-CN"/>
        </w:rPr>
        <w:t xml:space="preserve"> 0476-5876663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赤峰鸿途项目管理有限公司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址：内蒙古自治区赤峰市松山区上海城1-7-07018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联系方式：王工 0476-5974147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王</w:t>
      </w:r>
      <w:r>
        <w:rPr>
          <w:rFonts w:hint="eastAsia" w:ascii="宋体" w:hAnsi="宋体" w:eastAsia="宋体" w:cs="宋体"/>
          <w:sz w:val="24"/>
          <w:szCs w:val="24"/>
          <w:lang w:val="en-US" w:eastAsia="zh-CN"/>
        </w:rPr>
        <w:t>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val="en-US" w:eastAsia="zh-CN"/>
        </w:rPr>
        <w:t>0476-5974147</w:t>
      </w:r>
    </w:p>
    <w:p>
      <w:pPr>
        <w:kinsoku/>
        <w:spacing w:line="360" w:lineRule="auto"/>
        <w:rPr>
          <w:rFonts w:ascii="宋体" w:eastAsia="宋体" w:cs="宋体"/>
          <w:color w:val="auto"/>
          <w:sz w:val="24"/>
          <w:szCs w:val="24"/>
          <w:lang w:eastAsia="zh-CN"/>
        </w:rPr>
        <w:sectPr>
          <w:footerReference r:id="rId5" w:type="default"/>
          <w:pgSz w:w="11906" w:h="16838"/>
          <w:pgMar w:top="1440" w:right="1080" w:bottom="1440" w:left="1080" w:header="0" w:footer="850" w:gutter="0"/>
          <w:pgNumType w:fmt="decimal" w:start="1"/>
          <w:cols w:space="0" w:num="1"/>
          <w:rtlGutter w:val="0"/>
          <w:docGrid w:linePitch="312" w:charSpace="0"/>
        </w:sectPr>
      </w:pPr>
      <w:bookmarkStart w:id="0" w:name="_GoBack"/>
      <w:bookmarkEnd w:id="0"/>
    </w:p>
    <w:p>
      <w:pPr>
        <w:kinsoku/>
        <w:spacing w:line="360" w:lineRule="auto"/>
        <w:ind w:firstLine="562" w:firstLineChars="200"/>
        <w:jc w:val="center"/>
        <w:outlineLvl w:val="0"/>
        <w:rPr>
          <w:rFonts w:ascii="宋体" w:eastAsia="宋体" w:cs="宋体"/>
          <w:color w:val="auto"/>
          <w:sz w:val="24"/>
          <w:szCs w:val="24"/>
          <w:lang w:eastAsia="zh-CN"/>
        </w:rPr>
      </w:pPr>
      <w:r>
        <w:rPr>
          <w:rFonts w:hint="eastAsia" w:ascii="宋体" w:eastAsia="宋体" w:cs="宋体"/>
          <w:b/>
          <w:bCs/>
          <w:color w:val="auto"/>
          <w:sz w:val="28"/>
          <w:szCs w:val="28"/>
          <w:lang w:eastAsia="zh-CN"/>
        </w:rPr>
        <w:t>第二章  供应商须知</w:t>
      </w:r>
    </w:p>
    <w:p>
      <w:pPr>
        <w:kinsoku/>
        <w:spacing w:line="360" w:lineRule="auto"/>
        <w:ind w:firstLine="481" w:firstLineChars="200"/>
        <w:outlineLvl w:val="1"/>
        <w:rPr>
          <w:rFonts w:ascii="宋体" w:eastAsia="宋体" w:cs="宋体"/>
          <w:color w:val="auto"/>
          <w:sz w:val="24"/>
          <w:szCs w:val="24"/>
        </w:rPr>
      </w:pPr>
      <w:r>
        <w:rPr>
          <w:rFonts w:hint="eastAsia" w:ascii="宋体" w:eastAsia="宋体" w:cs="宋体"/>
          <w:b/>
          <w:bCs/>
          <w:color w:val="auto"/>
          <w:sz w:val="24"/>
          <w:szCs w:val="24"/>
        </w:rPr>
        <w:t>一、前附表</w:t>
      </w:r>
    </w:p>
    <w:tbl>
      <w:tblPr>
        <w:tblStyle w:val="18"/>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358"/>
        <w:gridCol w:w="4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序号</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事项</w:t>
            </w:r>
          </w:p>
        </w:tc>
        <w:tc>
          <w:tcPr>
            <w:tcW w:w="463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划分采购包情况</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rPr>
            </w:pPr>
            <w:r>
              <w:rPr>
                <w:rFonts w:hint="eastAsia" w:ascii="宋体" w:eastAsia="宋体" w:cs="宋体"/>
                <w:color w:val="auto"/>
                <w:sz w:val="24"/>
                <w:szCs w:val="24"/>
              </w:rPr>
              <w:t>共</w:t>
            </w:r>
            <w:r>
              <w:rPr>
                <w:rFonts w:hint="eastAsia" w:ascii="宋体" w:eastAsia="宋体" w:cs="宋体"/>
                <w:color w:val="auto"/>
                <w:sz w:val="24"/>
                <w:szCs w:val="24"/>
                <w:lang w:val="en-US" w:eastAsia="zh-CN"/>
              </w:rPr>
              <w:t xml:space="preserve"> 1 </w:t>
            </w:r>
            <w:r>
              <w:rPr>
                <w:rFonts w:hint="eastAsia" w:ascii="宋体" w:eastAsia="宋体" w:cs="宋体"/>
                <w:color w:val="auto"/>
                <w:sz w:val="24"/>
                <w:szCs w:val="24"/>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2</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采购方式</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rPr>
            </w:pPr>
            <w:r>
              <w:rPr>
                <w:rFonts w:hint="eastAsia" w:ascii="宋体" w:eastAsia="宋体" w:cs="宋体"/>
                <w:color w:val="auto"/>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3</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开启方式</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线上开启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4</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评审方式</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线上评审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5</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评审方法</w:t>
            </w:r>
          </w:p>
        </w:tc>
        <w:tc>
          <w:tcPr>
            <w:tcW w:w="4638" w:type="dxa"/>
            <w:tcBorders>
              <w:tl2br w:val="nil"/>
              <w:tr2bl w:val="nil"/>
            </w:tcBorders>
            <w:shd w:val="clear" w:color="auto" w:fill="auto"/>
            <w:vAlign w:val="center"/>
          </w:tcPr>
          <w:p>
            <w:pPr>
              <w:kinsoku/>
              <w:spacing w:line="360" w:lineRule="auto"/>
              <w:jc w:val="both"/>
            </w:pPr>
            <w:r>
              <w:rPr>
                <w:rFonts w:hint="eastAsia" w:ascii="宋体" w:eastAsia="宋体" w:cs="宋体"/>
                <w:color w:val="auto"/>
                <w:sz w:val="24"/>
                <w:szCs w:val="24"/>
                <w:lang w:eastAsia="zh-CN"/>
              </w:rPr>
              <w:t>采购包</w:t>
            </w:r>
            <w:r>
              <w:rPr>
                <w:rFonts w:hint="eastAsia" w:ascii="宋体" w:eastAsia="宋体" w:cs="宋体"/>
                <w:color w:val="auto"/>
                <w:sz w:val="24"/>
                <w:szCs w:val="24"/>
                <w:lang w:val="en-US" w:eastAsia="zh-CN"/>
              </w:rPr>
              <w:t>1：</w:t>
            </w:r>
            <w:r>
              <w:rPr>
                <w:rFonts w:hint="eastAsia" w:ascii="宋体" w:eastAsia="宋体" w:cs="宋体"/>
                <w:color w:val="auto"/>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6</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获取磋商文件时间</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rPr>
            </w:pPr>
            <w:r>
              <w:rPr>
                <w:rFonts w:hint="eastAsia" w:ascii="宋体" w:eastAsia="宋体" w:cs="宋体"/>
                <w:color w:val="auto"/>
                <w:sz w:val="24"/>
                <w:szCs w:val="24"/>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7</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lang w:eastAsia="zh-CN"/>
              </w:rPr>
              <w:t>磋商</w:t>
            </w:r>
            <w:r>
              <w:rPr>
                <w:rFonts w:hint="eastAsia" w:ascii="宋体" w:eastAsia="宋体" w:cs="宋体"/>
                <w:color w:val="auto"/>
                <w:sz w:val="24"/>
                <w:szCs w:val="24"/>
              </w:rPr>
              <w:t>保证金缴纳截止时间</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同响应文件提交截止时间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8</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lang w:eastAsia="zh-CN"/>
              </w:rPr>
              <w:t>电子</w:t>
            </w:r>
            <w:r>
              <w:rPr>
                <w:rFonts w:hint="eastAsia" w:ascii="宋体" w:eastAsia="宋体" w:cs="宋体"/>
                <w:color w:val="auto"/>
                <w:sz w:val="24"/>
                <w:szCs w:val="24"/>
              </w:rPr>
              <w:t>响应文件提交</w:t>
            </w:r>
          </w:p>
        </w:tc>
        <w:tc>
          <w:tcPr>
            <w:tcW w:w="4638" w:type="dxa"/>
            <w:tcBorders>
              <w:tl2br w:val="nil"/>
              <w:tr2bl w:val="nil"/>
            </w:tcBorders>
            <w:shd w:val="clear" w:color="auto" w:fill="auto"/>
            <w:vAlign w:val="center"/>
          </w:tcPr>
          <w:p>
            <w:pPr>
              <w:kinsoku/>
              <w:spacing w:line="360" w:lineRule="auto"/>
              <w:jc w:val="both"/>
              <w:rPr>
                <w:rFonts w:hint="eastAsia" w:ascii="宋体" w:eastAsia="宋体" w:cs="宋体"/>
                <w:color w:val="auto"/>
                <w:sz w:val="24"/>
                <w:szCs w:val="24"/>
              </w:rPr>
            </w:pPr>
            <w:r>
              <w:rPr>
                <w:rFonts w:hint="eastAsia" w:ascii="宋体" w:eastAsia="宋体" w:cs="宋体"/>
                <w:color w:val="auto"/>
                <w:sz w:val="24"/>
                <w:szCs w:val="24"/>
              </w:rPr>
              <w:t>在响应文件提交截止时间前上传至“国资智采电子招投标交易平台（http://www.gzzczb.com）”。</w:t>
            </w:r>
          </w:p>
          <w:p>
            <w:pPr>
              <w:kinsoku/>
              <w:spacing w:line="360" w:lineRule="auto"/>
              <w:jc w:val="both"/>
              <w:rPr>
                <w:rFonts w:hint="eastAsia" w:ascii="宋体" w:eastAsia="宋体" w:cs="宋体"/>
                <w:color w:val="auto"/>
                <w:sz w:val="24"/>
                <w:szCs w:val="24"/>
              </w:rPr>
            </w:pPr>
            <w:r>
              <w:rPr>
                <w:rFonts w:hint="eastAsia" w:ascii="宋体" w:eastAsia="宋体" w:cs="宋体"/>
                <w:color w:val="auto"/>
                <w:sz w:val="24"/>
                <w:szCs w:val="24"/>
              </w:rPr>
              <w:t>技术支持电话：400-1166-160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9</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响应文件数量</w:t>
            </w:r>
          </w:p>
        </w:tc>
        <w:tc>
          <w:tcPr>
            <w:tcW w:w="4638" w:type="dxa"/>
            <w:tcBorders>
              <w:tl2br w:val="nil"/>
              <w:tr2bl w:val="nil"/>
            </w:tcBorders>
            <w:shd w:val="clear" w:color="auto" w:fill="auto"/>
            <w:vAlign w:val="center"/>
          </w:tcPr>
          <w:p>
            <w:pPr>
              <w:kinsoku/>
              <w:spacing w:line="360" w:lineRule="auto"/>
              <w:jc w:val="both"/>
              <w:rPr>
                <w:rFonts w:hint="default" w:ascii="宋体" w:eastAsia="宋体" w:cs="宋体"/>
                <w:color w:val="auto"/>
                <w:sz w:val="24"/>
                <w:szCs w:val="24"/>
                <w:lang w:val="en-US" w:eastAsia="zh-CN"/>
              </w:rPr>
            </w:pPr>
            <w:r>
              <w:rPr>
                <w:rFonts w:hint="eastAsia" w:ascii="宋体" w:eastAsia="宋体" w:cs="宋体"/>
                <w:color w:val="auto"/>
                <w:sz w:val="24"/>
                <w:szCs w:val="24"/>
                <w:lang w:eastAsia="zh-CN"/>
              </w:rPr>
              <w:t>加密的电子响应文件1份</w:t>
            </w:r>
            <w:r>
              <w:rPr>
                <w:rFonts w:hint="eastAsia" w:ascii="宋体" w:eastAsia="宋体" w:cs="宋体"/>
                <w:color w:val="auto"/>
                <w:sz w:val="24"/>
                <w:szCs w:val="24"/>
                <w:lang w:val="en-US" w:eastAsia="zh-CN"/>
              </w:rPr>
              <w:t>(需</w:t>
            </w:r>
            <w:r>
              <w:rPr>
                <w:rFonts w:hint="eastAsia" w:ascii="宋体" w:eastAsia="宋体" w:cs="宋体"/>
                <w:color w:val="auto"/>
                <w:sz w:val="24"/>
                <w:szCs w:val="24"/>
              </w:rPr>
              <w:t>在响应文件提交截止时间前上传至“国资智采电子招投标交易平台</w:t>
            </w:r>
            <w:r>
              <w:rPr>
                <w:rFonts w:hint="eastAsia" w:ascii="宋体" w:eastAsia="宋体" w:cs="宋体"/>
                <w:color w:val="auto"/>
                <w:sz w:val="24"/>
                <w:szCs w:val="24"/>
                <w:lang w:eastAsia="zh-CN"/>
              </w:rPr>
              <w:t>“</w:t>
            </w:r>
            <w:r>
              <w:rPr>
                <w:rFonts w:hint="eastAsia" w:ascii="宋体" w:eastAsia="宋体" w:cs="宋体"/>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10</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成交人确定</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采购人授权评审小组按照评审原则直接确定成交供应商。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11</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联合体响应</w:t>
            </w:r>
          </w:p>
        </w:tc>
        <w:tc>
          <w:tcPr>
            <w:tcW w:w="4638" w:type="dxa"/>
            <w:tcBorders>
              <w:tl2br w:val="nil"/>
              <w:tr2bl w:val="nil"/>
            </w:tcBorders>
            <w:shd w:val="clear" w:color="auto" w:fill="auto"/>
            <w:vAlign w:val="center"/>
          </w:tcPr>
          <w:p>
            <w:pPr>
              <w:pStyle w:val="9"/>
            </w:pPr>
            <w:r>
              <w:rPr>
                <w:rFonts w:hint="eastAsia" w:ascii="宋体" w:eastAsia="宋体" w:cs="宋体"/>
                <w:color w:val="auto"/>
                <w:sz w:val="24"/>
                <w:szCs w:val="24"/>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12</w:t>
            </w:r>
          </w:p>
        </w:tc>
        <w:tc>
          <w:tcPr>
            <w:tcW w:w="3358"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lang w:eastAsia="zh-CN"/>
              </w:rPr>
            </w:pPr>
            <w:r>
              <w:rPr>
                <w:rFonts w:hint="eastAsia" w:ascii="宋体" w:eastAsia="宋体" w:cs="宋体"/>
                <w:color w:val="auto"/>
                <w:sz w:val="24"/>
                <w:szCs w:val="24"/>
                <w:lang w:eastAsia="zh-CN"/>
              </w:rPr>
              <w:t>采购代理机构代理费用</w:t>
            </w:r>
          </w:p>
        </w:tc>
        <w:tc>
          <w:tcPr>
            <w:tcW w:w="4638" w:type="dxa"/>
            <w:tcBorders>
              <w:tl2br w:val="nil"/>
              <w:tr2bl w:val="nil"/>
            </w:tcBorders>
            <w:shd w:val="clear" w:color="auto" w:fill="auto"/>
            <w:vAlign w:val="center"/>
          </w:tcPr>
          <w:p>
            <w:pPr>
              <w:keepNext w:val="0"/>
              <w:keepLines w:val="0"/>
              <w:pageBreakBefore w:val="0"/>
              <w:kinsoku/>
              <w:overflowPunct/>
              <w:bidi w:val="0"/>
              <w:adjustRightInd w:val="0"/>
              <w:snapToGrid w:val="0"/>
              <w:spacing w:line="360" w:lineRule="auto"/>
              <w:ind w:left="0" w:leftChars="0" w:right="0" w:rightChars="0" w:firstLine="0" w:firstLineChars="0"/>
              <w:jc w:val="both"/>
              <w:rPr>
                <w:rFonts w:hint="eastAsia" w:ascii="宋体" w:hAnsi="宋体" w:eastAsia="宋体" w:cs="宋体"/>
                <w:b w:val="0"/>
                <w:bCs w:val="0"/>
                <w:spacing w:val="0"/>
                <w:w w:val="100"/>
                <w:sz w:val="24"/>
                <w:szCs w:val="24"/>
                <w:lang w:eastAsia="zh-CN"/>
              </w:rPr>
            </w:pPr>
            <w:r>
              <w:rPr>
                <w:rFonts w:hint="eastAsia" w:ascii="宋体" w:hAnsi="宋体" w:eastAsia="宋体" w:cs="宋体"/>
                <w:b w:val="0"/>
                <w:bCs w:val="0"/>
                <w:spacing w:val="0"/>
                <w:w w:val="100"/>
                <w:sz w:val="24"/>
                <w:szCs w:val="24"/>
                <w:lang w:eastAsia="zh-CN"/>
              </w:rPr>
              <w:t>本项目收取代理服务费</w:t>
            </w:r>
          </w:p>
          <w:p>
            <w:pPr>
              <w:keepNext w:val="0"/>
              <w:keepLines w:val="0"/>
              <w:pageBreakBefore w:val="0"/>
              <w:kinsoku/>
              <w:overflowPunct/>
              <w:bidi w:val="0"/>
              <w:adjustRightInd w:val="0"/>
              <w:snapToGrid w:val="0"/>
              <w:spacing w:line="360" w:lineRule="auto"/>
              <w:ind w:left="0" w:leftChars="0" w:right="0" w:rightChars="0" w:firstLine="0" w:firstLineChars="0"/>
              <w:jc w:val="both"/>
              <w:rPr>
                <w:rFonts w:hint="eastAsia" w:ascii="宋体" w:hAnsi="宋体" w:eastAsia="宋体" w:cs="宋体"/>
                <w:b w:val="0"/>
                <w:bCs w:val="0"/>
                <w:spacing w:val="0"/>
                <w:w w:val="100"/>
                <w:sz w:val="24"/>
                <w:szCs w:val="24"/>
                <w:highlight w:val="none"/>
                <w:lang w:eastAsia="zh-CN"/>
              </w:rPr>
            </w:pPr>
            <w:r>
              <w:rPr>
                <w:rFonts w:hint="eastAsia" w:ascii="宋体" w:hAnsi="宋体" w:eastAsia="宋体" w:cs="宋体"/>
                <w:b w:val="0"/>
                <w:bCs w:val="0"/>
                <w:spacing w:val="0"/>
                <w:w w:val="100"/>
                <w:sz w:val="24"/>
                <w:szCs w:val="24"/>
                <w:highlight w:val="none"/>
                <w:lang w:eastAsia="zh-CN"/>
              </w:rPr>
              <w:t>代理服务费用收取对象：</w:t>
            </w:r>
            <w:r>
              <w:rPr>
                <w:rFonts w:hint="eastAsia" w:ascii="宋体" w:eastAsia="宋体" w:cs="宋体"/>
                <w:color w:val="auto"/>
                <w:sz w:val="24"/>
                <w:szCs w:val="24"/>
                <w:highlight w:val="none"/>
                <w:shd w:val="clear"/>
                <w:lang w:eastAsia="zh-CN"/>
              </w:rPr>
              <w:t>采购人</w:t>
            </w:r>
          </w:p>
          <w:p>
            <w:pPr>
              <w:keepNext w:val="0"/>
              <w:keepLines w:val="0"/>
              <w:pageBreakBefore w:val="0"/>
              <w:kinsoku/>
              <w:overflowPunct/>
              <w:bidi w:val="0"/>
              <w:adjustRightInd w:val="0"/>
              <w:snapToGrid w:val="0"/>
              <w:spacing w:line="360" w:lineRule="auto"/>
              <w:ind w:left="0" w:leftChars="0" w:right="0" w:rightChars="0" w:firstLine="0" w:firstLineChars="0"/>
              <w:jc w:val="both"/>
              <w:rPr>
                <w:rFonts w:hint="eastAsia" w:ascii="宋体" w:hAnsi="宋体" w:eastAsia="宋体" w:cs="宋体"/>
                <w:b w:val="0"/>
                <w:bCs w:val="0"/>
                <w:spacing w:val="0"/>
                <w:w w:val="100"/>
                <w:sz w:val="24"/>
                <w:szCs w:val="24"/>
                <w:highlight w:val="none"/>
                <w:lang w:eastAsia="zh-CN"/>
              </w:rPr>
            </w:pPr>
            <w:r>
              <w:rPr>
                <w:rFonts w:hint="eastAsia" w:ascii="宋体" w:hAnsi="宋体" w:eastAsia="宋体" w:cs="宋体"/>
                <w:b w:val="0"/>
                <w:bCs w:val="0"/>
                <w:spacing w:val="0"/>
                <w:w w:val="100"/>
                <w:sz w:val="24"/>
                <w:szCs w:val="24"/>
                <w:highlight w:val="none"/>
                <w:lang w:eastAsia="zh-CN"/>
              </w:rPr>
              <w:t>代理服务费收取标准：</w:t>
            </w:r>
            <w:r>
              <w:rPr>
                <w:rFonts w:hint="eastAsia" w:ascii="宋体" w:hAnsi="宋体" w:eastAsia="宋体" w:cs="宋体"/>
                <w:b w:val="0"/>
                <w:bCs w:val="0"/>
                <w:color w:val="000000" w:themeColor="text1"/>
                <w:spacing w:val="0"/>
                <w:w w:val="100"/>
                <w:sz w:val="24"/>
                <w:szCs w:val="24"/>
                <w:lang w:eastAsia="zh-CN"/>
                <w14:textFill>
                  <w14:solidFill>
                    <w14:schemeClr w14:val="tx1"/>
                  </w14:solidFill>
                </w14:textFill>
              </w:rPr>
              <w:t>参照原《内蒙古自治区建设工程采购代理服务收费指导意见（试行）》（内工建协〔2022〕34号）文件收费标准，按固定金额</w:t>
            </w:r>
            <w:r>
              <w:rPr>
                <w:rFonts w:hint="eastAsia" w:ascii="宋体" w:hAnsi="宋体" w:eastAsia="宋体" w:cs="宋体"/>
                <w:b w:val="0"/>
                <w:bCs w:val="0"/>
                <w:color w:val="000000" w:themeColor="text1"/>
                <w:spacing w:val="0"/>
                <w:w w:val="100"/>
                <w:sz w:val="24"/>
                <w:szCs w:val="24"/>
                <w:lang w:val="en-US" w:eastAsia="zh-CN"/>
                <w14:textFill>
                  <w14:solidFill>
                    <w14:schemeClr w14:val="tx1"/>
                  </w14:solidFill>
                </w14:textFill>
              </w:rPr>
              <w:t>4000.00元</w:t>
            </w:r>
            <w:r>
              <w:rPr>
                <w:rFonts w:hint="eastAsia" w:ascii="宋体" w:hAnsi="宋体" w:eastAsia="宋体" w:cs="宋体"/>
                <w:b w:val="0"/>
                <w:bCs w:val="0"/>
                <w:color w:val="000000" w:themeColor="text1"/>
                <w:spacing w:val="0"/>
                <w:w w:val="100"/>
                <w:sz w:val="24"/>
                <w:szCs w:val="24"/>
                <w:lang w:eastAsia="zh-CN"/>
                <w14:textFill>
                  <w14:solidFill>
                    <w14:schemeClr w14:val="tx1"/>
                  </w14:solidFill>
                </w14:textFill>
              </w:rPr>
              <w:t>收取。</w:t>
            </w:r>
          </w:p>
          <w:p>
            <w:pPr>
              <w:kinsoku/>
              <w:spacing w:line="360" w:lineRule="auto"/>
              <w:jc w:val="both"/>
              <w:rPr>
                <w:rFonts w:ascii="宋体" w:eastAsia="宋体" w:cs="宋体"/>
                <w:color w:val="auto"/>
                <w:sz w:val="24"/>
                <w:szCs w:val="24"/>
                <w:lang w:eastAsia="zh-CN"/>
              </w:rPr>
            </w:pPr>
            <w:r>
              <w:rPr>
                <w:rFonts w:hint="eastAsia" w:ascii="宋体" w:hAnsi="宋体" w:eastAsia="宋体" w:cs="宋体"/>
                <w:b w:val="0"/>
                <w:bCs w:val="0"/>
                <w:spacing w:val="0"/>
                <w:w w:val="100"/>
                <w:sz w:val="24"/>
                <w:szCs w:val="24"/>
                <w:lang w:eastAsia="zh-CN"/>
              </w:rPr>
              <w:t>代理费用收取方式：银行转账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13</w:t>
            </w:r>
          </w:p>
        </w:tc>
        <w:tc>
          <w:tcPr>
            <w:tcW w:w="3358" w:type="dxa"/>
            <w:tcBorders>
              <w:tl2br w:val="nil"/>
              <w:tr2bl w:val="nil"/>
            </w:tcBorders>
            <w:shd w:val="clear" w:color="auto" w:fill="auto"/>
            <w:vAlign w:val="center"/>
          </w:tcPr>
          <w:p>
            <w:pPr>
              <w:kinsoku/>
              <w:spacing w:line="360" w:lineRule="auto"/>
              <w:jc w:val="center"/>
              <w:rPr>
                <w:rFonts w:ascii="宋体" w:hAnsi="Arial" w:eastAsia="宋体" w:cs="宋体"/>
                <w:snapToGrid w:val="0"/>
                <w:color w:val="auto"/>
                <w:sz w:val="24"/>
                <w:szCs w:val="24"/>
                <w:lang w:val="en-US" w:eastAsia="en-US" w:bidi="ar-SA"/>
              </w:rPr>
            </w:pPr>
            <w:r>
              <w:rPr>
                <w:rFonts w:hint="eastAsia" w:ascii="宋体" w:eastAsia="宋体" w:cs="宋体"/>
                <w:color w:val="auto"/>
                <w:sz w:val="24"/>
                <w:szCs w:val="24"/>
              </w:rPr>
              <w:t>磋商保证金</w:t>
            </w:r>
          </w:p>
        </w:tc>
        <w:tc>
          <w:tcPr>
            <w:tcW w:w="4638" w:type="dxa"/>
            <w:tcBorders>
              <w:tl2br w:val="nil"/>
              <w:tr2bl w:val="nil"/>
            </w:tcBorders>
            <w:shd w:val="clear" w:color="auto" w:fill="auto"/>
            <w:vAlign w:val="center"/>
          </w:tcPr>
          <w:p>
            <w:pPr>
              <w:kinsoku/>
              <w:spacing w:line="360" w:lineRule="auto"/>
              <w:jc w:val="both"/>
              <w:rPr>
                <w:rFonts w:ascii="宋体" w:hAnsi="Arial" w:eastAsia="宋体" w:cs="宋体"/>
                <w:snapToGrid w:val="0"/>
                <w:color w:val="auto"/>
                <w:sz w:val="24"/>
                <w:szCs w:val="24"/>
                <w:lang w:val="en-US" w:eastAsia="zh-CN" w:bidi="ar-SA"/>
              </w:rPr>
            </w:pPr>
            <w:r>
              <w:rPr>
                <w:rFonts w:hint="eastAsia" w:ascii="宋体" w:eastAsia="宋体" w:cs="宋体"/>
                <w:color w:val="auto"/>
                <w:sz w:val="24"/>
                <w:szCs w:val="24"/>
                <w:lang w:eastAsia="zh-CN"/>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14</w:t>
            </w:r>
          </w:p>
        </w:tc>
        <w:tc>
          <w:tcPr>
            <w:tcW w:w="3358" w:type="dxa"/>
            <w:tcBorders>
              <w:tl2br w:val="nil"/>
              <w:tr2bl w:val="nil"/>
            </w:tcBorders>
            <w:shd w:val="clear" w:color="auto" w:fill="auto"/>
            <w:vAlign w:val="center"/>
          </w:tcPr>
          <w:p>
            <w:pPr>
              <w:kinsoku/>
              <w:spacing w:line="360" w:lineRule="auto"/>
              <w:jc w:val="center"/>
              <w:rPr>
                <w:rFonts w:ascii="宋体" w:hAnsi="Arial" w:eastAsia="宋体" w:cs="宋体"/>
                <w:snapToGrid w:val="0"/>
                <w:color w:val="auto"/>
                <w:sz w:val="24"/>
                <w:szCs w:val="24"/>
                <w:lang w:val="en-US" w:eastAsia="zh-CN" w:bidi="ar-SA"/>
              </w:rPr>
            </w:pPr>
            <w:r>
              <w:rPr>
                <w:rFonts w:hint="eastAsia" w:ascii="宋体" w:eastAsia="宋体" w:cs="宋体"/>
                <w:color w:val="auto"/>
                <w:sz w:val="24"/>
                <w:szCs w:val="24"/>
                <w:lang w:eastAsia="zh-CN"/>
              </w:rPr>
              <w:t>电子响应文件签字、盖章要求</w:t>
            </w:r>
          </w:p>
        </w:tc>
        <w:tc>
          <w:tcPr>
            <w:tcW w:w="4638" w:type="dxa"/>
            <w:tcBorders>
              <w:tl2br w:val="nil"/>
              <w:tr2bl w:val="nil"/>
            </w:tcBorders>
            <w:shd w:val="clear" w:color="auto" w:fill="auto"/>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应按照第七章“响应文件格式与要求”，使</w:t>
            </w:r>
            <w:r>
              <w:rPr>
                <w:rFonts w:hint="eastAsia" w:ascii="宋体" w:eastAsia="宋体" w:cs="宋体"/>
                <w:color w:val="auto"/>
                <w:sz w:val="24"/>
                <w:szCs w:val="24"/>
                <w:highlight w:val="none"/>
                <w:lang w:eastAsia="zh-CN"/>
              </w:rPr>
              <w:t>用单位电子签章（CA）进行</w:t>
            </w:r>
            <w:r>
              <w:rPr>
                <w:rFonts w:hint="eastAsia" w:ascii="宋体" w:eastAsia="宋体" w:cs="宋体"/>
                <w:color w:val="auto"/>
                <w:sz w:val="24"/>
                <w:szCs w:val="24"/>
                <w:lang w:eastAsia="zh-CN"/>
              </w:rPr>
              <w:t>签字、加盖公章。</w:t>
            </w:r>
          </w:p>
          <w:p>
            <w:pPr>
              <w:pStyle w:val="16"/>
              <w:spacing w:line="360" w:lineRule="auto"/>
              <w:rPr>
                <w:rFonts w:hint="eastAsia" w:ascii="宋体" w:eastAsia="宋体" w:cs="宋体"/>
                <w:color w:val="auto"/>
                <w:sz w:val="24"/>
                <w:szCs w:val="24"/>
                <w:lang w:eastAsia="zh-CN"/>
              </w:rPr>
            </w:pPr>
            <w:r>
              <w:rPr>
                <w:rFonts w:hint="eastAsia" w:ascii="宋体" w:eastAsia="宋体" w:cs="宋体"/>
                <w:color w:val="auto"/>
                <w:sz w:val="24"/>
                <w:szCs w:val="24"/>
                <w:lang w:eastAsia="zh-CN"/>
              </w:rPr>
              <w:t>说明：若涉及到授权代表签字的可将文件签字页先进行签字、扫描后导入加密电子响应文件。</w:t>
            </w:r>
          </w:p>
          <w:p>
            <w:pPr>
              <w:spacing w:line="360" w:lineRule="auto"/>
              <w:rPr>
                <w:lang w:val="en-US" w:eastAsia="zh-CN"/>
              </w:rPr>
            </w:pPr>
            <w:r>
              <w:rPr>
                <w:rFonts w:hint="eastAsia" w:ascii="宋体" w:eastAsia="宋体" w:cs="宋体"/>
                <w:color w:val="auto"/>
                <w:sz w:val="24"/>
                <w:szCs w:val="24"/>
                <w:highlight w:val="none"/>
                <w:lang w:eastAsia="zh-CN"/>
              </w:rPr>
              <w:t>电子签章（CA）需下载安装智签宝APP申请并关联项目使用。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15</w:t>
            </w:r>
          </w:p>
        </w:tc>
        <w:tc>
          <w:tcPr>
            <w:tcW w:w="3358" w:type="dxa"/>
            <w:tcBorders>
              <w:tl2br w:val="nil"/>
              <w:tr2bl w:val="nil"/>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ascii="宋体" w:hAnsi="Arial" w:eastAsia="宋体" w:cs="宋体"/>
                <w:snapToGrid w:val="0"/>
                <w:color w:val="auto"/>
                <w:sz w:val="24"/>
                <w:szCs w:val="24"/>
                <w:lang w:val="en-US" w:eastAsia="en-US" w:bidi="ar-SA"/>
              </w:rPr>
            </w:pPr>
            <w:r>
              <w:rPr>
                <w:rFonts w:hint="eastAsia" w:ascii="宋体" w:eastAsia="宋体" w:cs="宋体"/>
                <w:color w:val="auto"/>
                <w:sz w:val="24"/>
                <w:szCs w:val="24"/>
                <w:highlight w:val="none"/>
                <w:lang w:eastAsia="zh-CN"/>
              </w:rPr>
              <w:t>投标客户端</w:t>
            </w:r>
          </w:p>
        </w:tc>
        <w:tc>
          <w:tcPr>
            <w:tcW w:w="4638" w:type="dxa"/>
            <w:tcBorders>
              <w:tl2br w:val="nil"/>
              <w:tr2bl w:val="nil"/>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jc w:val="both"/>
              <w:textAlignment w:val="baseline"/>
              <w:rPr>
                <w:rFonts w:ascii="宋体" w:hAnsi="Arial" w:eastAsia="宋体" w:cs="宋体"/>
                <w:snapToGrid w:val="0"/>
                <w:color w:val="auto"/>
                <w:sz w:val="24"/>
                <w:szCs w:val="24"/>
                <w:lang w:val="en-US" w:eastAsia="zh-CN" w:bidi="ar-SA"/>
              </w:rPr>
            </w:pPr>
            <w:r>
              <w:rPr>
                <w:rFonts w:hint="eastAsia" w:ascii="宋体" w:eastAsia="宋体" w:cs="宋体"/>
                <w:color w:val="auto"/>
                <w:sz w:val="24"/>
                <w:szCs w:val="24"/>
                <w:highlight w:val="none"/>
                <w:lang w:eastAsia="zh-CN"/>
              </w:rPr>
              <w:t>投标客户端需要供应商在“</w:t>
            </w:r>
            <w:r>
              <w:rPr>
                <w:rFonts w:hint="eastAsia" w:ascii="宋体" w:eastAsia="宋体" w:cs="宋体"/>
                <w:color w:val="auto"/>
                <w:sz w:val="24"/>
                <w:szCs w:val="24"/>
                <w:highlight w:val="none"/>
              </w:rPr>
              <w:t>国资智采电子招投标交易平台（http://www.gzzczb.com）</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w:t>
            </w:r>
            <w:r>
              <w:rPr>
                <w:rFonts w:hint="eastAsia" w:ascii="宋体" w:eastAsia="宋体" w:cs="宋体"/>
                <w:color w:val="auto"/>
                <w:sz w:val="24"/>
                <w:szCs w:val="24"/>
                <w:highlight w:val="none"/>
                <w:lang w:eastAsia="zh-CN"/>
              </w:rPr>
              <w:t>下载中心</w:t>
            </w:r>
            <w:r>
              <w:rPr>
                <w:rFonts w:hint="eastAsia" w:ascii="宋体" w:eastAsia="宋体" w:cs="宋体"/>
                <w:color w:val="auto"/>
                <w:sz w:val="24"/>
                <w:szCs w:val="24"/>
                <w:highlight w:val="none"/>
                <w:lang w:val="en-US" w:eastAsia="zh-CN"/>
              </w:rPr>
              <w:t>”</w:t>
            </w:r>
            <w:r>
              <w:rPr>
                <w:rFonts w:hint="eastAsia" w:ascii="宋体" w:eastAsia="宋体" w:cs="宋体"/>
                <w:color w:val="auto"/>
                <w:sz w:val="24"/>
                <w:szCs w:val="24"/>
                <w:highlight w:val="none"/>
                <w:lang w:eastAsia="zh-CN"/>
              </w:rPr>
              <w:t>自行下载。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16</w:t>
            </w:r>
          </w:p>
        </w:tc>
        <w:tc>
          <w:tcPr>
            <w:tcW w:w="3358" w:type="dxa"/>
            <w:tcBorders>
              <w:tl2br w:val="nil"/>
              <w:tr2bl w:val="nil"/>
            </w:tcBorders>
            <w:shd w:val="clear" w:color="auto" w:fill="auto"/>
            <w:vAlign w:val="center"/>
          </w:tcPr>
          <w:p>
            <w:pPr>
              <w:kinsoku/>
              <w:spacing w:line="360" w:lineRule="auto"/>
              <w:jc w:val="center"/>
              <w:rPr>
                <w:rFonts w:ascii="宋体" w:hAnsi="Arial" w:eastAsia="宋体" w:cs="宋体"/>
                <w:snapToGrid w:val="0"/>
                <w:color w:val="auto"/>
                <w:sz w:val="24"/>
                <w:szCs w:val="24"/>
                <w:lang w:val="en-US" w:eastAsia="zh-CN" w:bidi="ar-SA"/>
              </w:rPr>
            </w:pPr>
            <w:r>
              <w:rPr>
                <w:rFonts w:hint="eastAsia" w:ascii="宋体" w:eastAsia="宋体" w:cs="宋体"/>
                <w:color w:val="auto"/>
                <w:sz w:val="24"/>
                <w:szCs w:val="24"/>
                <w:lang w:eastAsia="zh-CN"/>
              </w:rPr>
              <w:t>面向中小企业采购</w:t>
            </w:r>
          </w:p>
        </w:tc>
        <w:tc>
          <w:tcPr>
            <w:tcW w:w="4638" w:type="dxa"/>
            <w:tcBorders>
              <w:tl2br w:val="nil"/>
              <w:tr2bl w:val="nil"/>
            </w:tcBorders>
            <w:shd w:val="clear" w:color="auto" w:fill="auto"/>
            <w:vAlign w:val="center"/>
          </w:tcPr>
          <w:p>
            <w:pPr>
              <w:kinsoku/>
              <w:spacing w:line="360" w:lineRule="auto"/>
              <w:jc w:val="both"/>
              <w:rPr>
                <w:rFonts w:ascii="宋体" w:hAnsi="Arial" w:eastAsia="宋体" w:cs="宋体"/>
                <w:snapToGrid w:val="0"/>
                <w:color w:val="auto"/>
                <w:sz w:val="24"/>
                <w:szCs w:val="24"/>
                <w:lang w:val="en-US" w:eastAsia="zh-CN" w:bidi="ar-SA"/>
              </w:rPr>
            </w:pPr>
            <w:r>
              <w:rPr>
                <w:rFonts w:hint="eastAsia" w:ascii="宋体" w:eastAsia="宋体" w:cs="宋体"/>
                <w:color w:val="auto"/>
                <w:sz w:val="24"/>
                <w:szCs w:val="24"/>
                <w:lang w:eastAsia="zh-CN"/>
              </w:rPr>
              <w:t>不属于专门面向中小企业采购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17</w:t>
            </w:r>
          </w:p>
        </w:tc>
        <w:tc>
          <w:tcPr>
            <w:tcW w:w="3358" w:type="dxa"/>
            <w:tcBorders>
              <w:tl2br w:val="nil"/>
              <w:tr2bl w:val="nil"/>
            </w:tcBorders>
            <w:shd w:val="clear" w:color="auto" w:fill="auto"/>
            <w:vAlign w:val="center"/>
          </w:tcPr>
          <w:p>
            <w:pPr>
              <w:kinsoku/>
              <w:spacing w:line="360" w:lineRule="auto"/>
              <w:jc w:val="center"/>
              <w:rPr>
                <w:rFonts w:ascii="宋体" w:hAnsi="Arial" w:eastAsia="宋体" w:cs="宋体"/>
                <w:snapToGrid w:val="0"/>
                <w:color w:val="auto"/>
                <w:sz w:val="24"/>
                <w:szCs w:val="24"/>
                <w:lang w:val="en-US" w:eastAsia="en-US" w:bidi="ar-SA"/>
              </w:rPr>
            </w:pPr>
            <w:r>
              <w:rPr>
                <w:rFonts w:hint="eastAsia" w:ascii="宋体" w:eastAsia="宋体" w:cs="宋体"/>
                <w:color w:val="auto"/>
                <w:sz w:val="24"/>
                <w:szCs w:val="24"/>
              </w:rPr>
              <w:t>有效供应商家数</w:t>
            </w:r>
          </w:p>
        </w:tc>
        <w:tc>
          <w:tcPr>
            <w:tcW w:w="4638" w:type="dxa"/>
            <w:tcBorders>
              <w:tl2br w:val="nil"/>
              <w:tr2bl w:val="nil"/>
            </w:tcBorders>
            <w:shd w:val="clear" w:color="auto" w:fill="auto"/>
            <w:vAlign w:val="center"/>
          </w:tcPr>
          <w:p>
            <w:pPr>
              <w:kinsoku/>
              <w:spacing w:line="360" w:lineRule="auto"/>
              <w:jc w:val="both"/>
              <w:rPr>
                <w:rFonts w:hint="eastAsia" w:ascii="宋体" w:hAnsi="Arial" w:eastAsia="宋体" w:cs="宋体"/>
                <w:snapToGrid w:val="0"/>
                <w:color w:val="auto"/>
                <w:sz w:val="24"/>
                <w:szCs w:val="24"/>
                <w:lang w:val="en-US" w:eastAsia="zh-CN" w:bidi="ar-SA"/>
              </w:rPr>
            </w:pPr>
            <w:r>
              <w:rPr>
                <w:rFonts w:hint="eastAsia" w:ascii="宋体" w:hAnsi="Arial" w:eastAsia="宋体" w:cs="宋体"/>
                <w:snapToGrid w:val="0"/>
                <w:color w:val="auto"/>
                <w:sz w:val="24"/>
                <w:szCs w:val="24"/>
                <w:lang w:val="en-US" w:eastAsia="zh-CN" w:bidi="ar-SA"/>
              </w:rPr>
              <w:t>采购包1：3家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18</w:t>
            </w:r>
          </w:p>
        </w:tc>
        <w:tc>
          <w:tcPr>
            <w:tcW w:w="3358" w:type="dxa"/>
            <w:tcBorders>
              <w:tl2br w:val="nil"/>
              <w:tr2bl w:val="nil"/>
            </w:tcBorders>
            <w:shd w:val="clear" w:color="auto" w:fill="auto"/>
            <w:vAlign w:val="center"/>
          </w:tcPr>
          <w:p>
            <w:pPr>
              <w:kinsoku/>
              <w:spacing w:line="360" w:lineRule="auto"/>
              <w:jc w:val="center"/>
              <w:rPr>
                <w:rFonts w:ascii="宋体" w:hAnsi="Arial" w:eastAsia="宋体" w:cs="宋体"/>
                <w:snapToGrid w:val="0"/>
                <w:color w:val="auto"/>
                <w:sz w:val="24"/>
                <w:szCs w:val="24"/>
                <w:lang w:val="en-US" w:eastAsia="zh-CN" w:bidi="ar-SA"/>
              </w:rPr>
            </w:pPr>
            <w:r>
              <w:rPr>
                <w:rFonts w:hint="eastAsia" w:ascii="宋体" w:eastAsia="宋体" w:cs="宋体"/>
                <w:color w:val="auto"/>
                <w:sz w:val="24"/>
                <w:szCs w:val="24"/>
              </w:rPr>
              <w:t>报价形式</w:t>
            </w:r>
          </w:p>
        </w:tc>
        <w:tc>
          <w:tcPr>
            <w:tcW w:w="4638" w:type="dxa"/>
            <w:tcBorders>
              <w:tl2br w:val="nil"/>
              <w:tr2bl w:val="nil"/>
            </w:tcBorders>
            <w:shd w:val="clear" w:color="auto" w:fill="auto"/>
            <w:vAlign w:val="center"/>
          </w:tcPr>
          <w:p>
            <w:pPr>
              <w:kinsoku/>
              <w:spacing w:line="360" w:lineRule="auto"/>
              <w:jc w:val="both"/>
              <w:rPr>
                <w:rFonts w:ascii="宋体" w:hAnsi="Arial" w:eastAsia="宋体" w:cs="宋体"/>
                <w:snapToGrid w:val="0"/>
                <w:color w:val="auto"/>
                <w:sz w:val="24"/>
                <w:szCs w:val="24"/>
                <w:lang w:val="en-US" w:eastAsia="zh-CN" w:bidi="ar-SA"/>
              </w:rPr>
            </w:pPr>
            <w:r>
              <w:rPr>
                <w:rFonts w:hint="eastAsia" w:ascii="宋体" w:hAnsi="Arial" w:eastAsia="宋体" w:cs="宋体"/>
                <w:snapToGrid w:val="0"/>
                <w:color w:val="auto"/>
                <w:sz w:val="24"/>
                <w:szCs w:val="24"/>
                <w:lang w:val="en-US" w:eastAsia="zh-CN" w:bidi="ar-SA"/>
              </w:rPr>
              <w:t>采购包1：总价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19</w:t>
            </w:r>
          </w:p>
        </w:tc>
        <w:tc>
          <w:tcPr>
            <w:tcW w:w="3358" w:type="dxa"/>
            <w:tcBorders>
              <w:tl2br w:val="nil"/>
              <w:tr2bl w:val="nil"/>
            </w:tcBorders>
            <w:shd w:val="clear" w:color="auto" w:fill="auto"/>
            <w:vAlign w:val="center"/>
          </w:tcPr>
          <w:p>
            <w:pPr>
              <w:kinsoku/>
              <w:spacing w:line="360" w:lineRule="auto"/>
              <w:jc w:val="center"/>
              <w:rPr>
                <w:rFonts w:ascii="宋体" w:hAnsi="Arial" w:eastAsia="宋体" w:cs="宋体"/>
                <w:snapToGrid w:val="0"/>
                <w:color w:val="auto"/>
                <w:sz w:val="24"/>
                <w:szCs w:val="24"/>
                <w:lang w:val="en-US" w:eastAsia="en-US" w:bidi="ar-SA"/>
              </w:rPr>
            </w:pPr>
            <w:r>
              <w:rPr>
                <w:rFonts w:hint="eastAsia" w:ascii="宋体" w:eastAsia="宋体" w:cs="宋体"/>
                <w:color w:val="auto"/>
                <w:sz w:val="24"/>
                <w:szCs w:val="24"/>
              </w:rPr>
              <w:t>现场踏勘</w:t>
            </w:r>
          </w:p>
        </w:tc>
        <w:tc>
          <w:tcPr>
            <w:tcW w:w="4638" w:type="dxa"/>
            <w:tcBorders>
              <w:tl2br w:val="nil"/>
              <w:tr2bl w:val="nil"/>
            </w:tcBorders>
            <w:shd w:val="clear" w:color="auto" w:fill="auto"/>
            <w:vAlign w:val="center"/>
          </w:tcPr>
          <w:p>
            <w:pPr>
              <w:kinsoku/>
              <w:spacing w:line="360" w:lineRule="auto"/>
              <w:jc w:val="both"/>
              <w:rPr>
                <w:rFonts w:hint="eastAsia" w:ascii="宋体" w:hAnsi="Arial" w:eastAsia="宋体" w:cs="宋体"/>
                <w:snapToGrid w:val="0"/>
                <w:color w:val="auto"/>
                <w:sz w:val="24"/>
                <w:szCs w:val="24"/>
                <w:lang w:val="en-US" w:eastAsia="zh-CN" w:bidi="ar-SA"/>
              </w:rPr>
            </w:pPr>
            <w:r>
              <w:rPr>
                <w:rFonts w:hint="eastAsia" w:ascii="宋体" w:hAnsi="Arial" w:eastAsia="宋体" w:cs="宋体"/>
                <w:snapToGrid w:val="0"/>
                <w:color w:val="auto"/>
                <w:sz w:val="24"/>
                <w:szCs w:val="24"/>
                <w:lang w:val="en-US" w:eastAsia="zh-CN" w:bidi="ar-SA"/>
              </w:rPr>
              <w:t>采购包1：组织现场踏勘：否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0" w:type="dxa"/>
            <w:tcBorders>
              <w:tl2br w:val="nil"/>
              <w:tr2bl w:val="nil"/>
            </w:tcBorders>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rPr>
              <w:t>20</w:t>
            </w:r>
          </w:p>
        </w:tc>
        <w:tc>
          <w:tcPr>
            <w:tcW w:w="3358" w:type="dxa"/>
            <w:tcBorders>
              <w:tl2br w:val="nil"/>
              <w:tr2bl w:val="nil"/>
            </w:tcBorders>
            <w:shd w:val="clear" w:color="auto" w:fill="auto"/>
            <w:vAlign w:val="center"/>
          </w:tcPr>
          <w:p>
            <w:pPr>
              <w:kinsoku/>
              <w:spacing w:line="360" w:lineRule="auto"/>
              <w:jc w:val="center"/>
              <w:rPr>
                <w:rFonts w:ascii="宋体" w:hAnsi="Arial" w:eastAsia="宋体" w:cs="宋体"/>
                <w:snapToGrid w:val="0"/>
                <w:color w:val="auto"/>
                <w:sz w:val="24"/>
                <w:szCs w:val="24"/>
                <w:lang w:val="en-US" w:eastAsia="en-US" w:bidi="ar-SA"/>
              </w:rPr>
            </w:pPr>
            <w:r>
              <w:rPr>
                <w:rFonts w:hint="eastAsia" w:ascii="宋体" w:eastAsia="宋体" w:cs="宋体"/>
                <w:color w:val="auto"/>
                <w:sz w:val="24"/>
                <w:szCs w:val="24"/>
              </w:rPr>
              <w:t>其他</w:t>
            </w:r>
          </w:p>
        </w:tc>
        <w:tc>
          <w:tcPr>
            <w:tcW w:w="4638" w:type="dxa"/>
            <w:tcBorders>
              <w:tl2br w:val="nil"/>
              <w:tr2bl w:val="nil"/>
            </w:tcBorders>
            <w:shd w:val="clear" w:color="auto" w:fill="auto"/>
            <w:vAlign w:val="center"/>
          </w:tcPr>
          <w:p>
            <w:pPr>
              <w:kinsoku/>
              <w:spacing w:line="360" w:lineRule="auto"/>
              <w:jc w:val="both"/>
              <w:rPr>
                <w:rFonts w:hint="eastAsia" w:ascii="宋体" w:hAnsi="Arial" w:eastAsia="宋体" w:cs="宋体"/>
                <w:snapToGrid w:val="0"/>
                <w:color w:val="auto"/>
                <w:sz w:val="24"/>
                <w:szCs w:val="24"/>
                <w:lang w:val="en-US" w:eastAsia="zh-CN" w:bidi="ar-SA"/>
              </w:rPr>
            </w:pPr>
            <w:r>
              <w:rPr>
                <w:rFonts w:hint="eastAsia" w:ascii="宋体" w:eastAsia="宋体" w:cs="宋体"/>
                <w:snapToGrid w:val="0"/>
                <w:color w:val="auto"/>
                <w:sz w:val="24"/>
                <w:szCs w:val="24"/>
                <w:lang w:val="en-US" w:eastAsia="zh-CN" w:bidi="ar-SA"/>
              </w:rPr>
              <w:t>无</w:t>
            </w:r>
          </w:p>
        </w:tc>
      </w:tr>
    </w:tbl>
    <w:p>
      <w:pPr>
        <w:kinsoku/>
        <w:spacing w:before="240" w:beforeLines="100" w:line="360" w:lineRule="auto"/>
        <w:ind w:firstLine="481" w:firstLineChars="200"/>
        <w:outlineLvl w:val="1"/>
        <w:rPr>
          <w:rFonts w:ascii="宋体" w:eastAsia="宋体" w:cs="宋体"/>
          <w:b/>
          <w:bCs/>
          <w:color w:val="auto"/>
          <w:sz w:val="24"/>
          <w:szCs w:val="24"/>
        </w:rPr>
      </w:pPr>
      <w:r>
        <w:rPr>
          <w:rFonts w:hint="eastAsia" w:ascii="宋体" w:eastAsia="宋体" w:cs="宋体"/>
          <w:b/>
          <w:bCs/>
          <w:color w:val="auto"/>
          <w:sz w:val="24"/>
          <w:szCs w:val="24"/>
        </w:rPr>
        <w:t>二、磋商须知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1" w:firstLineChars="200"/>
        <w:jc w:val="both"/>
        <w:textAlignment w:val="baseline"/>
        <w:rPr>
          <w:rFonts w:hint="default" w:ascii="宋体" w:eastAsia="宋体" w:cs="宋体"/>
          <w:b/>
          <w:bCs/>
          <w:color w:val="auto"/>
          <w:sz w:val="24"/>
          <w:szCs w:val="24"/>
          <w:highlight w:val="none"/>
          <w:lang w:val="en-US" w:eastAsia="zh-CN"/>
        </w:rPr>
      </w:pPr>
      <w:r>
        <w:rPr>
          <w:rFonts w:hint="eastAsia" w:ascii="宋体" w:eastAsia="宋体" w:cs="宋体"/>
          <w:b/>
          <w:bCs/>
          <w:color w:val="auto"/>
          <w:sz w:val="24"/>
          <w:szCs w:val="24"/>
          <w:highlight w:val="none"/>
          <w:lang w:val="en-US" w:eastAsia="zh-CN"/>
        </w:rPr>
        <w:t>1.响应方式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本项目</w:t>
      </w:r>
      <w:r>
        <w:rPr>
          <w:rFonts w:hint="eastAsia" w:ascii="宋体" w:eastAsia="宋体" w:cs="宋体"/>
          <w:color w:val="auto"/>
          <w:sz w:val="24"/>
          <w:szCs w:val="24"/>
          <w:highlight w:val="none"/>
        </w:rPr>
        <w:t>采取网上响应方式，供应商应当在国资智采电子招投标交易平台（http://www.gzzczb.com）申请或注册账号，完善信息后，才可进行网上响应</w:t>
      </w:r>
      <w:r>
        <w:rPr>
          <w:rFonts w:hint="eastAsia" w:ascii="宋体" w:eastAsia="宋体" w:cs="宋体"/>
          <w:color w:val="auto"/>
          <w:sz w:val="24"/>
          <w:szCs w:val="24"/>
          <w:highlight w:val="none"/>
          <w:lang w:eastAsia="zh-CN"/>
        </w:rPr>
        <w:t>，操作流程详见“投标人使用手册”。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b w:val="0"/>
          <w:bCs w:val="0"/>
          <w:color w:val="auto"/>
          <w:sz w:val="24"/>
          <w:szCs w:val="24"/>
          <w:highlight w:val="none"/>
        </w:rPr>
      </w:pPr>
      <w:r>
        <w:rPr>
          <w:rFonts w:hint="eastAsia" w:ascii="宋体" w:eastAsia="宋体" w:cs="宋体"/>
          <w:b w:val="0"/>
          <w:bCs w:val="0"/>
          <w:color w:val="auto"/>
          <w:sz w:val="24"/>
          <w:szCs w:val="24"/>
          <w:highlight w:val="none"/>
        </w:rPr>
        <w:t>请各供应商仔细阅读使用手册，了解操作流程，熟练掌握不见面开标、不见面评标操作相关事宜，若无法正常投标，供应商自行承担责任。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1" w:firstLineChars="200"/>
        <w:jc w:val="both"/>
        <w:textAlignment w:val="baseline"/>
        <w:rPr>
          <w:rFonts w:hint="eastAsia" w:ascii="宋体" w:eastAsia="宋体" w:cs="宋体"/>
          <w:color w:val="auto"/>
          <w:sz w:val="24"/>
          <w:szCs w:val="24"/>
          <w:highlight w:val="none"/>
        </w:rPr>
      </w:pPr>
      <w:r>
        <w:rPr>
          <w:rFonts w:hint="eastAsia" w:ascii="宋体" w:eastAsia="宋体" w:cs="宋体"/>
          <w:b/>
          <w:bCs/>
          <w:color w:val="auto"/>
          <w:sz w:val="24"/>
          <w:szCs w:val="24"/>
          <w:highlight w:val="none"/>
        </w:rPr>
        <w:t>2.</w:t>
      </w:r>
      <w:r>
        <w:rPr>
          <w:rFonts w:hint="eastAsia" w:ascii="宋体" w:eastAsia="宋体" w:cs="宋体"/>
          <w:b/>
          <w:bCs/>
          <w:color w:val="auto"/>
          <w:sz w:val="24"/>
          <w:szCs w:val="24"/>
          <w:highlight w:val="none"/>
          <w:lang w:eastAsia="zh-CN"/>
        </w:rPr>
        <w:t>磋商</w:t>
      </w:r>
      <w:r>
        <w:rPr>
          <w:rFonts w:hint="eastAsia" w:ascii="宋体" w:eastAsia="宋体" w:cs="宋体"/>
          <w:b/>
          <w:bCs/>
          <w:color w:val="auto"/>
          <w:sz w:val="24"/>
          <w:szCs w:val="24"/>
          <w:highlight w:val="none"/>
        </w:rPr>
        <w:t>保证金：</w:t>
      </w:r>
      <w:r>
        <w:rPr>
          <w:rFonts w:hint="eastAsia" w:ascii="宋体" w:eastAsia="宋体" w:cs="宋体"/>
          <w:color w:val="auto"/>
          <w:sz w:val="24"/>
          <w:szCs w:val="24"/>
          <w:highlight w:val="none"/>
        </w:rPr>
        <w:t>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1" w:firstLineChars="200"/>
        <w:jc w:val="both"/>
        <w:textAlignment w:val="baseline"/>
        <w:rPr>
          <w:rFonts w:hint="eastAsia" w:ascii="宋体" w:eastAsia="宋体" w:cs="宋体"/>
          <w:color w:val="auto"/>
          <w:sz w:val="24"/>
          <w:szCs w:val="24"/>
          <w:highlight w:val="none"/>
          <w:lang w:eastAsia="zh-CN"/>
        </w:rPr>
      </w:pPr>
      <w:r>
        <w:rPr>
          <w:rFonts w:hint="eastAsia" w:ascii="宋体" w:eastAsia="宋体" w:cs="宋体"/>
          <w:b/>
          <w:bCs/>
          <w:color w:val="auto"/>
          <w:sz w:val="24"/>
          <w:szCs w:val="24"/>
          <w:highlight w:val="none"/>
        </w:rPr>
        <w:t>3.全流程电子化交易</w:t>
      </w:r>
      <w:r>
        <w:rPr>
          <w:rFonts w:hint="eastAsia" w:ascii="宋体" w:eastAsia="宋体" w:cs="宋体"/>
          <w:b/>
          <w:bCs/>
          <w:color w:val="auto"/>
          <w:sz w:val="24"/>
          <w:szCs w:val="24"/>
          <w:highlight w:val="none"/>
          <w:lang w:eastAsia="zh-CN"/>
        </w:rPr>
        <w:t>：</w:t>
      </w:r>
      <w:r>
        <w:rPr>
          <w:rFonts w:hint="eastAsia" w:ascii="宋体" w:eastAsia="宋体" w:cs="宋体"/>
          <w:b w:val="0"/>
          <w:bCs w:val="0"/>
          <w:color w:val="auto"/>
          <w:sz w:val="24"/>
          <w:szCs w:val="24"/>
          <w:highlight w:val="none"/>
          <w:lang w:eastAsia="zh-CN"/>
        </w:rPr>
        <w:t>远程不见面方式（供应商无需到现场）</w:t>
      </w:r>
    </w:p>
    <w:p>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 xml:space="preserve">3.1 </w:t>
      </w:r>
      <w:r>
        <w:rPr>
          <w:rFonts w:hint="eastAsia" w:ascii="宋体" w:eastAsia="宋体" w:cs="宋体"/>
          <w:color w:val="auto"/>
          <w:sz w:val="24"/>
          <w:szCs w:val="24"/>
          <w:highlight w:val="none"/>
        </w:rPr>
        <w:t>各</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应当在</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国资智采电子招投标交易平台</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开展与本项目有关的采购活动</w:t>
      </w:r>
      <w:r>
        <w:rPr>
          <w:rFonts w:hint="eastAsia" w:ascii="宋体" w:eastAsia="宋体" w:cs="宋体"/>
          <w:color w:val="auto"/>
          <w:sz w:val="24"/>
          <w:szCs w:val="24"/>
          <w:highlight w:val="none"/>
          <w:lang w:eastAsia="zh-CN"/>
        </w:rPr>
        <w:t>，并</w:t>
      </w:r>
      <w:r>
        <w:rPr>
          <w:rFonts w:hint="eastAsia" w:ascii="宋体" w:eastAsia="宋体" w:cs="宋体"/>
          <w:color w:val="auto"/>
          <w:sz w:val="24"/>
          <w:szCs w:val="24"/>
          <w:highlight w:val="none"/>
        </w:rPr>
        <w:t>对其操作行为和电子签名、电子印章确认的事项承担法律责任。</w:t>
      </w:r>
    </w:p>
    <w:p>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 xml:space="preserve">3.2 </w:t>
      </w:r>
      <w:r>
        <w:rPr>
          <w:rFonts w:hint="eastAsia" w:ascii="宋体" w:eastAsia="宋体" w:cs="宋体"/>
          <w:color w:val="auto"/>
          <w:sz w:val="24"/>
          <w:szCs w:val="24"/>
          <w:highlight w:val="none"/>
          <w:lang w:eastAsia="zh-CN"/>
        </w:rPr>
        <w:t>供应商应</w:t>
      </w:r>
      <w:r>
        <w:rPr>
          <w:rFonts w:hint="eastAsia" w:ascii="宋体" w:eastAsia="宋体" w:cs="宋体"/>
          <w:color w:val="auto"/>
          <w:sz w:val="24"/>
          <w:szCs w:val="24"/>
          <w:highlight w:val="none"/>
        </w:rPr>
        <w:t>使用“投标文件制作工具-智采投标”编制、签章、生成加密响应文件，涉及“加盖公章”的内容应使用单位电子公章完成。</w:t>
      </w:r>
      <w:r>
        <w:rPr>
          <w:rFonts w:hint="eastAsia" w:ascii="宋体" w:eastAsia="宋体" w:cs="宋体"/>
          <w:color w:val="auto"/>
          <w:sz w:val="24"/>
          <w:szCs w:val="24"/>
          <w:highlight w:val="none"/>
          <w:lang w:eastAsia="zh-CN"/>
        </w:rPr>
        <w:t>（电子签章（CA）需下载安装智签宝APP申请并关联项目使用。</w:t>
      </w:r>
      <w:r>
        <w:rPr>
          <w:rFonts w:hint="eastAsia" w:ascii="宋体" w:eastAsia="宋体" w:cs="宋体"/>
          <w:b/>
          <w:bCs/>
          <w:color w:val="auto"/>
          <w:sz w:val="24"/>
          <w:szCs w:val="24"/>
          <w:highlight w:val="none"/>
          <w:lang w:eastAsia="zh-CN"/>
        </w:rPr>
        <w:t>具体操作流程详见“制作工具使用手册”。注：供应商申请年度</w:t>
      </w:r>
      <w:r>
        <w:rPr>
          <w:rFonts w:hint="eastAsia" w:ascii="宋体" w:eastAsia="宋体" w:cs="宋体"/>
          <w:b/>
          <w:bCs/>
          <w:color w:val="auto"/>
          <w:sz w:val="24"/>
          <w:szCs w:val="24"/>
          <w:highlight w:val="none"/>
          <w:lang w:val="en-US" w:eastAsia="zh-CN"/>
        </w:rPr>
        <w:t>CA或项目CA皆可。</w:t>
      </w:r>
      <w:r>
        <w:rPr>
          <w:rFonts w:hint="eastAsia" w:ascii="宋体" w:eastAsia="宋体" w:cs="宋体"/>
          <w:color w:val="auto"/>
          <w:sz w:val="24"/>
          <w:szCs w:val="24"/>
          <w:highlight w:val="none"/>
          <w:lang w:eastAsia="zh-CN"/>
        </w:rPr>
        <w:t>）并</w:t>
      </w:r>
      <w:r>
        <w:rPr>
          <w:rFonts w:hint="eastAsia" w:ascii="宋体" w:eastAsia="宋体" w:cs="宋体"/>
          <w:color w:val="auto"/>
          <w:sz w:val="24"/>
          <w:szCs w:val="24"/>
          <w:highlight w:val="none"/>
        </w:rPr>
        <w:t>在响应文件开启时间前上传加密的最终版电子响应文件至“国资智采电子招投标交易平台”，未在响应文件开启时间前上传电子响应文件的，视为自动放弃。</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因系统问题无法上传电子响应文件时，请在工作时间及时拨打联系电话400-1166-160。</w:t>
      </w:r>
    </w:p>
    <w:p>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 xml:space="preserve">3 </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的法定代表人或其授权代表应当按照本项目</w:t>
      </w:r>
      <w:r>
        <w:rPr>
          <w:rFonts w:hint="eastAsia" w:ascii="宋体" w:eastAsia="宋体" w:cs="宋体"/>
          <w:color w:val="auto"/>
          <w:sz w:val="24"/>
          <w:szCs w:val="24"/>
          <w:highlight w:val="none"/>
          <w:lang w:eastAsia="zh-CN"/>
        </w:rPr>
        <w:t>竞争性磋商</w:t>
      </w:r>
      <w:r>
        <w:rPr>
          <w:rFonts w:hint="eastAsia" w:ascii="宋体" w:eastAsia="宋体" w:cs="宋体"/>
          <w:color w:val="auto"/>
          <w:sz w:val="24"/>
          <w:szCs w:val="24"/>
          <w:highlight w:val="none"/>
        </w:rPr>
        <w:t>公告载明的时间等要求参加开标，在开标时间前30分钟</w:t>
      </w:r>
      <w:r>
        <w:rPr>
          <w:rFonts w:hint="eastAsia" w:ascii="宋体" w:eastAsia="宋体" w:cs="宋体"/>
          <w:color w:val="auto"/>
          <w:sz w:val="24"/>
          <w:szCs w:val="24"/>
          <w:highlight w:val="none"/>
          <w:lang w:eastAsia="zh-CN"/>
        </w:rPr>
        <w:t>内</w:t>
      </w:r>
      <w:r>
        <w:rPr>
          <w:rFonts w:hint="eastAsia" w:ascii="宋体" w:eastAsia="宋体" w:cs="宋体"/>
          <w:color w:val="auto"/>
          <w:sz w:val="24"/>
          <w:szCs w:val="24"/>
          <w:highlight w:val="none"/>
        </w:rPr>
        <w:t>，登录</w:t>
      </w:r>
      <w:r>
        <w:rPr>
          <w:rFonts w:hint="eastAsia" w:ascii="宋体" w:eastAsia="宋体" w:cs="宋体"/>
          <w:color w:val="auto"/>
          <w:sz w:val="24"/>
          <w:szCs w:val="24"/>
          <w:highlight w:val="none"/>
          <w:lang w:eastAsia="zh-CN"/>
        </w:rPr>
        <w:t>国资智采</w:t>
      </w:r>
      <w:r>
        <w:rPr>
          <w:rFonts w:hint="eastAsia" w:ascii="宋体" w:eastAsia="宋体" w:cs="宋体"/>
          <w:color w:val="auto"/>
          <w:sz w:val="24"/>
          <w:szCs w:val="24"/>
          <w:highlight w:val="none"/>
        </w:rPr>
        <w:t>电子交易系统确认</w:t>
      </w:r>
      <w:r>
        <w:rPr>
          <w:rFonts w:hint="eastAsia" w:ascii="宋体" w:eastAsia="宋体" w:cs="宋体"/>
          <w:color w:val="auto"/>
          <w:sz w:val="24"/>
          <w:szCs w:val="24"/>
          <w:highlight w:val="none"/>
          <w:lang w:eastAsia="zh-CN"/>
        </w:rPr>
        <w:t>参加开标</w:t>
      </w:r>
      <w:r>
        <w:rPr>
          <w:rFonts w:hint="eastAsia" w:ascii="宋体" w:eastAsia="宋体" w:cs="宋体"/>
          <w:color w:val="auto"/>
          <w:sz w:val="24"/>
          <w:szCs w:val="24"/>
          <w:highlight w:val="none"/>
        </w:rPr>
        <w:t>。</w:t>
      </w:r>
    </w:p>
    <w:p>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rPr>
        <w:t>开标时，</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应当</w:t>
      </w:r>
      <w:r>
        <w:rPr>
          <w:rFonts w:hint="eastAsia" w:ascii="宋体" w:eastAsia="宋体" w:cs="宋体"/>
          <w:b/>
          <w:bCs/>
          <w:color w:val="auto"/>
          <w:sz w:val="24"/>
          <w:szCs w:val="24"/>
          <w:highlight w:val="none"/>
        </w:rPr>
        <w:t>使用</w:t>
      </w:r>
      <w:r>
        <w:rPr>
          <w:rFonts w:hint="eastAsia" w:ascii="宋体" w:eastAsia="宋体" w:cs="宋体"/>
          <w:b/>
          <w:bCs/>
          <w:color w:val="auto"/>
          <w:sz w:val="24"/>
          <w:szCs w:val="24"/>
          <w:highlight w:val="none"/>
          <w:lang w:eastAsia="zh-CN"/>
        </w:rPr>
        <w:t>密码文件中的密匙</w:t>
      </w:r>
      <w:r>
        <w:rPr>
          <w:rFonts w:hint="eastAsia" w:ascii="宋体" w:eastAsia="宋体" w:cs="宋体"/>
          <w:color w:val="auto"/>
          <w:sz w:val="24"/>
          <w:szCs w:val="24"/>
          <w:highlight w:val="none"/>
        </w:rPr>
        <w:t>在开始解密后30分钟内完成全部已</w:t>
      </w:r>
      <w:r>
        <w:rPr>
          <w:rFonts w:hint="eastAsia" w:ascii="宋体" w:eastAsia="宋体" w:cs="宋体"/>
          <w:color w:val="auto"/>
          <w:sz w:val="24"/>
          <w:szCs w:val="24"/>
          <w:highlight w:val="none"/>
          <w:lang w:eastAsia="zh-CN"/>
        </w:rPr>
        <w:t>响应</w:t>
      </w:r>
      <w:r>
        <w:rPr>
          <w:rFonts w:hint="eastAsia" w:ascii="宋体" w:eastAsia="宋体" w:cs="宋体"/>
          <w:color w:val="auto"/>
          <w:sz w:val="24"/>
          <w:szCs w:val="24"/>
          <w:highlight w:val="none"/>
        </w:rPr>
        <w:t>采购包的</w:t>
      </w:r>
      <w:r>
        <w:rPr>
          <w:rFonts w:hint="eastAsia" w:ascii="宋体" w:eastAsia="宋体" w:cs="宋体"/>
          <w:color w:val="auto"/>
          <w:sz w:val="24"/>
          <w:szCs w:val="24"/>
          <w:highlight w:val="none"/>
          <w:lang w:eastAsia="zh-CN"/>
        </w:rPr>
        <w:t>响应</w:t>
      </w:r>
      <w:r>
        <w:rPr>
          <w:rFonts w:hint="eastAsia" w:ascii="宋体" w:eastAsia="宋体" w:cs="宋体"/>
          <w:color w:val="auto"/>
          <w:sz w:val="24"/>
          <w:szCs w:val="24"/>
          <w:highlight w:val="none"/>
        </w:rPr>
        <w:t>文件在线解密，若出现系统异常情况，工作人员可适当延长解密时长。如在开标过程中出现意外情况导致无法继续进行时，由代理机构会同采购人决定是否允许</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导入“备用标书”继续开标。本项目采用电子评标，只对开标环节验证通过的电子</w:t>
      </w:r>
      <w:r>
        <w:rPr>
          <w:rFonts w:hint="eastAsia" w:ascii="宋体" w:eastAsia="宋体" w:cs="宋体"/>
          <w:color w:val="auto"/>
          <w:sz w:val="24"/>
          <w:szCs w:val="24"/>
          <w:highlight w:val="none"/>
          <w:lang w:eastAsia="zh-CN"/>
        </w:rPr>
        <w:t>响应</w:t>
      </w:r>
      <w:r>
        <w:rPr>
          <w:rFonts w:hint="eastAsia" w:ascii="宋体" w:eastAsia="宋体" w:cs="宋体"/>
          <w:color w:val="auto"/>
          <w:sz w:val="24"/>
          <w:szCs w:val="24"/>
          <w:highlight w:val="none"/>
        </w:rPr>
        <w:t>文件进行评审。</w:t>
      </w:r>
    </w:p>
    <w:p>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rPr>
        <w:t>开标时出现下列情况的，采购人、采购代理机构应当视为</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不再参与</w:t>
      </w:r>
      <w:r>
        <w:rPr>
          <w:rFonts w:hint="eastAsia" w:ascii="宋体" w:eastAsia="宋体" w:cs="宋体"/>
          <w:color w:val="auto"/>
          <w:sz w:val="24"/>
          <w:szCs w:val="24"/>
          <w:highlight w:val="none"/>
          <w:lang w:eastAsia="zh-CN"/>
        </w:rPr>
        <w:t>本项目</w:t>
      </w:r>
      <w:r>
        <w:rPr>
          <w:rFonts w:hint="eastAsia" w:ascii="宋体" w:eastAsia="宋体" w:cs="宋体"/>
          <w:color w:val="auto"/>
          <w:sz w:val="24"/>
          <w:szCs w:val="24"/>
          <w:highlight w:val="none"/>
        </w:rPr>
        <w:t>采购活动。</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未在规定时间内完成电子响应文件在线解密的；</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(2)无法解密响应文件的；</w:t>
      </w:r>
    </w:p>
    <w:p>
      <w:pPr>
        <w:kinsoku/>
        <w:spacing w:line="360" w:lineRule="auto"/>
        <w:ind w:firstLine="480" w:firstLineChars="200"/>
        <w:jc w:val="both"/>
        <w:rPr>
          <w:rFonts w:ascii="宋体" w:eastAsia="宋体" w:cs="宋体"/>
          <w:b/>
          <w:bCs/>
          <w:color w:val="auto"/>
          <w:sz w:val="24"/>
          <w:szCs w:val="24"/>
          <w:lang w:eastAsia="zh-CN"/>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自身原因造成电子响应文件未能解密的。</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三、说明</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1.总则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本磋商文件参照《中华人民共和国政府采购法》《中华人民共和国政府采购法实施条例》和《政府采购竞争性磋商采购方式管理暂行办法》及依据国家和自治区有关法律、法规、规章制度编制。</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供应商应仔细阅读本项目信息公告及磋商文件的所有内容（包括澄清或者修改），按照磋商文件要求以及格式编制响应文件，并保证其真实性，否则一切后果自负。</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2.适用范围</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本磋商文件仅适用于本次竞争性磋商公告中所涉及的项目和内容。</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3.相关费用</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供应商应自行承担所有与准备、参加磋商有关的费用。不论磋商结果如何，采购人或采购代理机构均无义务和责任承担相关费用。</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4.各参与方</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4.1 “采购人”是指依法进行政府采购的国家机关、事业单位、团体组织。本磋商文件的采购人特指赤峰市生态环境局红山区分局。</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4.2“采购代理机构”是指集中采购机构和集中采购机构以外的采购代理机构。本磋商文件的采购代理机构特指赤峰鸿途项目管理有限公司。</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4.3 “供应商”是指向采购人提供货物、工程或者服务的法人、其他组织或者自然人。</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4.4 “磋商小组”由采购人代表和评审专家组成。</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4.5“成交供应商”是指取得与采购人签订合同资格的供应商。</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5.合格的供应商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5.1 符合本磋商文件规定的资格要求，并按照要求提供相关证明材料。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5.2 单位负责人为同一人或者存在直接控股、管理关系的不同供应商，不得参加同一合同项下的政府采购活动。</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5.3 为采购项目提供整体设计、规范编制或者项目管理、监理、检测等服务的供应商，不得再参加该采购项目的其他采购活动。</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6.以联合体形式进行政府采购的，应符合以下规定：</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6.1 联合体各方应签订联合体协议书，明确联合体牵头人和各方权利义务，并作为响应文件组成部分。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6.2 联合体各方均应当具备《中华人民共和国政府采购法》第二十二条规定的条件，并在响应文件中提供联合体各方的相关证明材料。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6.3 联合体成员存在不良信用记录的，视同联合体存在不良信用记录。</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6.4 联合体中有同类资质的供应商按照联合体分工承担相同工作的，应当按照资质等级较低的供应商确定资质等级。</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6.5 以联合体形式参加政府采购活动的，联合体各方不得再单独参加或者与其他供应商另外组成联合体参加同一合同项下的政府采购活动。</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6.6 联合体各方应当共同与采购人签订采购合同，就合同约定的事项对采购人承担连带责任。</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6.7 如要求缴纳保证金，以联合体牵头人名义缴纳，对联合体各方均具有约束力。</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7.语言文字以及计量单位</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7.1 所有文件使用的语言文字为简体中文。专用术语使用外文的，应附有简体中文注释，否则视为无效。</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7.2 所有计量均采用中华人民共和国法定的计量单位。</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7.3 所有报价一律使用人民币，货币单位：元。</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8.现场踏勘</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8.1 </w:t>
      </w:r>
      <w:r>
        <w:rPr>
          <w:rFonts w:hint="eastAsia" w:ascii="宋体" w:hAnsi="宋体" w:eastAsia="宋体" w:cs="宋体"/>
          <w:b w:val="0"/>
          <w:bCs w:val="0"/>
          <w:color w:val="auto"/>
          <w:sz w:val="24"/>
          <w:szCs w:val="24"/>
          <w:lang w:eastAsia="zh-CN"/>
        </w:rPr>
        <w:t>竞争性磋商文件</w:t>
      </w:r>
      <w:r>
        <w:rPr>
          <w:rFonts w:hint="eastAsia" w:ascii="宋体" w:hAnsi="宋体" w:eastAsia="宋体" w:cs="宋体"/>
          <w:b w:val="0"/>
          <w:bCs w:val="0"/>
          <w:color w:val="auto"/>
          <w:sz w:val="24"/>
          <w:szCs w:val="24"/>
        </w:rPr>
        <w:t>规定组织现场踏勘的，采购人或者采购代理机构</w:t>
      </w:r>
      <w:r>
        <w:rPr>
          <w:rFonts w:hint="eastAsia" w:ascii="宋体" w:hAnsi="宋体" w:eastAsia="宋体" w:cs="宋体"/>
          <w:b w:val="0"/>
          <w:bCs w:val="0"/>
          <w:color w:val="auto"/>
          <w:sz w:val="24"/>
          <w:szCs w:val="24"/>
          <w:lang w:eastAsia="zh-CN"/>
        </w:rPr>
        <w:t>将</w:t>
      </w:r>
      <w:r>
        <w:rPr>
          <w:rFonts w:hint="eastAsia" w:ascii="宋体" w:hAnsi="宋体" w:eastAsia="宋体" w:cs="宋体"/>
          <w:b w:val="0"/>
          <w:bCs w:val="0"/>
          <w:color w:val="auto"/>
          <w:sz w:val="24"/>
          <w:szCs w:val="24"/>
        </w:rPr>
        <w:t>按竞争性磋商文件规定的时间、地点组织供应商踏勘项目现场。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8.2 供应商自行承担踏勘现场发生的责任、风险和自身费用。</w:t>
      </w:r>
    </w:p>
    <w:p>
      <w:pPr>
        <w:kinsoku/>
        <w:spacing w:line="360" w:lineRule="auto"/>
        <w:ind w:firstLine="480" w:firstLineChars="200"/>
        <w:rPr>
          <w:rFonts w:ascii="宋体" w:eastAsia="宋体" w:cs="宋体"/>
          <w:color w:val="auto"/>
          <w:sz w:val="24"/>
          <w:szCs w:val="24"/>
          <w:lang w:eastAsia="zh-CN"/>
        </w:rPr>
      </w:pPr>
      <w:r>
        <w:rPr>
          <w:rFonts w:hint="eastAsia" w:ascii="宋体" w:hAnsi="宋体" w:eastAsia="宋体" w:cs="宋体"/>
          <w:b w:val="0"/>
          <w:bCs w:val="0"/>
          <w:color w:val="auto"/>
          <w:sz w:val="24"/>
          <w:szCs w:val="24"/>
        </w:rPr>
        <w:t>8.3 采购人在踏勘现场介绍的资料和数据等，不构成对磋商文件的修改或不作为供应商编制响应文件的依据。</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9.其他条款</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无论成交与否供应商递交的响应文件均不予退还。</w:t>
      </w:r>
    </w:p>
    <w:p>
      <w:pPr>
        <w:kinsoku/>
        <w:spacing w:line="360" w:lineRule="auto"/>
        <w:ind w:firstLine="481" w:firstLineChars="200"/>
        <w:outlineLvl w:val="1"/>
        <w:rPr>
          <w:rFonts w:ascii="宋体" w:eastAsia="宋体" w:cs="宋体"/>
          <w:b/>
          <w:bCs/>
          <w:color w:val="auto"/>
          <w:sz w:val="24"/>
          <w:szCs w:val="24"/>
        </w:rPr>
      </w:pPr>
      <w:r>
        <w:rPr>
          <w:rFonts w:hint="eastAsia" w:ascii="宋体" w:eastAsia="宋体" w:cs="宋体"/>
          <w:b/>
          <w:bCs/>
          <w:color w:val="auto"/>
          <w:sz w:val="24"/>
          <w:szCs w:val="24"/>
        </w:rPr>
        <w:t>四、磋商文件的澄清或者修改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ascii="宋体" w:eastAsia="宋体" w:cs="宋体"/>
          <w:color w:val="auto"/>
          <w:sz w:val="24"/>
          <w:szCs w:val="24"/>
          <w:lang w:eastAsia="zh-CN"/>
        </w:rPr>
      </w:pPr>
      <w:r>
        <w:rPr>
          <w:rFonts w:hint="eastAsia" w:ascii="宋体" w:eastAsia="宋体" w:cs="宋体"/>
          <w:color w:val="auto"/>
          <w:sz w:val="24"/>
          <w:szCs w:val="24"/>
          <w:lang w:eastAsia="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hint="eastAsia" w:ascii="宋体" w:eastAsia="宋体" w:cs="宋体"/>
          <w:color w:val="auto"/>
          <w:sz w:val="24"/>
          <w:szCs w:val="24"/>
          <w:lang w:val="en-US" w:eastAsia="zh-CN"/>
        </w:rPr>
        <w:t xml:space="preserve"> </w:t>
      </w:r>
      <w:r>
        <w:rPr>
          <w:rFonts w:hint="eastAsia" w:ascii="宋体" w:eastAsia="宋体" w:cs="宋体"/>
          <w:color w:val="auto"/>
          <w:sz w:val="24"/>
          <w:szCs w:val="24"/>
          <w:lang w:eastAsia="zh-CN"/>
        </w:rPr>
        <w:t>5</w:t>
      </w:r>
      <w:r>
        <w:rPr>
          <w:rFonts w:hint="eastAsia" w:ascii="宋体" w:eastAsia="宋体" w:cs="宋体"/>
          <w:color w:val="auto"/>
          <w:sz w:val="24"/>
          <w:szCs w:val="24"/>
          <w:lang w:val="en-US" w:eastAsia="zh-CN"/>
        </w:rPr>
        <w:t xml:space="preserve"> </w:t>
      </w:r>
      <w:r>
        <w:rPr>
          <w:rFonts w:hint="eastAsia" w:ascii="宋体" w:eastAsia="宋体" w:cs="宋体"/>
          <w:color w:val="auto"/>
          <w:sz w:val="24"/>
          <w:szCs w:val="24"/>
          <w:lang w:eastAsia="zh-CN"/>
        </w:rPr>
        <w:t>日前，</w:t>
      </w:r>
      <w:r>
        <w:rPr>
          <w:rFonts w:hint="eastAsia" w:ascii="宋体" w:eastAsia="宋体" w:cs="宋体"/>
          <w:color w:val="auto"/>
          <w:sz w:val="24"/>
          <w:szCs w:val="24"/>
          <w:highlight w:val="none"/>
          <w:lang w:eastAsia="zh-CN"/>
        </w:rPr>
        <w:t>在国资智采电子招投标交易平台（http://www.gzzczb.com）及赤峰市生态环境局官网(http://sthjj.chifeng.gov.cn/)同时</w:t>
      </w:r>
      <w:r>
        <w:rPr>
          <w:rFonts w:hint="eastAsia" w:ascii="宋体" w:eastAsia="宋体" w:cs="宋体"/>
          <w:color w:val="auto"/>
          <w:sz w:val="24"/>
          <w:szCs w:val="24"/>
          <w:lang w:eastAsia="zh-CN"/>
        </w:rPr>
        <w:t>发布更正公告进行通知；不足5日的，采购人、采购代理机构应当顺延提交首次响应文件截止时间。更正公告的内容为磋商文件的组成部分，供应商应自行上网查询，采购人或采购代理机构不承担供应商未及时关注相关信息的责任。</w:t>
      </w:r>
    </w:p>
    <w:p>
      <w:pPr>
        <w:kinsoku/>
        <w:spacing w:line="360" w:lineRule="auto"/>
        <w:ind w:firstLine="481" w:firstLineChars="200"/>
        <w:outlineLvl w:val="1"/>
        <w:rPr>
          <w:rFonts w:ascii="宋体" w:eastAsia="宋体" w:cs="宋体"/>
          <w:b/>
          <w:bCs/>
          <w:color w:val="auto"/>
          <w:sz w:val="24"/>
          <w:szCs w:val="24"/>
          <w:lang w:eastAsia="zh-CN"/>
        </w:rPr>
      </w:pPr>
      <w:r>
        <w:rPr>
          <w:rFonts w:hint="eastAsia" w:ascii="宋体" w:eastAsia="宋体" w:cs="宋体"/>
          <w:b/>
          <w:bCs/>
          <w:color w:val="auto"/>
          <w:sz w:val="24"/>
          <w:szCs w:val="24"/>
          <w:lang w:eastAsia="zh-CN"/>
        </w:rPr>
        <w:t>五、响应文件</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1.响应文件的构成</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响应文件应按照磋商文件第七章“响应文件格式与要求”进行编写，可以增加附页，并作为响应文件的组成部分。</w:t>
      </w:r>
    </w:p>
    <w:p>
      <w:pPr>
        <w:kinsoku/>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供应商在制作响应文件时，应保证提供的证明材料清晰可见，否则评审小组可不予采信。</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2.报价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2.1 供应商应按照磋商文件第三章“采购内容与技术要求”进行报价。报价中不得包含磋商文件要求以外的内容，否则，在评审时不予核减。</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2.2 报价包括本项目采购需求和投入使用、实施的所有费用，如主件、标准附件、备品备件、施工、服务、专用工具、安装、调试、检验、培训、运输、保险、税款等。</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2.3 报价不得有选择性报价和附有条件的报价。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2.4 供应商应在“投标文件制作工具”对投标报价进行填写，并保证响应文件中的投标报价信息内容一致。</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2.5 对报价的计算错误按以下原则修正</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（1）大写金额和小写金额不一致的，以大写金额为准；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（2）单价金额小数点或者百分比有明显错位的，以总价为准，并修改单价。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（3）总价金额与按单价汇总金额不一致的，以单价金额计算结果为准。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4</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同时出现两种以上不一致的，按照前款规定的顺序修正。</w:t>
      </w:r>
    </w:p>
    <w:p>
      <w:pPr>
        <w:kinsoku/>
        <w:spacing w:line="360" w:lineRule="auto"/>
        <w:ind w:firstLine="480" w:firstLineChars="200"/>
        <w:rPr>
          <w:rFonts w:hint="eastAsia" w:ascii="宋体" w:eastAsia="宋体" w:cs="宋体"/>
          <w:b/>
          <w:bCs/>
          <w:color w:val="auto"/>
          <w:sz w:val="24"/>
          <w:szCs w:val="24"/>
          <w:lang w:eastAsia="zh-CN"/>
        </w:rPr>
      </w:pPr>
      <w:r>
        <w:rPr>
          <w:rFonts w:hint="eastAsia" w:ascii="宋体" w:eastAsia="宋体" w:cs="宋体"/>
          <w:color w:val="auto"/>
          <w:sz w:val="24"/>
          <w:szCs w:val="24"/>
          <w:highlight w:val="none"/>
        </w:rPr>
        <w:t>注：修正后的报价供应商应当加盖公章，或者由法定代表人或其授权代表签字确认后产生约束力，但不得超出响应文件的范围或者改变响应文件的实质性内容，供应商不确认的，其投标无效。</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3.响应文件的递交</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供应商应当在提交响应文件截止时间前递交响应文件，否则视为自动放弃。</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4.响应文件的补充、修改或者撤回</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在提交响应文件截止时间前，可以对所提交的响应文件进行补充、修改或者撤回。供应商应当在提交响应文件截止时间前上传加密的最终版电子响应文件至“国资智采电子招投标交易平台”。在提交响应文件截止时间后，供应商不得补充、修改或者撤回其响应文件。</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5.样品</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5.1 磋商文件规定供应商提交样品的，样品属于响应文件的组成部分。样品的生产、运输、安装、保全等一切费用由供应商自理。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5.2 响应文件开启前，供应商应将样品送达至指定地点，按要求摆放并做好展示。若需要现场演示的，供应商应提前做好演示准备（包括演示设备）。</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5.3 采购活动结束后，对于未成交供应商提供的样品，应当及时退还或者经未成交供应商同意后自行处理；对于成交供应商提供的样品，应当按照磋商文件的规定进行保管、封存，并作为履约验收的参考。</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六、开启、评审、结果公告、成交通知书</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1.开启</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1.1 程序</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（1）宣布纪律；</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（2）宣布相关人员；</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（3）供应商对已提交的加密文件进行解密，由采购人或者采购代理机构工作人员宣布供应商名称和磋商文件规定需要宣布的其他内容；</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（4）参加人员对开启情况进行确认；</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（5）开启结束。</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1.2 疑义</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代表对开启过程和开启记录有疑义，以及认为采购人、采购代理机构相关工作人员有需要回避情形的，应当场提出询问或者回避申请。采购人、采购代理机构对供应商代表提出的询问或者回避申请应当及时处理。</w:t>
      </w:r>
    </w:p>
    <w:p>
      <w:pPr>
        <w:kinsoku/>
        <w:spacing w:line="360" w:lineRule="auto"/>
        <w:ind w:firstLine="480" w:firstLineChars="200"/>
        <w:rPr>
          <w:rFonts w:hint="eastAsia" w:ascii="宋体" w:eastAsia="宋体" w:cs="宋体"/>
          <w:b w:val="0"/>
          <w:bCs w:val="0"/>
          <w:color w:val="auto"/>
          <w:sz w:val="24"/>
          <w:szCs w:val="24"/>
          <w:lang w:eastAsia="zh-CN"/>
        </w:rPr>
      </w:pPr>
      <w:r>
        <w:rPr>
          <w:rFonts w:hint="eastAsia" w:ascii="宋体" w:eastAsia="宋体" w:cs="宋体"/>
          <w:color w:val="auto"/>
          <w:sz w:val="24"/>
          <w:szCs w:val="24"/>
          <w:highlight w:val="none"/>
          <w:lang w:eastAsia="zh-CN"/>
        </w:rPr>
        <w:t>供应商对远程不见面方式开启和记录有疑义，应在“国资智采-电子招投标采购平台”</w:t>
      </w:r>
      <w:r>
        <w:rPr>
          <w:rFonts w:hint="eastAsia" w:ascii="宋体" w:eastAsia="宋体" w:cs="宋体"/>
          <w:color w:val="auto"/>
          <w:sz w:val="24"/>
          <w:szCs w:val="24"/>
          <w:highlight w:val="none"/>
          <w:lang w:val="en-US" w:eastAsia="zh-CN"/>
        </w:rPr>
        <w:t>-</w:t>
      </w:r>
      <w:r>
        <w:rPr>
          <w:rFonts w:hint="eastAsia" w:ascii="宋体" w:eastAsia="宋体" w:cs="宋体"/>
          <w:color w:val="auto"/>
          <w:sz w:val="24"/>
          <w:szCs w:val="24"/>
          <w:highlight w:val="none"/>
          <w:lang w:eastAsia="zh-CN"/>
        </w:rPr>
        <w:t>“开标大厅”中提出。采购代理机构应及时查看回复。</w:t>
      </w:r>
    </w:p>
    <w:p>
      <w:pPr>
        <w:kinsoku/>
        <w:spacing w:line="360" w:lineRule="auto"/>
        <w:ind w:firstLine="480" w:firstLineChars="200"/>
        <w:rPr>
          <w:rFonts w:hint="eastAsia" w:ascii="宋体" w:eastAsia="宋体" w:cs="宋体"/>
          <w:b w:val="0"/>
          <w:bCs w:val="0"/>
          <w:color w:val="auto"/>
          <w:sz w:val="24"/>
          <w:szCs w:val="24"/>
          <w:lang w:eastAsia="zh-CN"/>
        </w:rPr>
      </w:pPr>
      <w:r>
        <w:rPr>
          <w:rFonts w:hint="eastAsia" w:ascii="宋体" w:eastAsia="宋体" w:cs="宋体"/>
          <w:b w:val="0"/>
          <w:bCs w:val="0"/>
          <w:color w:val="auto"/>
          <w:sz w:val="24"/>
          <w:szCs w:val="24"/>
          <w:lang w:eastAsia="zh-CN"/>
        </w:rPr>
        <w:t>1.3 备注</w:t>
      </w:r>
    </w:p>
    <w:p>
      <w:pPr>
        <w:kinsoku/>
        <w:spacing w:line="360" w:lineRule="auto"/>
        <w:ind w:firstLine="480" w:firstLineChars="200"/>
        <w:rPr>
          <w:rFonts w:hint="eastAsia" w:ascii="宋体" w:eastAsia="宋体" w:cs="宋体"/>
          <w:b w:val="0"/>
          <w:bCs w:val="0"/>
          <w:color w:val="auto"/>
          <w:sz w:val="24"/>
          <w:szCs w:val="24"/>
          <w:lang w:eastAsia="zh-CN"/>
        </w:rPr>
      </w:pPr>
      <w:r>
        <w:rPr>
          <w:rFonts w:hint="eastAsia" w:ascii="宋体" w:eastAsia="宋体" w:cs="宋体"/>
          <w:b w:val="0"/>
          <w:bCs w:val="0"/>
          <w:color w:val="auto"/>
          <w:sz w:val="24"/>
          <w:szCs w:val="24"/>
          <w:lang w:eastAsia="zh-CN"/>
        </w:rPr>
        <w:t>开启时,供应商使用“投标客户端”生成的“密码文件”中的密匙对响应文件进行解密。</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2.评审</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详见第五章</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3.结果公告</w:t>
      </w:r>
    </w:p>
    <w:p>
      <w:pPr>
        <w:kinsoku/>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rPr>
        <w:t>成交供应商确定后，采购代理机构</w:t>
      </w:r>
      <w:r>
        <w:rPr>
          <w:rFonts w:hint="eastAsia" w:ascii="宋体" w:eastAsia="宋体" w:cs="宋体"/>
          <w:color w:val="auto"/>
          <w:sz w:val="24"/>
          <w:szCs w:val="24"/>
          <w:lang w:eastAsia="zh-CN"/>
        </w:rPr>
        <w:t>将</w:t>
      </w:r>
      <w:r>
        <w:rPr>
          <w:rFonts w:hint="eastAsia" w:ascii="宋体" w:eastAsia="宋体" w:cs="宋体"/>
          <w:color w:val="auto"/>
          <w:sz w:val="24"/>
          <w:szCs w:val="24"/>
          <w:highlight w:val="none"/>
        </w:rPr>
        <w:t>在国资智采电子招投标交易平台（http://www.gzzczb.com）</w:t>
      </w:r>
      <w:r>
        <w:rPr>
          <w:rFonts w:hint="eastAsia" w:ascii="宋体" w:eastAsia="宋体" w:cs="宋体"/>
          <w:color w:val="auto"/>
          <w:sz w:val="24"/>
          <w:szCs w:val="24"/>
          <w:highlight w:val="none"/>
          <w:lang w:eastAsia="zh-CN"/>
        </w:rPr>
        <w:t>及赤峰市生态环境局官网(http://sthjj.chifeng.gov.cn/)同时</w:t>
      </w:r>
      <w:r>
        <w:rPr>
          <w:rFonts w:hint="eastAsia" w:ascii="宋体" w:eastAsia="宋体" w:cs="宋体"/>
          <w:color w:val="auto"/>
          <w:sz w:val="24"/>
          <w:szCs w:val="24"/>
          <w:highlight w:val="none"/>
        </w:rPr>
        <w:t>发布成交结果公告，将成交结果以公告形式通知未成交的供应商，成交结果公告期为1个工作日。</w:t>
      </w:r>
    </w:p>
    <w:p>
      <w:pPr>
        <w:kinsoku/>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highlight w:val="none"/>
        </w:rPr>
        <w:t>项目“废标”后，采购代理机构将在国资智采电子招投标交易平台</w:t>
      </w:r>
      <w:r>
        <w:rPr>
          <w:rFonts w:hint="eastAsia" w:ascii="宋体" w:eastAsia="宋体" w:cs="宋体"/>
          <w:color w:val="auto"/>
          <w:sz w:val="24"/>
          <w:szCs w:val="24"/>
          <w:highlight w:val="none"/>
          <w:lang w:eastAsia="zh-CN"/>
        </w:rPr>
        <w:t>及赤峰市生态环境局官网同时</w:t>
      </w:r>
      <w:r>
        <w:rPr>
          <w:rFonts w:hint="eastAsia" w:ascii="宋体" w:eastAsia="宋体" w:cs="宋体"/>
          <w:color w:val="auto"/>
          <w:sz w:val="24"/>
          <w:szCs w:val="24"/>
        </w:rPr>
        <w:t>发布“废标公告”。</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4.成交通知书</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发布成交结果的同时，成交供应商可在国资智采电子招投标交易平台上下载成交通知书，成交通知书是合同的组成部分，成交通知书对采购人和成交供应商具有同等法律效力。</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成交通知书发出后，采购人不得违法改变成交结果，供应商无正当理由不得放弃成交。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1" w:firstLineChars="200"/>
        <w:jc w:val="both"/>
        <w:textAlignment w:val="baseline"/>
        <w:outlineLvl w:val="1"/>
        <w:rPr>
          <w:rFonts w:hint="eastAsia" w:ascii="宋体" w:eastAsia="宋体" w:cs="宋体"/>
          <w:color w:val="auto"/>
          <w:sz w:val="24"/>
          <w:szCs w:val="24"/>
          <w:highlight w:val="none"/>
          <w:lang w:eastAsia="zh-CN"/>
        </w:rPr>
      </w:pPr>
      <w:r>
        <w:rPr>
          <w:rFonts w:hint="eastAsia" w:ascii="宋体" w:eastAsia="宋体" w:cs="宋体"/>
          <w:b/>
          <w:bCs/>
          <w:color w:val="auto"/>
          <w:sz w:val="24"/>
          <w:szCs w:val="24"/>
          <w:highlight w:val="none"/>
        </w:rPr>
        <w:t>七、询问、质疑与</w:t>
      </w:r>
      <w:r>
        <w:rPr>
          <w:rFonts w:hint="eastAsia" w:ascii="宋体" w:eastAsia="宋体" w:cs="宋体"/>
          <w:b/>
          <w:bCs/>
          <w:color w:val="auto"/>
          <w:sz w:val="24"/>
          <w:szCs w:val="24"/>
          <w:highlight w:val="none"/>
          <w:lang w:eastAsia="zh-CN"/>
        </w:rPr>
        <w:t>举报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1.询问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供应商对政府采购活动事项有疑问的，可以向采购人或采购代理机构提出询问，采购人或采购代理机构应当在 3 个工作日内作出答复，但答复的内容不得涉及商业秘密。供应商提出的询问超出采购人对采购代理机构委托授权范围的，采购代理机构应当告知其向采购人提出。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2.质疑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内蒙古自治区财政厅关于规范限额标准以下项目采购的通知》（内财购〔2022〕186号）供应商认为限额标准以下项目的采购过程损害自身合法权益的可向采购人提起质疑。本项目采购人参照《政府采购质疑和投诉办法》相关规定予以受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供应商认为采购文件、采购过程、成交结果使自己的权益受到损害的，可以在知道或者应知其权益受到损害之日起 7 个工作日内，以书面形式向采购人、采购代理机构提出质疑。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供应商在质疑投诉期内应当一次性提出针对同一采购程序环节的质疑。提出质疑的供应商应当是参与所质疑项目采购活动的供应商。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潜在供应商已依法获取其可质疑的采购文件的，可以对该文件提出质疑。对采购文件提出质疑的，应当在获取采购文件期限届满之日起 7 个工作日内提出。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采购人、采购代理机构应当在收到供应商的书面质疑后 7 个工作日内作出答复，并以书面形式通知质疑供应商和其他有关供应商，但答复的内容不得涉及商业秘密。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询问或者质疑事项可能影响成交结果的，采购人应当暂停签订合同，已经签订合同的，应当中止履行合同。</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供应商提出质疑应当提交质疑函和必要的证明材料。质疑函应当包括下列内容：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（一）供应商的姓名或者名称、地址、邮编、联系人及联系电话；</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（二）质疑项目的名称、编号、采购文件获取日期；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供应商可以委托代理人进行质疑，代理人提出质疑投诉时应当提交供应商签署的授权委托书。其授权委托书应当载明代理人的姓名或者名称、代理事项、具体权限、期限和相关事项。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供应商提交的质疑函，应按照中国政府采购网中的“质疑函范本”制作。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接收质疑函的方式。为了使提出的质疑事项在规定时间内得到有效答复、处理，质疑可以由法定代表人或授权代表亲自将质疑函递交至采购人或采购代理机构，也可以通过邮寄、快递等方式提交。质疑函以邮寄、快递方式递交的，以邮寄件上的戳记日期、邮政快递件上的戳记日期和非邮政快递件上的签注日期为质疑提起日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接收质疑函的联系部门、联系电话、通讯地址（详见第一章）。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3.举报</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依据《内蒙古自治区财政厅关于规范限额标准以下项目采购的通知》（内财购〔2022〕186号）供应商对争议事项处理结果不满意的，可向采购人预算主管部门进行举报，各预算主管部门应依法依规及时进行受理。</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本项目质疑人可以在答复期满后十五个工作日内向采购人预算主管部门进行举报。供应商举报的事项不得超出已质疑事项的范围，但基于质疑答复内容提出的举报事项除外。</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举报人举报时，应当提交举报书和必要的证明材料，并按照被举报采购人、采购代理机构（以下简称被举报人）和与举报事项有关的供应商数量提供举报书的副本。举报书应当包括下列内容：</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（一）举报人和被举报人的姓名或者名称、通讯地址、邮编、联系人及联系电话；</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（二）质疑和质疑答复情况说明及相关证明材料；</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（三）具体、明确的举报事项和与举报事项相关的举报请求；</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（六）提起举报的日期。</w:t>
      </w:r>
    </w:p>
    <w:p>
      <w:pPr>
        <w:kinsoku/>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举报人为自然人的，应当由本人签字；举报人为法人或者其他组织的，应当由法定代表人、主要负责人，或者其授权代表签字或者盖章，并加盖公章。</w:t>
      </w:r>
    </w:p>
    <w:p>
      <w:pPr>
        <w:kinsoku/>
        <w:spacing w:line="360" w:lineRule="auto"/>
        <w:ind w:firstLine="480" w:firstLineChars="200"/>
        <w:rPr>
          <w:rFonts w:ascii="宋体" w:eastAsia="宋体" w:cs="宋体"/>
          <w:color w:val="auto"/>
          <w:sz w:val="24"/>
          <w:szCs w:val="24"/>
          <w:lang w:eastAsia="zh-CN"/>
        </w:rPr>
      </w:pPr>
      <w:r>
        <w:rPr>
          <w:rFonts w:hint="eastAsia" w:ascii="宋体" w:hAnsi="宋体" w:eastAsia="宋体" w:cs="宋体"/>
          <w:color w:val="auto"/>
          <w:sz w:val="24"/>
          <w:szCs w:val="24"/>
          <w:highlight w:val="none"/>
        </w:rPr>
        <w:t>3.3 限额标准以下项目采购，不适用《中华人民共和国政府采购法》第二条规定，各级财政部门不对争议事项进行受理或处理。</w:t>
      </w:r>
    </w:p>
    <w:p>
      <w:pPr>
        <w:kinsoku/>
        <w:spacing w:line="360" w:lineRule="auto"/>
        <w:ind w:firstLine="480" w:firstLineChars="200"/>
        <w:rPr>
          <w:rFonts w:ascii="宋体" w:eastAsia="宋体" w:cs="宋体"/>
          <w:color w:val="auto"/>
          <w:sz w:val="24"/>
          <w:szCs w:val="24"/>
          <w:lang w:eastAsia="zh-CN"/>
        </w:rPr>
        <w:sectPr>
          <w:footerReference r:id="rId6"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562" w:firstLineChars="200"/>
        <w:jc w:val="center"/>
        <w:outlineLvl w:val="0"/>
        <w:rPr>
          <w:rFonts w:ascii="宋体" w:eastAsia="宋体" w:cs="宋体"/>
          <w:color w:val="auto"/>
          <w:sz w:val="24"/>
          <w:szCs w:val="24"/>
          <w:lang w:eastAsia="zh-CN"/>
        </w:rPr>
      </w:pPr>
      <w:r>
        <w:rPr>
          <w:rFonts w:hint="eastAsia" w:ascii="宋体" w:eastAsia="宋体" w:cs="宋体"/>
          <w:b/>
          <w:bCs/>
          <w:color w:val="auto"/>
          <w:sz w:val="28"/>
          <w:szCs w:val="28"/>
          <w:lang w:eastAsia="zh-CN"/>
        </w:rPr>
        <w:t>第三章  采购内容与技术要求</w:t>
      </w:r>
    </w:p>
    <w:p>
      <w:pPr>
        <w:kinsoku/>
        <w:spacing w:line="360" w:lineRule="auto"/>
        <w:ind w:firstLine="481" w:firstLineChars="200"/>
        <w:outlineLvl w:val="1"/>
        <w:rPr>
          <w:rFonts w:ascii="宋体" w:eastAsia="宋体" w:cs="宋体"/>
          <w:b/>
          <w:bCs/>
          <w:color w:val="auto"/>
          <w:sz w:val="24"/>
          <w:szCs w:val="24"/>
          <w:lang w:eastAsia="zh-CN"/>
        </w:rPr>
      </w:pPr>
      <w:r>
        <w:rPr>
          <w:rFonts w:hint="eastAsia" w:ascii="宋体" w:eastAsia="宋体" w:cs="宋体"/>
          <w:b/>
          <w:bCs/>
          <w:color w:val="auto"/>
          <w:sz w:val="24"/>
          <w:szCs w:val="24"/>
          <w:lang w:eastAsia="zh-CN"/>
        </w:rPr>
        <w:t>一、项目概况</w:t>
      </w:r>
    </w:p>
    <w:p>
      <w:pPr>
        <w:kinsoku/>
        <w:spacing w:line="360" w:lineRule="auto"/>
        <w:ind w:firstLine="480" w:firstLineChars="200"/>
        <w:rPr>
          <w:rFonts w:hint="default" w:ascii="宋体" w:eastAsia="宋体" w:cs="宋体"/>
          <w:color w:val="0000FF"/>
          <w:sz w:val="24"/>
          <w:szCs w:val="24"/>
          <w:highlight w:val="none"/>
          <w:lang w:val="en-US" w:eastAsia="zh-CN"/>
        </w:rPr>
      </w:pPr>
      <w:r>
        <w:rPr>
          <w:rFonts w:hint="eastAsia" w:ascii="宋体" w:cs="宋体"/>
          <w:color w:val="auto"/>
          <w:sz w:val="24"/>
          <w:szCs w:val="24"/>
          <w:highlight w:val="none"/>
          <w:lang w:eastAsia="zh-CN"/>
        </w:rPr>
        <w:t>对赤峰市</w:t>
      </w:r>
      <w:r>
        <w:rPr>
          <w:rFonts w:hint="eastAsia" w:ascii="宋体" w:cs="宋体"/>
          <w:color w:val="auto"/>
          <w:sz w:val="24"/>
          <w:szCs w:val="24"/>
          <w:highlight w:val="none"/>
        </w:rPr>
        <w:t>红山区9个乡镇及农村</w:t>
      </w:r>
      <w:r>
        <w:rPr>
          <w:rFonts w:ascii="宋体" w:cs="宋体"/>
          <w:color w:val="auto"/>
          <w:sz w:val="24"/>
          <w:szCs w:val="24"/>
          <w:highlight w:val="none"/>
        </w:rPr>
        <w:t>集中式饮用水水源地</w:t>
      </w:r>
      <w:r>
        <w:rPr>
          <w:rFonts w:hint="eastAsia" w:ascii="宋体" w:cs="宋体"/>
          <w:color w:val="auto"/>
          <w:sz w:val="24"/>
          <w:szCs w:val="24"/>
          <w:highlight w:val="none"/>
        </w:rPr>
        <w:t>17眼水源井</w:t>
      </w:r>
      <w:r>
        <w:rPr>
          <w:rFonts w:hint="eastAsia" w:ascii="宋体" w:cs="宋体"/>
          <w:color w:val="auto"/>
          <w:sz w:val="24"/>
          <w:szCs w:val="24"/>
          <w:highlight w:val="none"/>
          <w:lang w:eastAsia="zh-CN"/>
        </w:rPr>
        <w:t>的</w:t>
      </w:r>
      <w:r>
        <w:rPr>
          <w:rFonts w:hint="eastAsia" w:ascii="宋体" w:cs="宋体"/>
          <w:color w:val="auto"/>
          <w:sz w:val="24"/>
          <w:szCs w:val="24"/>
          <w:highlight w:val="none"/>
        </w:rPr>
        <w:t>水质进行监测，按照《地下水环境质量标准》（GB/T 14848-2017）监测规范要求，监测</w:t>
      </w:r>
      <w:r>
        <w:rPr>
          <w:rFonts w:hint="eastAsia" w:ascii="宋体" w:cs="宋体"/>
          <w:color w:val="auto"/>
          <w:sz w:val="24"/>
          <w:szCs w:val="24"/>
          <w:highlight w:val="none"/>
          <w:lang w:eastAsia="zh-CN"/>
        </w:rPr>
        <w:t>包含</w:t>
      </w:r>
      <w:r>
        <w:rPr>
          <w:rFonts w:hint="eastAsia" w:ascii="宋体" w:cs="宋体"/>
          <w:color w:val="auto"/>
          <w:sz w:val="24"/>
          <w:szCs w:val="24"/>
          <w:highlight w:val="none"/>
        </w:rPr>
        <w:t>PH、总硬度、菌落总数等39项地下水质量常规指标。</w:t>
      </w:r>
      <w:r>
        <w:rPr>
          <w:rFonts w:hint="eastAsia" w:ascii="宋体" w:cs="宋体"/>
          <w:color w:val="auto"/>
          <w:sz w:val="24"/>
          <w:szCs w:val="24"/>
          <w:highlight w:val="none"/>
          <w:lang w:eastAsia="zh-CN"/>
        </w:rPr>
        <w:t>要求</w:t>
      </w:r>
      <w:r>
        <w:rPr>
          <w:rFonts w:hint="eastAsia" w:ascii="宋体" w:cs="宋体"/>
          <w:color w:val="auto"/>
          <w:sz w:val="24"/>
          <w:szCs w:val="24"/>
          <w:highlight w:val="none"/>
          <w:lang w:val="en-US" w:eastAsia="zh-CN"/>
        </w:rPr>
        <w:t>2025年</w:t>
      </w:r>
      <w:r>
        <w:rPr>
          <w:rFonts w:hint="eastAsia" w:ascii="宋体" w:cs="宋体"/>
          <w:color w:val="auto"/>
          <w:sz w:val="24"/>
          <w:szCs w:val="24"/>
          <w:highlight w:val="none"/>
          <w:lang w:eastAsia="zh-CN"/>
        </w:rPr>
        <w:t>丰水期和枯水期</w:t>
      </w:r>
      <w:r>
        <w:rPr>
          <w:rFonts w:hint="eastAsia" w:ascii="宋体" w:cs="宋体"/>
          <w:color w:val="auto"/>
          <w:sz w:val="24"/>
          <w:szCs w:val="24"/>
          <w:highlight w:val="none"/>
        </w:rPr>
        <w:t>各监测一次</w:t>
      </w:r>
      <w:r>
        <w:rPr>
          <w:rFonts w:hint="eastAsia" w:ascii="宋体" w:cs="宋体"/>
          <w:color w:val="auto"/>
          <w:sz w:val="24"/>
          <w:szCs w:val="24"/>
          <w:highlight w:val="none"/>
          <w:lang w:eastAsia="zh-CN"/>
        </w:rPr>
        <w:t>，并出具检验检测报告</w:t>
      </w:r>
      <w:r>
        <w:rPr>
          <w:rFonts w:hint="eastAsia" w:ascii="宋体" w:cs="宋体"/>
          <w:color w:val="auto"/>
          <w:sz w:val="24"/>
          <w:szCs w:val="24"/>
          <w:highlight w:val="none"/>
        </w:rPr>
        <w:t>。</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二、主要商务要求、技术要求</w:t>
      </w:r>
    </w:p>
    <w:p>
      <w:pPr>
        <w:kinsoku/>
        <w:spacing w:line="360" w:lineRule="auto"/>
        <w:ind w:firstLine="481" w:firstLineChars="200"/>
        <w:outlineLvl w:val="2"/>
        <w:rPr>
          <w:rFonts w:hint="eastAsia" w:ascii="宋体" w:eastAsia="宋体" w:cs="宋体"/>
          <w:b/>
          <w:bCs/>
          <w:color w:val="auto"/>
          <w:sz w:val="24"/>
          <w:szCs w:val="24"/>
        </w:rPr>
      </w:pPr>
      <w:r>
        <w:rPr>
          <w:rFonts w:hint="eastAsia" w:ascii="宋体" w:eastAsia="宋体" w:cs="宋体"/>
          <w:b/>
          <w:bCs/>
          <w:color w:val="auto"/>
          <w:sz w:val="24"/>
          <w:szCs w:val="24"/>
        </w:rPr>
        <w:t>1.主要商务要求</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default" w:eastAsia="宋体"/>
          <w:b w:val="0"/>
          <w:bCs w:val="0"/>
          <w:highlight w:val="none"/>
          <w:lang w:val="en-US" w:eastAsia="zh-CN"/>
        </w:rPr>
      </w:pPr>
      <w:r>
        <w:rPr>
          <w:rFonts w:hint="eastAsia" w:ascii="宋体" w:eastAsia="宋体" w:cs="宋体"/>
          <w:b w:val="0"/>
          <w:bCs w:val="0"/>
          <w:color w:val="auto"/>
          <w:sz w:val="24"/>
          <w:szCs w:val="24"/>
          <w:highlight w:val="none"/>
          <w:lang w:eastAsia="zh-CN"/>
        </w:rPr>
        <w:t>采购包</w:t>
      </w:r>
      <w:r>
        <w:rPr>
          <w:rFonts w:hint="eastAsia" w:ascii="宋体" w:eastAsia="宋体" w:cs="宋体"/>
          <w:b w:val="0"/>
          <w:bCs w:val="0"/>
          <w:color w:val="auto"/>
          <w:sz w:val="24"/>
          <w:szCs w:val="24"/>
          <w:highlight w:val="none"/>
          <w:lang w:val="en-US" w:eastAsia="zh-CN"/>
        </w:rPr>
        <w:t>1：2025年赤峰市红山区乡镇及农村集中式饮用水水源地水质环境监测服务项目</w:t>
      </w:r>
    </w:p>
    <w:tbl>
      <w:tblPr>
        <w:tblStyle w:val="18"/>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8"/>
        <w:gridCol w:w="6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58" w:type="dxa"/>
            <w:shd w:val="clear" w:color="auto" w:fill="auto"/>
            <w:vAlign w:val="center"/>
          </w:tcPr>
          <w:p>
            <w:pPr>
              <w:kinsoku/>
              <w:spacing w:line="360" w:lineRule="auto"/>
              <w:jc w:val="center"/>
              <w:rPr>
                <w:rFonts w:ascii="宋体" w:eastAsia="宋体" w:cs="宋体"/>
                <w:color w:val="auto"/>
                <w:sz w:val="24"/>
                <w:szCs w:val="24"/>
                <w:highlight w:val="none"/>
                <w:lang w:eastAsia="zh-CN"/>
              </w:rPr>
            </w:pPr>
            <w:r>
              <w:rPr>
                <w:rFonts w:hint="eastAsia" w:ascii="宋体" w:eastAsia="宋体" w:cs="宋体"/>
                <w:color w:val="auto"/>
                <w:sz w:val="24"/>
                <w:szCs w:val="24"/>
                <w:highlight w:val="none"/>
                <w:lang w:eastAsia="zh-CN"/>
              </w:rPr>
              <w:t>服务期限</w:t>
            </w:r>
          </w:p>
        </w:tc>
        <w:tc>
          <w:tcPr>
            <w:tcW w:w="6121"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宋体" w:eastAsia="宋体" w:cs="宋体"/>
                <w:color w:val="auto"/>
                <w:sz w:val="24"/>
                <w:szCs w:val="24"/>
                <w:lang w:val="en-US" w:eastAsia="zh-CN"/>
              </w:rPr>
            </w:pPr>
            <w:r>
              <w:rPr>
                <w:rFonts w:hint="default" w:ascii="宋体" w:eastAsia="宋体" w:cs="宋体"/>
                <w:color w:val="auto"/>
                <w:sz w:val="24"/>
                <w:szCs w:val="24"/>
                <w:lang w:val="en-US" w:eastAsia="zh-CN"/>
              </w:rPr>
              <w:t>自合同签订之日起至2025年12月31日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58" w:type="dxa"/>
            <w:shd w:val="clear" w:color="auto" w:fill="auto"/>
            <w:vAlign w:val="center"/>
          </w:tcPr>
          <w:p>
            <w:pPr>
              <w:kinsoku/>
              <w:spacing w:line="360" w:lineRule="auto"/>
              <w:jc w:val="center"/>
              <w:rPr>
                <w:rFonts w:ascii="宋体" w:eastAsia="宋体" w:cs="宋体"/>
                <w:color w:val="auto"/>
                <w:sz w:val="24"/>
                <w:szCs w:val="24"/>
                <w:lang w:eastAsia="zh-CN"/>
              </w:rPr>
            </w:pPr>
            <w:r>
              <w:rPr>
                <w:rFonts w:hint="eastAsia" w:ascii="宋体" w:eastAsia="宋体" w:cs="宋体"/>
                <w:color w:val="auto"/>
                <w:sz w:val="24"/>
                <w:szCs w:val="24"/>
                <w:lang w:eastAsia="zh-CN"/>
              </w:rPr>
              <w:t>服务地点</w:t>
            </w:r>
          </w:p>
        </w:tc>
        <w:tc>
          <w:tcPr>
            <w:tcW w:w="6121"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eastAsia="宋体" w:cs="宋体"/>
                <w:color w:val="auto"/>
                <w:sz w:val="24"/>
                <w:szCs w:val="24"/>
                <w:lang w:eastAsia="zh-CN"/>
              </w:rPr>
            </w:pPr>
            <w:r>
              <w:rPr>
                <w:rFonts w:hint="eastAsia" w:ascii="宋体" w:eastAsia="宋体" w:cs="宋体"/>
                <w:color w:val="auto"/>
                <w:sz w:val="24"/>
                <w:szCs w:val="24"/>
                <w:lang w:eastAsia="zh-CN"/>
              </w:rPr>
              <w:t>赤峰市红山区9个乡镇及农村集中式饮用水水源地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58" w:type="dxa"/>
            <w:shd w:val="clear" w:color="auto" w:fill="auto"/>
            <w:vAlign w:val="center"/>
          </w:tcPr>
          <w:p>
            <w:pPr>
              <w:kinsoku/>
              <w:jc w:val="center"/>
              <w:rPr>
                <w:rFonts w:ascii="宋体" w:eastAsia="宋体" w:cs="宋体"/>
                <w:color w:val="auto"/>
                <w:sz w:val="24"/>
                <w:szCs w:val="24"/>
                <w:highlight w:val="none"/>
              </w:rPr>
            </w:pPr>
            <w:r>
              <w:rPr>
                <w:rFonts w:hint="eastAsia" w:ascii="宋体" w:eastAsia="宋体" w:cs="宋体"/>
                <w:color w:val="auto"/>
                <w:sz w:val="24"/>
                <w:szCs w:val="24"/>
                <w:highlight w:val="none"/>
              </w:rPr>
              <w:t>付款方式</w:t>
            </w:r>
          </w:p>
        </w:tc>
        <w:tc>
          <w:tcPr>
            <w:tcW w:w="6121"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1期：合同签订后支付合同金额的30%，</w:t>
            </w:r>
            <w:r>
              <w:rPr>
                <w:rFonts w:hint="eastAsia" w:ascii="宋体" w:eastAsia="宋体" w:cs="宋体"/>
                <w:color w:val="auto"/>
                <w:sz w:val="24"/>
                <w:szCs w:val="24"/>
                <w:lang w:eastAsia="zh-CN"/>
              </w:rPr>
              <w:t>支付前需提供相应面额的发票</w:t>
            </w:r>
            <w:r>
              <w:rPr>
                <w:rFonts w:hint="eastAsia" w:ascii="宋体" w:hAnsi="宋体" w:eastAsia="宋体" w:cs="宋体"/>
                <w:sz w:val="24"/>
                <w:szCs w:val="24"/>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lang w:val="en-US" w:eastAsia="zh-CN"/>
              </w:rPr>
            </w:pPr>
            <w:r>
              <w:rPr>
                <w:rFonts w:hint="eastAsia" w:ascii="宋体" w:hAnsi="宋体" w:eastAsia="宋体" w:cs="宋体"/>
                <w:sz w:val="24"/>
                <w:szCs w:val="24"/>
                <w:highlight w:val="none"/>
                <w:lang w:val="en-US" w:eastAsia="zh-CN"/>
              </w:rPr>
              <w:t>2期：项目完成并由甲方验收合格后（项目完成后10日内验收）本年底前支付合同金额的70%，</w:t>
            </w:r>
            <w:r>
              <w:rPr>
                <w:rFonts w:hint="eastAsia" w:ascii="宋体" w:eastAsia="宋体" w:cs="宋体"/>
                <w:color w:val="auto"/>
                <w:sz w:val="24"/>
                <w:szCs w:val="24"/>
                <w:lang w:eastAsia="zh-CN"/>
              </w:rPr>
              <w:t>支付前需提供相应面额的发票。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58" w:type="dxa"/>
            <w:shd w:val="clear" w:color="auto" w:fill="auto"/>
            <w:vAlign w:val="center"/>
          </w:tcPr>
          <w:p>
            <w:pPr>
              <w:kinsoku/>
              <w:jc w:val="center"/>
              <w:rPr>
                <w:rFonts w:ascii="宋体" w:eastAsia="宋体" w:cs="宋体"/>
                <w:color w:val="auto"/>
                <w:sz w:val="24"/>
                <w:szCs w:val="24"/>
              </w:rPr>
            </w:pPr>
            <w:r>
              <w:rPr>
                <w:rFonts w:hint="eastAsia" w:ascii="宋体" w:eastAsia="宋体" w:cs="宋体"/>
                <w:color w:val="auto"/>
                <w:sz w:val="24"/>
                <w:szCs w:val="24"/>
              </w:rPr>
              <w:t>验收要求</w:t>
            </w:r>
          </w:p>
        </w:tc>
        <w:tc>
          <w:tcPr>
            <w:tcW w:w="6121"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eastAsia="宋体" w:cs="宋体"/>
                <w:color w:val="auto"/>
                <w:sz w:val="24"/>
                <w:szCs w:val="24"/>
                <w:lang w:eastAsia="zh-CN"/>
              </w:rPr>
            </w:pPr>
            <w:r>
              <w:rPr>
                <w:rFonts w:hint="eastAsia" w:ascii="宋体" w:eastAsia="宋体" w:cs="宋体"/>
                <w:color w:val="auto"/>
                <w:sz w:val="24"/>
                <w:szCs w:val="24"/>
                <w:lang w:eastAsia="zh-CN"/>
              </w:rPr>
              <w:t>1.成交供应商出具的水质检测报告应符合国家、行业、采购文件相关技术规范、规定的要求；</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eastAsia="宋体" w:cs="宋体"/>
                <w:color w:val="auto"/>
                <w:sz w:val="24"/>
                <w:szCs w:val="24"/>
                <w:lang w:eastAsia="zh-CN"/>
              </w:rPr>
            </w:pPr>
            <w:r>
              <w:rPr>
                <w:rFonts w:hint="eastAsia" w:ascii="宋体" w:eastAsia="宋体" w:cs="宋体"/>
                <w:color w:val="auto"/>
                <w:sz w:val="24"/>
                <w:szCs w:val="24"/>
                <w:lang w:eastAsia="zh-CN"/>
              </w:rPr>
              <w:t>2.项目完成后，由采购人按国家、行业、采购文件相关技术规范、规定进行验收；</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ascii="宋体" w:eastAsia="宋体" w:cs="宋体"/>
                <w:color w:val="auto"/>
                <w:sz w:val="24"/>
                <w:szCs w:val="24"/>
                <w:lang w:eastAsia="zh-CN"/>
              </w:rPr>
            </w:pPr>
            <w:r>
              <w:rPr>
                <w:rFonts w:hint="eastAsia" w:ascii="宋体" w:eastAsia="宋体" w:cs="宋体"/>
                <w:color w:val="auto"/>
                <w:sz w:val="24"/>
                <w:szCs w:val="24"/>
                <w:lang w:eastAsia="zh-CN"/>
              </w:rPr>
              <w:t>3.采购人认为如有必要或因服务质量问题发生争议时，由本地质量技术监督部门按合同要求及国家标准对服务进行鉴定。服务符合质量技术标准的，鉴定费由采购人承担；否则鉴定费由成交人承担，并赔偿采购人相应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58" w:type="dxa"/>
            <w:shd w:val="clear" w:color="auto" w:fill="auto"/>
            <w:vAlign w:val="center"/>
          </w:tcPr>
          <w:p>
            <w:pPr>
              <w:kinsoku/>
              <w:jc w:val="center"/>
              <w:rPr>
                <w:rFonts w:ascii="宋体" w:eastAsia="宋体" w:cs="宋体"/>
                <w:color w:val="auto"/>
                <w:sz w:val="24"/>
                <w:szCs w:val="24"/>
              </w:rPr>
            </w:pPr>
            <w:r>
              <w:rPr>
                <w:rFonts w:hint="eastAsia" w:ascii="宋体" w:eastAsia="宋体" w:cs="宋体"/>
                <w:color w:val="auto"/>
                <w:sz w:val="24"/>
                <w:szCs w:val="24"/>
              </w:rPr>
              <w:t>履约保证金</w:t>
            </w:r>
          </w:p>
        </w:tc>
        <w:tc>
          <w:tcPr>
            <w:tcW w:w="6121"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58" w:type="dxa"/>
            <w:shd w:val="clear" w:color="auto" w:fill="auto"/>
            <w:vAlign w:val="center"/>
          </w:tcPr>
          <w:p>
            <w:pPr>
              <w:kinsoku/>
              <w:jc w:val="center"/>
              <w:rPr>
                <w:rFonts w:ascii="宋体" w:eastAsia="宋体" w:cs="宋体"/>
                <w:color w:val="auto"/>
                <w:sz w:val="24"/>
                <w:szCs w:val="24"/>
              </w:rPr>
            </w:pPr>
            <w:r>
              <w:rPr>
                <w:rFonts w:hint="eastAsia" w:ascii="宋体" w:eastAsia="宋体" w:cs="宋体"/>
                <w:color w:val="auto"/>
                <w:sz w:val="24"/>
                <w:szCs w:val="24"/>
              </w:rPr>
              <w:t>其他</w:t>
            </w:r>
          </w:p>
        </w:tc>
        <w:tc>
          <w:tcPr>
            <w:tcW w:w="6121"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无</w:t>
            </w:r>
          </w:p>
        </w:tc>
      </w:tr>
    </w:tbl>
    <w:p>
      <w:pPr>
        <w:numPr>
          <w:ilvl w:val="0"/>
          <w:numId w:val="0"/>
        </w:numPr>
        <w:kinsoku/>
        <w:spacing w:before="240" w:beforeLines="100" w:line="360" w:lineRule="auto"/>
        <w:ind w:firstLine="481" w:firstLineChars="200"/>
        <w:outlineLvl w:val="2"/>
        <w:rPr>
          <w:rFonts w:hint="eastAsia" w:ascii="宋体" w:eastAsia="宋体" w:cs="宋体"/>
          <w:b/>
          <w:bCs/>
          <w:color w:val="auto"/>
          <w:sz w:val="24"/>
          <w:szCs w:val="24"/>
        </w:rPr>
      </w:pPr>
      <w:r>
        <w:rPr>
          <w:rFonts w:hint="eastAsia" w:ascii="宋体" w:hAnsi="Arial" w:eastAsia="宋体" w:cs="宋体"/>
          <w:b/>
          <w:bCs/>
          <w:snapToGrid w:val="0"/>
          <w:color w:val="auto"/>
          <w:sz w:val="24"/>
          <w:szCs w:val="24"/>
          <w:lang w:val="en-US" w:eastAsia="en-US" w:bidi="ar-SA"/>
        </w:rPr>
        <w:t>2.</w:t>
      </w:r>
      <w:r>
        <w:rPr>
          <w:rFonts w:hint="eastAsia" w:ascii="宋体" w:eastAsia="宋体" w:cs="宋体"/>
          <w:b/>
          <w:bCs/>
          <w:color w:val="auto"/>
          <w:sz w:val="24"/>
          <w:szCs w:val="24"/>
        </w:rPr>
        <w:t>技术要求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宋体" w:eastAsia="宋体" w:cs="宋体"/>
          <w:b w:val="0"/>
          <w:bCs w:val="0"/>
          <w:color w:val="auto"/>
          <w:sz w:val="24"/>
          <w:szCs w:val="24"/>
          <w:highlight w:val="none"/>
          <w:lang w:val="en-US" w:eastAsia="zh-CN"/>
        </w:rPr>
      </w:pPr>
      <w:r>
        <w:rPr>
          <w:rFonts w:hint="eastAsia" w:ascii="宋体" w:eastAsia="宋体" w:cs="宋体"/>
          <w:b w:val="0"/>
          <w:bCs w:val="0"/>
          <w:color w:val="auto"/>
          <w:sz w:val="24"/>
          <w:szCs w:val="24"/>
          <w:highlight w:val="none"/>
          <w:lang w:eastAsia="zh-CN"/>
        </w:rPr>
        <w:t>采购包</w:t>
      </w:r>
      <w:r>
        <w:rPr>
          <w:rFonts w:hint="eastAsia" w:ascii="宋体" w:eastAsia="宋体" w:cs="宋体"/>
          <w:b w:val="0"/>
          <w:bCs w:val="0"/>
          <w:color w:val="auto"/>
          <w:sz w:val="24"/>
          <w:szCs w:val="24"/>
          <w:highlight w:val="none"/>
          <w:lang w:val="en-US" w:eastAsia="zh-CN"/>
        </w:rPr>
        <w:t>1：2025年赤峰市红山区乡镇及农村集中式饮用水水源地水质环境监测服务项目</w:t>
      </w:r>
    </w:p>
    <w:tbl>
      <w:tblPr>
        <w:tblStyle w:val="18"/>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500"/>
        <w:gridCol w:w="7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680"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参数性质</w:t>
            </w:r>
          </w:p>
        </w:tc>
        <w:tc>
          <w:tcPr>
            <w:tcW w:w="500"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7825"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具体技术(参数)要求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680"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w:t>
            </w:r>
          </w:p>
        </w:tc>
        <w:tc>
          <w:tcPr>
            <w:tcW w:w="500"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default"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1</w:t>
            </w:r>
          </w:p>
        </w:tc>
        <w:tc>
          <w:tcPr>
            <w:tcW w:w="7825" w:type="dxa"/>
            <w:shd w:val="clear" w:color="auto" w:fill="auto"/>
            <w:vAlign w:val="center"/>
          </w:tcPr>
          <w:p>
            <w:pPr>
              <w:pStyle w:val="14"/>
              <w:spacing w:line="360" w:lineRule="auto"/>
              <w:rPr>
                <w:rFonts w:hint="default" w:ascii="宋体" w:hAnsi="宋体" w:cs="宋体"/>
                <w:b/>
                <w:bCs/>
                <w:color w:val="auto"/>
                <w:kern w:val="0"/>
                <w:sz w:val="24"/>
                <w:szCs w:val="24"/>
                <w:lang w:val="en-US" w:eastAsia="zh-CN"/>
              </w:rPr>
            </w:pPr>
            <w:r>
              <w:rPr>
                <w:rFonts w:hint="default" w:ascii="宋体" w:hAnsi="宋体" w:cs="宋体"/>
                <w:b/>
                <w:bCs/>
                <w:color w:val="auto"/>
                <w:kern w:val="0"/>
                <w:sz w:val="24"/>
                <w:szCs w:val="24"/>
                <w:lang w:val="en-US" w:eastAsia="zh-CN"/>
              </w:rPr>
              <w:t>一、监测内容及监测频次</w:t>
            </w:r>
          </w:p>
          <w:p>
            <w:pPr>
              <w:pStyle w:val="14"/>
              <w:spacing w:line="360" w:lineRule="auto"/>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对赤峰市红山区9个乡镇及农村集中式饮用水水源地17眼水源井的水质进行</w:t>
            </w:r>
            <w:r>
              <w:rPr>
                <w:rFonts w:hint="eastAsia" w:ascii="宋体" w:hAnsi="宋体" w:cs="宋体"/>
                <w:color w:val="auto"/>
                <w:kern w:val="0"/>
                <w:sz w:val="24"/>
                <w:szCs w:val="24"/>
                <w:lang w:val="en-US" w:eastAsia="zh-CN"/>
              </w:rPr>
              <w:t>采样及</w:t>
            </w:r>
            <w:r>
              <w:rPr>
                <w:rFonts w:hint="default" w:ascii="宋体" w:hAnsi="宋体" w:cs="宋体"/>
                <w:color w:val="auto"/>
                <w:kern w:val="0"/>
                <w:sz w:val="24"/>
                <w:szCs w:val="24"/>
                <w:lang w:val="en-US" w:eastAsia="zh-CN"/>
              </w:rPr>
              <w:t>监测</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lang w:val="en-US" w:eastAsia="zh-CN"/>
              </w:rPr>
              <w:t>按照《地下水环境质量标准》（GB/T 14848-2017）监测规范要求，监测包含PH、总硬度、菌落总数等39项地下水质量常规指标。要求2025年丰水期和枯水期各监测一次，并出具检验检测报告。</w:t>
            </w:r>
          </w:p>
          <w:p>
            <w:pPr>
              <w:pStyle w:val="14"/>
              <w:spacing w:line="360" w:lineRule="auto"/>
              <w:rPr>
                <w:rFonts w:hint="default" w:ascii="宋体" w:hAnsi="宋体" w:cs="宋体"/>
                <w:b/>
                <w:bCs/>
                <w:color w:val="auto"/>
                <w:kern w:val="0"/>
                <w:sz w:val="24"/>
                <w:szCs w:val="24"/>
                <w:lang w:val="en-US" w:eastAsia="zh-CN"/>
              </w:rPr>
            </w:pPr>
            <w:r>
              <w:rPr>
                <w:rFonts w:hint="default" w:ascii="宋体" w:hAnsi="宋体" w:cs="宋体"/>
                <w:b/>
                <w:bCs/>
                <w:color w:val="auto"/>
                <w:kern w:val="0"/>
                <w:sz w:val="24"/>
                <w:szCs w:val="24"/>
                <w:lang w:val="en-US" w:eastAsia="zh-CN"/>
              </w:rPr>
              <w:t>二、其他要求</w:t>
            </w:r>
          </w:p>
          <w:p>
            <w:pPr>
              <w:pStyle w:val="14"/>
              <w:spacing w:line="360" w:lineRule="auto"/>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1</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lang w:val="en-US" w:eastAsia="zh-CN"/>
              </w:rPr>
              <w:t>赤峰市生态环境局红山区分局提供被监测单位联系方式，采样应提供现场照片。现场照片与监测报告须同时提交赤峰市生态环境局红山区分局。</w:t>
            </w:r>
          </w:p>
          <w:p>
            <w:pPr>
              <w:pStyle w:val="15"/>
              <w:ind w:left="0" w:leftChars="0" w:firstLine="0" w:firstLineChars="0"/>
              <w:jc w:val="both"/>
              <w:rPr>
                <w:rFonts w:hint="eastAsia" w:hAnsi="宋体" w:cs="宋体"/>
                <w:b/>
                <w:bCs/>
                <w:i w:val="0"/>
                <w:iCs/>
                <w:color w:val="auto"/>
                <w:kern w:val="0"/>
                <w:sz w:val="24"/>
                <w:szCs w:val="24"/>
                <w:lang w:val="en-US" w:eastAsia="zh-CN"/>
              </w:rPr>
            </w:pPr>
            <w:r>
              <w:rPr>
                <w:rFonts w:hint="eastAsia" w:hAnsi="宋体" w:cs="宋体"/>
                <w:b/>
                <w:bCs/>
                <w:i w:val="0"/>
                <w:iCs/>
                <w:color w:val="auto"/>
                <w:kern w:val="0"/>
                <w:sz w:val="24"/>
                <w:szCs w:val="24"/>
                <w:lang w:val="en-US" w:eastAsia="zh-CN"/>
              </w:rPr>
              <w:t>三、监测项目清单</w:t>
            </w:r>
          </w:p>
          <w:tbl>
            <w:tblPr>
              <w:tblStyle w:val="1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3040"/>
              <w:gridCol w:w="1320"/>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3040" w:type="dxa"/>
                  <w:noWrap w:val="0"/>
                  <w:vAlign w:val="center"/>
                </w:tcPr>
                <w:p>
                  <w:pPr>
                    <w:widowControl w:val="0"/>
                    <w:ind w:left="0" w:leftChars="0" w:right="0" w:rightChars="0" w:firstLine="0" w:firstLineChars="0"/>
                    <w:jc w:val="both"/>
                    <w:rPr>
                      <w:rFonts w:hint="eastAsia" w:ascii="宋体" w:hAnsi="宋体" w:eastAsia="宋体" w:cs="宋体"/>
                      <w:b/>
                      <w:bCs/>
                      <w:lang w:val="en-US" w:eastAsia="zh-CN"/>
                    </w:rPr>
                  </w:pPr>
                  <w:r>
                    <w:rPr>
                      <w:rFonts w:hint="eastAsia" w:ascii="宋体" w:hAnsi="宋体" w:eastAsia="宋体" w:cs="宋体"/>
                      <w:b/>
                      <w:bCs/>
                      <w:lang w:val="en-US" w:eastAsia="zh-CN"/>
                    </w:rPr>
                    <w:t>监测项目</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2969" w:type="dxa"/>
                  <w:noWrap w:val="0"/>
                  <w:vAlign w:val="center"/>
                </w:tcPr>
                <w:p>
                  <w:pPr>
                    <w:widowControl w:val="0"/>
                    <w:ind w:left="0" w:leftChars="0" w:right="0" w:rightChars="0" w:firstLine="0" w:firstLineChars="0"/>
                    <w:jc w:val="both"/>
                    <w:rPr>
                      <w:rFonts w:hint="eastAsia" w:ascii="宋体" w:hAnsi="宋体" w:eastAsia="宋体" w:cs="宋体"/>
                      <w:b/>
                      <w:bCs/>
                      <w:lang w:val="en-US" w:eastAsia="zh-CN"/>
                    </w:rPr>
                  </w:pPr>
                  <w:r>
                    <w:rPr>
                      <w:rFonts w:hint="eastAsia" w:ascii="宋体" w:hAnsi="宋体" w:eastAsia="宋体" w:cs="宋体"/>
                      <w:b/>
                      <w:bCs/>
                      <w:lang w:val="en-US" w:eastAsia="zh-CN"/>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色度</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21</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总大肠菌群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嗅和味</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22</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浑浊度</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23</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亚硝酸盐氮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肉眼可见物</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硝酸盐氮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pH</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25</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氰化物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总硬度</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26</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溶解性总固体</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27</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碘化物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硫酸盐</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28</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氯化物</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29</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铁</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30</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锰</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31</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铜</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锌</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33</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铝</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34</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三氯甲烷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15</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挥发性酚类</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35</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四氯化碳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16</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阴离子表面活性剂</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36</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17</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耗氧量</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37</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18</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氨氮</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38</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总α放射性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19</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硫化物</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39</w:t>
                  </w: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总β放射性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48"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3040"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r>
                    <w:rPr>
                      <w:rFonts w:hint="eastAsia" w:ascii="宋体" w:hAnsi="宋体" w:eastAsia="宋体" w:cs="宋体"/>
                      <w:lang w:val="en-US" w:eastAsia="zh-CN"/>
                    </w:rPr>
                    <w:t>钠</w:t>
                  </w:r>
                </w:p>
              </w:tc>
              <w:tc>
                <w:tcPr>
                  <w:tcW w:w="1320" w:type="dxa"/>
                  <w:noWrap w:val="0"/>
                  <w:vAlign w:val="center"/>
                </w:tcPr>
                <w:p>
                  <w:pPr>
                    <w:widowControl w:val="0"/>
                    <w:ind w:left="0" w:leftChars="0" w:right="0" w:rightChars="0" w:firstLine="0" w:firstLineChars="0"/>
                    <w:jc w:val="center"/>
                    <w:rPr>
                      <w:rFonts w:hint="eastAsia" w:ascii="宋体" w:hAnsi="宋体" w:eastAsia="宋体" w:cs="宋体"/>
                      <w:lang w:val="en-US" w:eastAsia="zh-CN"/>
                    </w:rPr>
                  </w:pPr>
                </w:p>
              </w:tc>
              <w:tc>
                <w:tcPr>
                  <w:tcW w:w="2969" w:type="dxa"/>
                  <w:noWrap w:val="0"/>
                  <w:vAlign w:val="center"/>
                </w:tcPr>
                <w:p>
                  <w:pPr>
                    <w:widowControl w:val="0"/>
                    <w:ind w:left="0" w:leftChars="0" w:right="0" w:rightChars="0" w:firstLine="0" w:firstLineChars="0"/>
                    <w:jc w:val="both"/>
                    <w:rPr>
                      <w:rFonts w:hint="eastAsia" w:ascii="宋体" w:hAnsi="宋体" w:eastAsia="宋体" w:cs="宋体"/>
                      <w:lang w:val="en-US" w:eastAsia="zh-CN"/>
                    </w:rPr>
                  </w:pPr>
                </w:p>
              </w:tc>
            </w:tr>
          </w:tbl>
          <w:p>
            <w:pP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jc w:val="center"/>
        </w:trPr>
        <w:tc>
          <w:tcPr>
            <w:tcW w:w="680" w:type="dxa"/>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说明</w:t>
            </w:r>
          </w:p>
        </w:tc>
        <w:tc>
          <w:tcPr>
            <w:tcW w:w="8325" w:type="dxa"/>
            <w:gridSpan w:val="2"/>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rPr>
              <w:t>打“★”号条款为实质性条款，若有任何一条负偏离或不满足则导致响应无效。</w:t>
            </w:r>
          </w:p>
        </w:tc>
      </w:tr>
    </w:tbl>
    <w:p>
      <w:pPr>
        <w:rPr>
          <w:rFonts w:ascii="宋体" w:eastAsia="宋体" w:cs="宋体"/>
          <w:color w:val="auto"/>
          <w:sz w:val="24"/>
          <w:szCs w:val="24"/>
          <w:lang w:eastAsia="zh-CN"/>
        </w:rPr>
      </w:pPr>
      <w:r>
        <w:rPr>
          <w:rFonts w:hint="eastAsia" w:ascii="宋体" w:eastAsia="宋体" w:cs="宋体"/>
          <w:color w:val="auto"/>
          <w:sz w:val="24"/>
          <w:szCs w:val="24"/>
          <w:lang w:eastAsia="zh-CN"/>
        </w:rPr>
        <w:br w:type="page"/>
      </w:r>
    </w:p>
    <w:p>
      <w:pPr>
        <w:kinsoku/>
        <w:spacing w:line="360" w:lineRule="auto"/>
        <w:ind w:firstLine="562" w:firstLineChars="200"/>
        <w:jc w:val="center"/>
        <w:outlineLvl w:val="0"/>
        <w:rPr>
          <w:rFonts w:ascii="宋体" w:eastAsia="宋体" w:cs="宋体"/>
          <w:color w:val="auto"/>
          <w:sz w:val="24"/>
          <w:szCs w:val="24"/>
          <w:lang w:eastAsia="zh-CN"/>
        </w:rPr>
      </w:pPr>
      <w:r>
        <w:rPr>
          <w:rFonts w:hint="eastAsia" w:ascii="宋体" w:eastAsia="宋体" w:cs="宋体"/>
          <w:b/>
          <w:bCs/>
          <w:color w:val="auto"/>
          <w:sz w:val="28"/>
          <w:szCs w:val="28"/>
          <w:lang w:eastAsia="zh-CN"/>
        </w:rPr>
        <w:t>第四章  供应商应当提交的资格、资信证明文件</w:t>
      </w:r>
    </w:p>
    <w:p>
      <w:pPr>
        <w:kinsoku/>
        <w:spacing w:line="360" w:lineRule="auto"/>
        <w:ind w:firstLine="480" w:firstLineChars="200"/>
        <w:rPr>
          <w:rFonts w:ascii="宋体" w:eastAsia="宋体" w:cs="宋体"/>
          <w:strike w:val="0"/>
          <w:dstrike w:val="0"/>
          <w:color w:val="auto"/>
          <w:sz w:val="24"/>
          <w:szCs w:val="24"/>
          <w:highlight w:val="none"/>
          <w:lang w:eastAsia="zh-CN"/>
        </w:rPr>
      </w:pPr>
      <w:r>
        <w:rPr>
          <w:rFonts w:hint="eastAsia" w:ascii="宋体" w:eastAsia="宋体" w:cs="宋体"/>
          <w:strike w:val="0"/>
          <w:dstrike w:val="0"/>
          <w:color w:val="auto"/>
          <w:sz w:val="24"/>
          <w:szCs w:val="24"/>
          <w:highlight w:val="none"/>
          <w:lang w:eastAsia="zh-CN"/>
        </w:rPr>
        <w:t>供应商应提交证明其有资格参加磋商和成交后有能力履行合同的相关文件，并作为其响应文件的一部分，所有文件必须真实可靠、不得伪造，否则将按相关规定予以处罚。</w:t>
      </w:r>
    </w:p>
    <w:p>
      <w:pPr>
        <w:kinsoku/>
        <w:spacing w:line="360" w:lineRule="auto"/>
        <w:ind w:firstLine="480" w:firstLineChars="200"/>
        <w:rPr>
          <w:rFonts w:ascii="宋体" w:eastAsia="宋体" w:cs="宋体"/>
          <w:strike w:val="0"/>
          <w:dstrike w:val="0"/>
          <w:color w:val="auto"/>
          <w:sz w:val="24"/>
          <w:szCs w:val="24"/>
          <w:highlight w:val="none"/>
          <w:lang w:eastAsia="zh-CN"/>
        </w:rPr>
      </w:pPr>
      <w:r>
        <w:rPr>
          <w:rFonts w:hint="eastAsia" w:ascii="宋体" w:eastAsia="宋体" w:cs="宋体"/>
          <w:strike w:val="0"/>
          <w:dstrike w:val="0"/>
          <w:color w:val="auto"/>
          <w:sz w:val="24"/>
          <w:szCs w:val="24"/>
          <w:highlight w:val="none"/>
          <w:lang w:eastAsia="zh-CN"/>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能力、能够承担民事责任和义务的公民。如供应商是企业（包括合伙企业），要提供在市场监督管理部门注册的有效“企业法人营业执照”或“营业执照”；如供应商是事业单位，要提供有效的“事业单位法人证书”；供应商是非企业专业服务机构，如律师事务所、会计师事务所，要提供有效的执业许可证等证明文件；如供应商是个体工商户，要提供有效的“个体工商户营业执照”；如供应商是自然人，要提供有效的自然人身份证明。</w:t>
      </w:r>
    </w:p>
    <w:p>
      <w:pPr>
        <w:kinsoku/>
        <w:spacing w:line="360" w:lineRule="auto"/>
        <w:ind w:firstLine="480" w:firstLineChars="200"/>
        <w:rPr>
          <w:rFonts w:ascii="宋体" w:eastAsia="宋体" w:cs="宋体"/>
          <w:strike w:val="0"/>
          <w:dstrike w:val="0"/>
          <w:color w:val="auto"/>
          <w:sz w:val="24"/>
          <w:szCs w:val="24"/>
          <w:highlight w:val="none"/>
          <w:lang w:eastAsia="zh-CN"/>
        </w:rPr>
      </w:pPr>
      <w:r>
        <w:rPr>
          <w:rFonts w:hint="eastAsia" w:ascii="宋体" w:eastAsia="宋体" w:cs="宋体"/>
          <w:strike w:val="0"/>
          <w:dstrike w:val="0"/>
          <w:color w:val="auto"/>
          <w:sz w:val="24"/>
          <w:szCs w:val="24"/>
          <w:highlight w:val="none"/>
          <w:lang w:eastAsia="zh-CN"/>
        </w:rPr>
        <w:t>分公司不是独立法人，不具备政府采购法第二十二条规定的供应商应当具备独立承担民事责任能力的条件。分公司经总公司授权，可以以分公司的名义参加政府采购活动，但其民事责任由总公司承担。</w:t>
      </w:r>
    </w:p>
    <w:p>
      <w:pPr>
        <w:kinsoku/>
        <w:spacing w:line="360" w:lineRule="auto"/>
        <w:ind w:firstLine="480" w:firstLineChars="200"/>
        <w:rPr>
          <w:rFonts w:ascii="宋体" w:eastAsia="宋体" w:cs="宋体"/>
          <w:strike w:val="0"/>
          <w:dstrike w:val="0"/>
          <w:color w:val="auto"/>
          <w:sz w:val="24"/>
          <w:szCs w:val="24"/>
          <w:highlight w:val="none"/>
          <w:lang w:eastAsia="zh-CN"/>
        </w:rPr>
      </w:pPr>
      <w:r>
        <w:rPr>
          <w:rFonts w:hint="eastAsia" w:ascii="宋体" w:eastAsia="宋体" w:cs="宋体"/>
          <w:strike w:val="0"/>
          <w:dstrike w:val="0"/>
          <w:color w:val="auto"/>
          <w:sz w:val="24"/>
          <w:szCs w:val="24"/>
          <w:highlight w:val="none"/>
          <w:lang w:eastAsia="zh-CN"/>
        </w:rPr>
        <w:t>二、财务状况报告，依法缴纳税收和社会保障资金的相关材料（详见资格审查表）</w:t>
      </w:r>
    </w:p>
    <w:p>
      <w:pPr>
        <w:kinsoku/>
        <w:spacing w:line="360" w:lineRule="auto"/>
        <w:ind w:firstLine="480" w:firstLineChars="200"/>
        <w:rPr>
          <w:rFonts w:ascii="宋体" w:eastAsia="宋体" w:cs="宋体"/>
          <w:strike w:val="0"/>
          <w:dstrike w:val="0"/>
          <w:color w:val="auto"/>
          <w:sz w:val="24"/>
          <w:szCs w:val="24"/>
          <w:highlight w:val="none"/>
          <w:lang w:eastAsia="zh-CN"/>
        </w:rPr>
      </w:pPr>
      <w:r>
        <w:rPr>
          <w:rFonts w:hint="eastAsia" w:ascii="宋体" w:eastAsia="宋体" w:cs="宋体"/>
          <w:strike w:val="0"/>
          <w:dstrike w:val="0"/>
          <w:color w:val="auto"/>
          <w:sz w:val="24"/>
          <w:szCs w:val="24"/>
          <w:highlight w:val="none"/>
          <w:lang w:eastAsia="zh-CN"/>
        </w:rPr>
        <w:t>三、具备履行合同所必需的设备和专业技术能力的相关材料。</w:t>
      </w:r>
    </w:p>
    <w:p>
      <w:pPr>
        <w:kinsoku/>
        <w:spacing w:line="360" w:lineRule="auto"/>
        <w:ind w:firstLine="480" w:firstLineChars="200"/>
        <w:rPr>
          <w:rFonts w:ascii="宋体" w:eastAsia="宋体" w:cs="宋体"/>
          <w:strike w:val="0"/>
          <w:dstrike w:val="0"/>
          <w:color w:val="auto"/>
          <w:sz w:val="24"/>
          <w:szCs w:val="24"/>
          <w:highlight w:val="none"/>
          <w:lang w:eastAsia="zh-CN"/>
        </w:rPr>
      </w:pPr>
      <w:r>
        <w:rPr>
          <w:rFonts w:hint="eastAsia" w:ascii="宋体" w:eastAsia="宋体" w:cs="宋体"/>
          <w:strike w:val="0"/>
          <w:dstrike w:val="0"/>
          <w:color w:val="auto"/>
          <w:sz w:val="24"/>
          <w:szCs w:val="24"/>
          <w:highlight w:val="none"/>
          <w:lang w:eastAsia="zh-CN"/>
        </w:rPr>
        <w:t>四、参加政府采购活动前 3 年内在经营活动中没有重大违法记录的书面声明。</w:t>
      </w:r>
    </w:p>
    <w:p>
      <w:pPr>
        <w:kinsoku/>
        <w:spacing w:line="360" w:lineRule="auto"/>
        <w:ind w:firstLine="480" w:firstLineChars="200"/>
        <w:rPr>
          <w:rFonts w:ascii="宋体" w:eastAsia="宋体" w:cs="宋体"/>
          <w:strike w:val="0"/>
          <w:dstrike w:val="0"/>
          <w:color w:val="auto"/>
          <w:sz w:val="24"/>
          <w:szCs w:val="24"/>
          <w:highlight w:val="none"/>
          <w:lang w:eastAsia="zh-CN"/>
        </w:rPr>
      </w:pPr>
      <w:r>
        <w:rPr>
          <w:rFonts w:hint="eastAsia" w:ascii="宋体" w:eastAsia="宋体" w:cs="宋体"/>
          <w:strike w:val="0"/>
          <w:dstrike w:val="0"/>
          <w:color w:val="auto"/>
          <w:sz w:val="24"/>
          <w:szCs w:val="24"/>
          <w:highlight w:val="none"/>
          <w:lang w:eastAsia="zh-CN"/>
        </w:rPr>
        <w:t>五、按照磋商文件要求，供应商应当提交的其他资格、资信证明文件。</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rPr>
          <w:rFonts w:ascii="宋体" w:eastAsia="宋体" w:cs="宋体"/>
          <w:color w:val="auto"/>
          <w:sz w:val="24"/>
          <w:szCs w:val="24"/>
          <w:lang w:eastAsia="zh-CN"/>
        </w:rPr>
      </w:pPr>
      <w:r>
        <w:rPr>
          <w:rFonts w:hint="eastAsia" w:ascii="宋体" w:eastAsia="宋体" w:cs="宋体"/>
          <w:color w:val="auto"/>
          <w:sz w:val="24"/>
          <w:szCs w:val="24"/>
          <w:lang w:eastAsia="zh-CN"/>
        </w:rPr>
        <w:br w:type="page"/>
      </w:r>
    </w:p>
    <w:p>
      <w:pPr>
        <w:kinsoku/>
        <w:spacing w:line="360" w:lineRule="auto"/>
        <w:ind w:firstLine="562" w:firstLineChars="200"/>
        <w:jc w:val="center"/>
        <w:outlineLvl w:val="0"/>
        <w:rPr>
          <w:rFonts w:ascii="宋体" w:eastAsia="宋体" w:cs="宋体"/>
          <w:b/>
          <w:bCs/>
          <w:color w:val="auto"/>
          <w:sz w:val="24"/>
          <w:szCs w:val="24"/>
          <w:lang w:eastAsia="zh-CN"/>
        </w:rPr>
      </w:pPr>
      <w:r>
        <w:rPr>
          <w:rFonts w:hint="eastAsia" w:ascii="宋体" w:eastAsia="宋体" w:cs="宋体"/>
          <w:b/>
          <w:bCs/>
          <w:color w:val="auto"/>
          <w:sz w:val="28"/>
          <w:szCs w:val="28"/>
          <w:lang w:eastAsia="zh-CN"/>
        </w:rPr>
        <w:t>第五章  评审</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一、评审要求</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1.评审方法</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2.评审原则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2.1 磋商小组成员应当遵循客观、公正、审慎的原则，根据磋商文件规定的评审程序、评审方法和评审标准进行独立评审。</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2.2 具体评审事项由磋商小组负责，并按磋商文件规定的办法进行评审。</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3.磋商小组</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3.1 磋商小组由采购人代表和评审专家共 3 人以上单数组成，其中评审专家人数不得少于磋商小组成员总数的 2/3。</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3.2 磋商小组成员有下列情形之一的，应当回避：</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（1）参加政府采购活动前 3 年内,与供应商存在劳动关系,或者担任过供应商的董事、监事,或者是供应商的控股股东或实际控制人；</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（2）与供应商的法定代表人或者负责人有夫妻、直系血亲、三代以内旁系血亲或者近姻亲关系；</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（3）与供应商有其他可能影响政府采购活动公平、公正进行的关系。</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3.3 磋商小组负责具体评审事务，并独立履行下列职责：</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（1）对响应文件的有效性、完整性和响应程度进行审查；</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（2）要求供应商对响应文件有关事项作出澄清、说明或更正；</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（3）磋商小组所有成员应当集中与单一供应商分别进行磋商；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（4）对响应文件进行比较和评价；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（5）确定成交候选人名单，以及根据采购人委托直接确定成交供应商；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（6）向采购人、采购代理机构或者有关部门报告评审中发现的违法行为；</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（7）法律法规规定的其他职责。</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4.澄清</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4.1 磋商小组不接受供应商主动提出的澄清、说明或更正。</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4.2 磋商小组对供应商提交的澄清、说明或更正有疑问的，可以要求供应商进一步澄清、说明或更正。</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5.有下列情形之一的，属于恶意串通，并追究法律责任：</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（1）供应商直接或者间接从采购人或者采购代理机构处获得其他供应商的相关情况并修改其响应文件；</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（2）供应商按照采购人或者采购代理机构的授意撤换、修改响应文件；</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（3）供应商之间协商报价、技术方案等响应文件的实质性内容；</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（4）属于同一集团、协会、商会等组织成员的供应商按照该组织要求协同参加政府采购活动；</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（5）供应商之间事先约定由某一特定供应商成交；</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（6）供应商之间商定部分供应商放弃参加政府采购活动或者放弃成交；</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（7）供应商与采购人或者采购代理机构之间、供应商相互之间，为谋求特定供应商成交或者排斥其他供应商的其他串通行为。</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6.响应无效的情形</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（1）供应商未按照磋商文件要求提交磋商保证金的，响应无效；</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（2）在提交响应文件截止时间后递交响应文件的，响应无效；</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（3）未实质性响应磋商文件的，响应无效；</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（4）法律、法规和磋商文件规定的其他无效情形。</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7.终止的情形</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出现下列情形之一的，采购人或者采购代理机构应当终止竞争性磋商采购活动，发布公告并说明原因，重新开展采购活动：</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（1）因情况变化，不再符合规定的竞争性磋商采购方式适用情形的；</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（2）出现影响采购公正的违法、违规行为的；</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（3）除《政府采购竞争性磋商采购方式管理暂行办法》及其补充通知规定的情形外，在采购过程中符合要求的供应商或者报价未超过采购预算的供应商不足 3 家的。</w:t>
      </w:r>
    </w:p>
    <w:p>
      <w:pPr>
        <w:kinsoku/>
        <w:spacing w:line="360" w:lineRule="auto"/>
        <w:ind w:firstLine="480" w:firstLineChars="200"/>
        <w:rPr>
          <w:rFonts w:hint="eastAsia" w:ascii="宋体" w:eastAsia="宋体" w:cs="宋体"/>
          <w:b/>
          <w:bCs/>
          <w:color w:val="auto"/>
          <w:sz w:val="24"/>
          <w:szCs w:val="24"/>
          <w:lang w:eastAsia="zh-CN"/>
        </w:rPr>
      </w:pPr>
      <w:r>
        <w:rPr>
          <w:rFonts w:hint="eastAsia" w:ascii="宋体" w:eastAsia="宋体" w:cs="宋体"/>
          <w:b w:val="0"/>
          <w:bCs w:val="0"/>
          <w:color w:val="auto"/>
          <w:sz w:val="24"/>
          <w:szCs w:val="24"/>
          <w:lang w:eastAsia="zh-CN"/>
        </w:rPr>
        <w:t>（4）法律、法规以及磋商文件规定的其他情形。</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8.成交</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评审结束后，磋商小组根据采购文件要求直接确定成交供应商。</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二、落实政府采购政策</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1.节约能源、保护环境</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kinsoku/>
        <w:spacing w:line="360" w:lineRule="auto"/>
        <w:ind w:firstLine="481" w:firstLineChars="200"/>
        <w:rPr>
          <w:rFonts w:ascii="宋体" w:eastAsia="宋体" w:cs="宋体"/>
          <w:b/>
          <w:bCs/>
          <w:color w:val="auto"/>
          <w:sz w:val="24"/>
          <w:szCs w:val="24"/>
          <w:lang w:eastAsia="zh-CN"/>
        </w:rPr>
      </w:pPr>
      <w:r>
        <w:rPr>
          <w:rFonts w:hint="eastAsia" w:ascii="宋体" w:eastAsia="宋体" w:cs="宋体"/>
          <w:b/>
          <w:bCs/>
          <w:color w:val="auto"/>
          <w:sz w:val="24"/>
          <w:szCs w:val="24"/>
          <w:lang w:eastAsia="zh-CN"/>
        </w:rPr>
        <w:t>2.促进中小企业发展</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2.1 采购人在政府采购活动中应当通过加强采购需求管理，落实预留采购份额、价格评审优惠、优先采购等措施，提高中小企业在政府采购中的份额，支持中小企业发展。</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2.2</w:t>
      </w:r>
      <w:r>
        <w:rPr>
          <w:rFonts w:hint="eastAsia" w:ascii="宋体" w:eastAsia="宋体" w:cs="宋体"/>
          <w:color w:val="auto"/>
          <w:sz w:val="24"/>
          <w:szCs w:val="24"/>
          <w:lang w:val="en-US" w:eastAsia="zh-CN"/>
        </w:rPr>
        <w:t xml:space="preserve"> </w:t>
      </w:r>
      <w:r>
        <w:rPr>
          <w:rFonts w:hint="eastAsia" w:ascii="宋体" w:eastAsia="宋体" w:cs="宋体"/>
          <w:color w:val="auto"/>
          <w:sz w:val="24"/>
          <w:szCs w:val="24"/>
          <w:lang w:eastAsia="zh-CN"/>
        </w:rPr>
        <w:t>《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2.3 在政府采购活动中，供应商提供的货物、工程或者服务符合下列情形的，享受《政府采购促进中小企业发展管理办法》规定的中小企业扶持政策：</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（1）在货物采购项目中，货物由中小企业制造，即货物由中小企业生产且使用该中小企业商号或者注册商标；</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（2）在工程采购项目中，工程由中小企业承建，即工程施工单位为中小企业；</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（3）在服务采购项目中，服务由中小企业承接，即提供服务的人员为中小企业依照《中华人民共和国劳动合同法》订立劳动合同的从业人员。</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在货物采购项目中，供应商提供的货物既有中小企业制造货物，也有大型企业制造货物的，不享受《政府采购促进中小企业发展管理办法》规定的中小企业扶持政策。</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以联合体形式参加政府采购活动，联合体各方均为中小企业的，联合体视同中小企业。其中，联合体各方均为小微企业的，联合体视同小微企业。</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2.4 依照《政府采购促进中小企业发展管理办法》《关于政府采购支持监狱企业发展有关问题的通知》和《财政部 民政部 中国残疾人联合会关于促进残疾人就业政府采购政策的通知》的规定，凡符合要求的小型、微型企业、监狱企业或残疾人福利性单位，按照以下比例给予相应的价格扣除：</w:t>
      </w:r>
    </w:p>
    <w:tbl>
      <w:tblPr>
        <w:tblStyle w:val="18"/>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44"/>
        <w:gridCol w:w="1115"/>
        <w:gridCol w:w="1045"/>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9" w:type="dxa"/>
            <w:noWrap/>
            <w:vAlign w:val="center"/>
          </w:tcPr>
          <w:p>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序号</w:t>
            </w:r>
          </w:p>
        </w:tc>
        <w:tc>
          <w:tcPr>
            <w:tcW w:w="1444" w:type="dxa"/>
            <w:noWrap/>
            <w:vAlign w:val="center"/>
          </w:tcPr>
          <w:p>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情形</w:t>
            </w:r>
          </w:p>
        </w:tc>
        <w:tc>
          <w:tcPr>
            <w:tcW w:w="1115" w:type="dxa"/>
            <w:noWrap/>
            <w:vAlign w:val="center"/>
          </w:tcPr>
          <w:p>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适用对象</w:t>
            </w:r>
          </w:p>
        </w:tc>
        <w:tc>
          <w:tcPr>
            <w:tcW w:w="1045" w:type="dxa"/>
            <w:noWrap/>
            <w:vAlign w:val="center"/>
          </w:tcPr>
          <w:p>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价格扣除比例</w:t>
            </w:r>
          </w:p>
        </w:tc>
        <w:tc>
          <w:tcPr>
            <w:tcW w:w="5234" w:type="dxa"/>
            <w:noWrap/>
            <w:vAlign w:val="center"/>
          </w:tcPr>
          <w:p>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719" w:type="dxa"/>
            <w:noWrap/>
            <w:vAlign w:val="center"/>
          </w:tcPr>
          <w:p>
            <w:pPr>
              <w:ind w:left="0" w:leftChars="0" w:right="0" w:rightChars="0"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1</w:t>
            </w:r>
          </w:p>
        </w:tc>
        <w:tc>
          <w:tcPr>
            <w:tcW w:w="1444" w:type="dxa"/>
            <w:noWrap/>
            <w:vAlign w:val="center"/>
          </w:tcPr>
          <w:p>
            <w:pPr>
              <w:ind w:left="0" w:leftChars="0" w:right="0" w:rightChars="0" w:firstLine="0" w:firstLineChars="0"/>
              <w:jc w:val="center"/>
              <w:rPr>
                <w:rFonts w:hint="eastAsia" w:ascii="宋体" w:eastAsia="宋体" w:cs="宋体"/>
                <w:color w:val="auto"/>
                <w:sz w:val="21"/>
                <w:szCs w:val="21"/>
              </w:rPr>
            </w:pPr>
            <w:r>
              <w:rPr>
                <w:rFonts w:hint="eastAsia" w:ascii="宋体" w:eastAsia="宋体" w:cs="宋体"/>
                <w:color w:val="auto"/>
                <w:sz w:val="21"/>
                <w:szCs w:val="21"/>
                <w:lang w:eastAsia="zh-CN"/>
              </w:rPr>
              <w:t>小型、微型企业，监狱企业，残疾人福利性单位</w:t>
            </w:r>
          </w:p>
        </w:tc>
        <w:tc>
          <w:tcPr>
            <w:tcW w:w="1115" w:type="dxa"/>
            <w:noWrap/>
            <w:vAlign w:val="center"/>
          </w:tcPr>
          <w:p>
            <w:pPr>
              <w:ind w:left="0" w:leftChars="0" w:right="0" w:rightChars="0" w:firstLine="0" w:firstLineChars="0"/>
              <w:jc w:val="center"/>
              <w:rPr>
                <w:rFonts w:hint="eastAsia" w:ascii="宋体" w:eastAsia="宋体" w:cs="宋体"/>
                <w:color w:val="auto"/>
                <w:sz w:val="21"/>
                <w:szCs w:val="21"/>
              </w:rPr>
            </w:pPr>
            <w:r>
              <w:rPr>
                <w:rFonts w:hint="eastAsia" w:ascii="宋体" w:eastAsia="宋体" w:cs="宋体"/>
                <w:color w:val="auto"/>
                <w:sz w:val="21"/>
                <w:szCs w:val="21"/>
              </w:rPr>
              <w:t>非联合体</w:t>
            </w:r>
          </w:p>
        </w:tc>
        <w:tc>
          <w:tcPr>
            <w:tcW w:w="1045" w:type="dxa"/>
            <w:noWrap/>
            <w:vAlign w:val="center"/>
          </w:tcPr>
          <w:p>
            <w:pPr>
              <w:ind w:left="0" w:leftChars="0" w:right="0" w:rightChars="0" w:firstLine="0" w:firstLineChars="0"/>
              <w:jc w:val="center"/>
              <w:rPr>
                <w:rFonts w:hint="eastAsia" w:ascii="宋体" w:eastAsia="宋体" w:cs="宋体"/>
                <w:color w:val="auto"/>
                <w:sz w:val="21"/>
                <w:szCs w:val="21"/>
              </w:rPr>
            </w:pPr>
            <w:r>
              <w:rPr>
                <w:rFonts w:hint="eastAsia" w:ascii="宋体" w:eastAsia="宋体" w:cs="宋体"/>
                <w:color w:val="auto"/>
                <w:sz w:val="21"/>
                <w:szCs w:val="21"/>
                <w:lang w:val="en-US" w:eastAsia="zh-CN"/>
              </w:rPr>
              <w:t>15</w:t>
            </w:r>
            <w:r>
              <w:rPr>
                <w:rFonts w:hint="eastAsia" w:ascii="宋体" w:eastAsia="宋体" w:cs="宋体"/>
                <w:color w:val="auto"/>
                <w:sz w:val="21"/>
                <w:szCs w:val="21"/>
                <w:lang w:eastAsia="zh-CN"/>
              </w:rPr>
              <w:t>%</w:t>
            </w:r>
          </w:p>
        </w:tc>
        <w:tc>
          <w:tcPr>
            <w:tcW w:w="5234" w:type="dxa"/>
            <w:noWrap/>
            <w:vAlign w:val="center"/>
          </w:tcPr>
          <w:p>
            <w:pPr>
              <w:ind w:left="0" w:leftChars="0" w:right="0" w:rightChars="0" w:firstLine="0" w:firstLineChars="0"/>
              <w:jc w:val="both"/>
              <w:rPr>
                <w:rFonts w:hint="eastAsia" w:ascii="宋体" w:eastAsia="宋体" w:cs="宋体"/>
                <w:color w:val="auto"/>
                <w:sz w:val="21"/>
                <w:szCs w:val="21"/>
                <w:lang w:eastAsia="zh-CN"/>
              </w:rPr>
            </w:pPr>
            <w:r>
              <w:rPr>
                <w:rFonts w:hint="eastAsia" w:ascii="宋体" w:eastAsia="宋体" w:cs="宋体"/>
                <w:color w:val="auto"/>
                <w:sz w:val="21"/>
                <w:szCs w:val="21"/>
                <w:lang w:eastAsia="zh-CN"/>
              </w:rPr>
              <w:t>服务由中小企业承接，即提供服务的人员为中小企业依照《中华人民共和国劳动合同法》订立劳动合同的从业人员。给予价格扣除C1，即：评标价=投标报价×（1-C1）；监狱企业与残疾人福利性单位视同小型、微型企业，享受同等价格扣除，当企业属性重复时，不重复价格扣除。</w:t>
            </w:r>
          </w:p>
          <w:p>
            <w:pPr>
              <w:ind w:left="0" w:leftChars="0" w:right="0" w:rightChars="0" w:firstLine="0" w:firstLineChars="0"/>
              <w:jc w:val="both"/>
              <w:rPr>
                <w:rFonts w:hint="eastAsia" w:ascii="宋体" w:eastAsia="宋体" w:cs="宋体"/>
                <w:color w:val="auto"/>
                <w:sz w:val="21"/>
                <w:szCs w:val="21"/>
              </w:rPr>
            </w:pPr>
            <w:r>
              <w:rPr>
                <w:rFonts w:hint="eastAsia" w:ascii="宋体" w:eastAsia="宋体" w:cs="宋体"/>
                <w:color w:val="auto"/>
                <w:sz w:val="21"/>
                <w:szCs w:val="21"/>
                <w:lang w:eastAsia="zh-CN"/>
              </w:rPr>
              <w:t>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557" w:type="dxa"/>
            <w:gridSpan w:val="5"/>
            <w:noWrap/>
            <w:vAlign w:val="center"/>
          </w:tcPr>
          <w:p>
            <w:pPr>
              <w:ind w:left="0" w:leftChars="0" w:right="0" w:rightChars="0" w:firstLine="0" w:firstLineChars="0"/>
              <w:jc w:val="center"/>
              <w:rPr>
                <w:rFonts w:ascii="宋体" w:eastAsia="宋体" w:cs="宋体"/>
                <w:color w:val="auto"/>
                <w:sz w:val="21"/>
                <w:szCs w:val="21"/>
                <w:lang w:eastAsia="zh-CN"/>
              </w:rPr>
            </w:pPr>
            <w:r>
              <w:rPr>
                <w:rFonts w:hint="eastAsia" w:ascii="宋体" w:eastAsia="宋体" w:cs="宋体"/>
                <w:color w:val="auto"/>
                <w:sz w:val="21"/>
                <w:szCs w:val="21"/>
                <w:lang w:eastAsia="zh-CN"/>
              </w:rPr>
              <w:t>注：（1）上述评标价仅用于计算价格评分，成交金额以实际投标价为准。（2）组成联合体的大中型企业和其他自然人、法人或者其他组织，与小型、微型企业之间不得存在投资关系。</w:t>
            </w:r>
          </w:p>
        </w:tc>
      </w:tr>
    </w:tbl>
    <w:p>
      <w:pPr>
        <w:kinsoku/>
        <w:spacing w:before="240" w:beforeLines="100"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2.5 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不得享受相关中小企业扶持政策。</w:t>
      </w:r>
    </w:p>
    <w:p>
      <w:pPr>
        <w:kinsoku/>
        <w:spacing w:line="360" w:lineRule="auto"/>
        <w:ind w:firstLine="480" w:firstLineChars="200"/>
        <w:outlineLvl w:val="9"/>
        <w:rPr>
          <w:rFonts w:hint="eastAsia" w:ascii="宋体" w:eastAsia="宋体" w:cs="宋体"/>
          <w:b/>
          <w:bCs/>
          <w:color w:val="auto"/>
          <w:sz w:val="24"/>
          <w:szCs w:val="24"/>
          <w:lang w:eastAsia="zh-CN"/>
        </w:rPr>
      </w:pPr>
      <w:r>
        <w:rPr>
          <w:rFonts w:hint="eastAsia" w:ascii="宋体" w:eastAsia="宋体" w:cs="宋体"/>
          <w:color w:val="auto"/>
          <w:sz w:val="24"/>
          <w:szCs w:val="24"/>
          <w:lang w:eastAsia="zh-CN"/>
        </w:rPr>
        <w:t>供应商应当对提供材料的真实性负责，若有虚假，将追究其法律责任。</w:t>
      </w:r>
    </w:p>
    <w:p>
      <w:pPr>
        <w:kinsoku/>
        <w:spacing w:line="360" w:lineRule="auto"/>
        <w:ind w:firstLine="481" w:firstLineChars="200"/>
        <w:outlineLvl w:val="1"/>
        <w:rPr>
          <w:rFonts w:ascii="宋体" w:eastAsia="宋体" w:cs="宋体"/>
          <w:color w:val="auto"/>
          <w:sz w:val="24"/>
          <w:szCs w:val="24"/>
          <w:lang w:eastAsia="zh-CN"/>
        </w:rPr>
      </w:pPr>
      <w:r>
        <w:rPr>
          <w:rFonts w:hint="eastAsia" w:ascii="宋体" w:eastAsia="宋体" w:cs="宋体"/>
          <w:b/>
          <w:bCs/>
          <w:color w:val="auto"/>
          <w:sz w:val="24"/>
          <w:szCs w:val="24"/>
          <w:lang w:eastAsia="zh-CN"/>
        </w:rPr>
        <w:t>三、评审程序</w:t>
      </w:r>
    </w:p>
    <w:p>
      <w:pPr>
        <w:kinsoku/>
        <w:spacing w:line="360" w:lineRule="auto"/>
        <w:ind w:firstLine="481" w:firstLineChars="200"/>
        <w:outlineLvl w:val="2"/>
        <w:rPr>
          <w:rFonts w:ascii="宋体" w:eastAsia="宋体" w:cs="宋体"/>
          <w:b/>
          <w:bCs/>
          <w:color w:val="auto"/>
          <w:sz w:val="24"/>
          <w:szCs w:val="24"/>
          <w:lang w:eastAsia="zh-CN"/>
        </w:rPr>
      </w:pPr>
      <w:r>
        <w:rPr>
          <w:rFonts w:hint="eastAsia" w:ascii="宋体" w:eastAsia="宋体" w:cs="宋体"/>
          <w:b/>
          <w:bCs/>
          <w:color w:val="auto"/>
          <w:sz w:val="24"/>
          <w:szCs w:val="24"/>
          <w:lang w:eastAsia="zh-CN"/>
        </w:rPr>
        <w:t>1.资格审查</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1.1 磋商小组依据法律法规和磋商文件的规定，对响应文件中的资格证明文件等进行审查，以确定供应商是否具备响应资格。</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1.2 资格审查中有任意一项未通过的，审查结果为未通过，未通过资格审查的供应商按无效响应处理。</w:t>
      </w:r>
    </w:p>
    <w:p>
      <w:pPr>
        <w:kinsoku/>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rPr>
        <w:t>1.3 信用记录查询</w:t>
      </w:r>
    </w:p>
    <w:p>
      <w:pPr>
        <w:kinsoku/>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rPr>
        <w:t>查询渠道：通过“信用中国”网站(www.creditchina.gov.cn)和“中国政府采购网”（www.ccgp.gov.cn）进行查询；</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查询截止时点：本项目资格审查时查询；</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查询记录：对列入失信被执行人、重大税收违法失信主体、政府采购严重违法失信行为记录名单进行查询；</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磋商小组应当按照查询渠道、查询时间节点、查询记录内容进行查询</w:t>
      </w:r>
      <w:r>
        <w:rPr>
          <w:rFonts w:hint="default" w:ascii="宋体" w:hAnsi="宋体" w:eastAsia="宋体" w:cs="宋体"/>
          <w:color w:val="auto"/>
          <w:sz w:val="24"/>
          <w:szCs w:val="24"/>
          <w:lang w:val="en-US" w:eastAsia="zh-CN"/>
        </w:rPr>
        <w:t>。</w:t>
      </w:r>
      <w:r>
        <w:rPr>
          <w:rFonts w:hint="eastAsia" w:ascii="宋体" w:eastAsia="宋体" w:cs="宋体"/>
          <w:color w:val="auto"/>
          <w:sz w:val="24"/>
          <w:szCs w:val="24"/>
          <w:lang w:eastAsia="zh-CN"/>
        </w:rPr>
        <w:t>对信用记录查询结果中显示被列入失信被执行人、重大税收违法失信主体、政府采购严重违法失信行为记录名单的供应商将被拒绝参与政府采购活动。</w:t>
      </w:r>
    </w:p>
    <w:p>
      <w:pPr>
        <w:kinsoku/>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资格审查表</w:t>
      </w:r>
    </w:p>
    <w:p>
      <w:pPr>
        <w:pStyle w:val="9"/>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ind w:firstLine="480" w:firstLineChars="200"/>
        <w:textAlignment w:val="baseline"/>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采购包</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：2025年赤峰市红山区乡镇及农村集中式饮用水水源地水质环境监测服务项目</w:t>
      </w:r>
    </w:p>
    <w:tbl>
      <w:tblPr>
        <w:tblStyle w:val="18"/>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3533"/>
        <w:gridCol w:w="4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eastAsia" w:ascii="宋体" w:eastAsia="宋体" w:cs="宋体"/>
                <w:b/>
                <w:bCs/>
                <w:color w:val="auto"/>
                <w:sz w:val="24"/>
                <w:szCs w:val="24"/>
                <w:lang w:eastAsia="zh-CN"/>
              </w:rPr>
            </w:pPr>
            <w:r>
              <w:rPr>
                <w:rFonts w:hint="eastAsia" w:ascii="宋体" w:eastAsia="宋体" w:cs="宋体"/>
                <w:b/>
                <w:bCs/>
                <w:color w:val="auto"/>
                <w:sz w:val="24"/>
                <w:szCs w:val="24"/>
                <w:lang w:eastAsia="zh-CN"/>
              </w:rPr>
              <w:t>序号</w:t>
            </w:r>
          </w:p>
        </w:tc>
        <w:tc>
          <w:tcPr>
            <w:tcW w:w="3533" w:type="dxa"/>
            <w:shd w:val="clear" w:color="auto" w:fill="auto"/>
            <w:vAlign w:val="center"/>
          </w:tcPr>
          <w:p>
            <w:pPr>
              <w:kinsoku/>
              <w:jc w:val="center"/>
              <w:rPr>
                <w:rFonts w:hint="eastAsia" w:ascii="宋体" w:eastAsia="宋体" w:cs="宋体"/>
                <w:color w:val="auto"/>
                <w:sz w:val="24"/>
                <w:szCs w:val="24"/>
                <w:lang w:eastAsia="zh-CN"/>
              </w:rPr>
            </w:pPr>
            <w:r>
              <w:rPr>
                <w:rFonts w:hint="eastAsia" w:ascii="宋体" w:eastAsia="宋体" w:cs="宋体"/>
                <w:b/>
                <w:bCs/>
                <w:color w:val="auto"/>
                <w:sz w:val="24"/>
                <w:szCs w:val="24"/>
                <w:lang w:eastAsia="zh-CN"/>
              </w:rPr>
              <w:t>资格审查要求概况</w:t>
            </w:r>
          </w:p>
        </w:tc>
        <w:tc>
          <w:tcPr>
            <w:tcW w:w="4912" w:type="dxa"/>
            <w:shd w:val="clear" w:color="auto" w:fill="auto"/>
            <w:vAlign w:val="center"/>
          </w:tcPr>
          <w:p>
            <w:pPr>
              <w:spacing w:before="65" w:line="360" w:lineRule="auto"/>
              <w:ind w:left="0" w:leftChars="0" w:right="0" w:rightChars="0" w:firstLine="0" w:firstLineChars="0"/>
              <w:jc w:val="center"/>
              <w:rPr>
                <w:rFonts w:hint="eastAsia" w:ascii="宋体" w:eastAsia="宋体" w:cs="宋体"/>
                <w:color w:val="auto"/>
                <w:sz w:val="24"/>
                <w:szCs w:val="24"/>
                <w:highlight w:val="none"/>
                <w:lang w:eastAsia="zh-CN"/>
              </w:rPr>
            </w:pPr>
            <w:r>
              <w:rPr>
                <w:rFonts w:hint="eastAsia" w:ascii="宋体" w:eastAsia="宋体" w:cs="宋体"/>
                <w:b/>
                <w:bCs/>
                <w:color w:val="auto"/>
                <w:sz w:val="24"/>
                <w:szCs w:val="24"/>
                <w:highlight w:val="none"/>
                <w:lang w:eastAsia="zh-CN"/>
              </w:rPr>
              <w:t>评审点具体描述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1</w:t>
            </w:r>
          </w:p>
        </w:tc>
        <w:tc>
          <w:tcPr>
            <w:tcW w:w="3533" w:type="dxa"/>
            <w:shd w:val="clear" w:color="auto" w:fill="auto"/>
            <w:vAlign w:val="center"/>
          </w:tcPr>
          <w:p>
            <w:pPr>
              <w:kinsoku/>
              <w:jc w:val="center"/>
              <w:rPr>
                <w:rFonts w:ascii="宋体" w:eastAsia="宋体" w:cs="宋体"/>
                <w:color w:val="auto"/>
                <w:sz w:val="24"/>
                <w:szCs w:val="24"/>
                <w:lang w:eastAsia="zh-CN"/>
              </w:rPr>
            </w:pPr>
            <w:r>
              <w:rPr>
                <w:rFonts w:hint="eastAsia" w:ascii="宋体" w:eastAsia="宋体" w:cs="宋体"/>
                <w:color w:val="auto"/>
                <w:sz w:val="24"/>
                <w:szCs w:val="24"/>
                <w:lang w:eastAsia="zh-CN"/>
              </w:rPr>
              <w:t>具有独立承担民事责任的能力</w:t>
            </w:r>
          </w:p>
        </w:tc>
        <w:tc>
          <w:tcPr>
            <w:tcW w:w="4912" w:type="dxa"/>
            <w:shd w:val="clear" w:color="auto" w:fill="auto"/>
            <w:vAlign w:val="center"/>
          </w:tcPr>
          <w:p>
            <w:pPr>
              <w:spacing w:before="65" w:line="360" w:lineRule="auto"/>
              <w:jc w:val="both"/>
              <w:rPr>
                <w:rFonts w:hint="eastAsia" w:ascii="宋体" w:eastAsia="宋体" w:cs="宋体"/>
                <w:color w:val="auto"/>
                <w:sz w:val="24"/>
                <w:szCs w:val="24"/>
                <w:lang w:eastAsia="zh-CN"/>
              </w:rPr>
            </w:pPr>
            <w:r>
              <w:rPr>
                <w:rFonts w:hint="eastAsia" w:ascii="宋体" w:eastAsia="宋体" w:cs="宋体"/>
                <w:color w:val="auto"/>
                <w:sz w:val="24"/>
                <w:szCs w:val="24"/>
                <w:highlight w:val="none"/>
                <w:lang w:eastAsia="zh-CN"/>
              </w:rPr>
              <w:t>审查供应商有效的营业执照或事业单位法人证书或执业许可证或自然人的身份证明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2</w:t>
            </w:r>
          </w:p>
        </w:tc>
        <w:tc>
          <w:tcPr>
            <w:tcW w:w="3533" w:type="dxa"/>
            <w:shd w:val="clear" w:color="auto" w:fill="auto"/>
            <w:vAlign w:val="center"/>
          </w:tcPr>
          <w:p>
            <w:pPr>
              <w:kinsoku/>
              <w:jc w:val="center"/>
              <w:rPr>
                <w:rFonts w:ascii="宋体" w:eastAsia="宋体" w:cs="宋体"/>
                <w:color w:val="auto"/>
                <w:sz w:val="24"/>
                <w:szCs w:val="24"/>
                <w:lang w:eastAsia="zh-CN"/>
              </w:rPr>
            </w:pPr>
            <w:r>
              <w:rPr>
                <w:rFonts w:hint="eastAsia" w:ascii="宋体" w:eastAsia="宋体" w:cs="宋体"/>
                <w:color w:val="auto"/>
                <w:sz w:val="24"/>
                <w:szCs w:val="24"/>
                <w:lang w:eastAsia="zh-CN"/>
              </w:rPr>
              <w:t>具有良好的商业信誉和健全的财务会计制度</w:t>
            </w:r>
          </w:p>
        </w:tc>
        <w:tc>
          <w:tcPr>
            <w:tcW w:w="4912" w:type="dxa"/>
            <w:shd w:val="clear" w:color="auto" w:fill="auto"/>
            <w:vAlign w:val="center"/>
          </w:tcPr>
          <w:p>
            <w:pPr>
              <w:spacing w:line="360" w:lineRule="auto"/>
              <w:jc w:val="both"/>
              <w:rPr>
                <w:rFonts w:ascii="宋体" w:eastAsia="宋体" w:cs="宋体"/>
                <w:color w:val="auto"/>
                <w:sz w:val="24"/>
                <w:szCs w:val="24"/>
              </w:rPr>
            </w:pPr>
            <w:r>
              <w:rPr>
                <w:rFonts w:hint="eastAsia" w:ascii="宋体" w:eastAsia="宋体" w:cs="宋体"/>
                <w:color w:val="auto"/>
                <w:sz w:val="24"/>
                <w:szCs w:val="24"/>
              </w:rPr>
              <w:t>提供以下任意一种均可：</w:t>
            </w:r>
          </w:p>
          <w:p>
            <w:pPr>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1.供应商2023或</w:t>
            </w:r>
            <w:r>
              <w:rPr>
                <w:rFonts w:hint="eastAsia" w:ascii="宋体" w:eastAsia="宋体" w:cs="宋体"/>
                <w:color w:val="auto"/>
                <w:sz w:val="24"/>
                <w:szCs w:val="24"/>
                <w:lang w:val="en-US" w:eastAsia="zh-CN"/>
              </w:rPr>
              <w:t>2024年度</w:t>
            </w:r>
            <w:r>
              <w:rPr>
                <w:rFonts w:hint="eastAsia" w:ascii="宋体" w:eastAsia="宋体" w:cs="宋体"/>
                <w:color w:val="auto"/>
                <w:sz w:val="24"/>
                <w:szCs w:val="24"/>
                <w:lang w:eastAsia="zh-CN"/>
              </w:rPr>
              <w:t>经会计师事务所出具的财务审计报告；</w:t>
            </w:r>
          </w:p>
          <w:p>
            <w:pPr>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2.供应商基本开户银行近一年内出具的银行资信证明；</w:t>
            </w:r>
          </w:p>
          <w:p>
            <w:pPr>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3.供应商出具的“具有良好的商业信誉和健全的财务会计制度”的承诺书；（格式自拟）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3</w:t>
            </w:r>
          </w:p>
        </w:tc>
        <w:tc>
          <w:tcPr>
            <w:tcW w:w="3533" w:type="dxa"/>
            <w:shd w:val="clear" w:color="auto" w:fill="auto"/>
            <w:vAlign w:val="center"/>
          </w:tcPr>
          <w:p>
            <w:pPr>
              <w:kinsoku/>
              <w:jc w:val="center"/>
              <w:rPr>
                <w:rFonts w:ascii="宋体" w:eastAsia="宋体" w:cs="宋体"/>
                <w:color w:val="auto"/>
                <w:sz w:val="24"/>
                <w:szCs w:val="24"/>
                <w:lang w:eastAsia="zh-CN"/>
              </w:rPr>
            </w:pPr>
            <w:r>
              <w:rPr>
                <w:rFonts w:hint="eastAsia" w:ascii="宋体" w:eastAsia="宋体" w:cs="宋体"/>
                <w:color w:val="auto"/>
                <w:sz w:val="24"/>
                <w:szCs w:val="24"/>
                <w:lang w:eastAsia="zh-CN"/>
              </w:rPr>
              <w:t>有依法缴纳税收和社会保障资金的良好记录</w:t>
            </w:r>
          </w:p>
        </w:tc>
        <w:tc>
          <w:tcPr>
            <w:tcW w:w="4912" w:type="dxa"/>
            <w:shd w:val="clear" w:color="auto" w:fill="auto"/>
            <w:vAlign w:val="center"/>
          </w:tcPr>
          <w:p>
            <w:pPr>
              <w:spacing w:before="65" w:line="300" w:lineRule="auto"/>
              <w:ind w:right="76"/>
              <w:jc w:val="both"/>
              <w:rPr>
                <w:rFonts w:ascii="宋体" w:eastAsia="宋体" w:cs="宋体"/>
                <w:color w:val="auto"/>
                <w:sz w:val="24"/>
                <w:szCs w:val="24"/>
              </w:rPr>
            </w:pPr>
            <w:r>
              <w:rPr>
                <w:rFonts w:hint="eastAsia" w:ascii="宋体" w:eastAsia="宋体" w:cs="宋体"/>
                <w:color w:val="auto"/>
                <w:sz w:val="24"/>
                <w:szCs w:val="24"/>
              </w:rPr>
              <w:t>提供以下任意一种均可：</w:t>
            </w:r>
          </w:p>
          <w:p>
            <w:pPr>
              <w:spacing w:before="65" w:line="300" w:lineRule="auto"/>
              <w:ind w:right="76"/>
              <w:jc w:val="both"/>
              <w:rPr>
                <w:rFonts w:ascii="宋体" w:eastAsia="宋体" w:cs="宋体"/>
                <w:color w:val="auto"/>
                <w:sz w:val="24"/>
                <w:szCs w:val="24"/>
                <w:lang w:eastAsia="zh-CN"/>
              </w:rPr>
            </w:pPr>
            <w:r>
              <w:rPr>
                <w:rFonts w:hint="eastAsia" w:ascii="宋体" w:eastAsia="宋体" w:cs="宋体"/>
                <w:color w:val="auto"/>
                <w:sz w:val="24"/>
                <w:szCs w:val="24"/>
                <w:lang w:eastAsia="zh-CN"/>
              </w:rPr>
              <w:t>1.递交响应文件截止之日前一年内（至少一个月）的：</w:t>
            </w:r>
          </w:p>
          <w:p>
            <w:pPr>
              <w:spacing w:before="65" w:line="300" w:lineRule="auto"/>
              <w:ind w:right="76"/>
              <w:jc w:val="both"/>
              <w:rPr>
                <w:rFonts w:ascii="宋体" w:eastAsia="宋体" w:cs="宋体"/>
                <w:color w:val="auto"/>
                <w:sz w:val="24"/>
                <w:szCs w:val="24"/>
                <w:lang w:eastAsia="zh-CN"/>
              </w:rPr>
            </w:pPr>
            <w:r>
              <w:rPr>
                <w:rFonts w:hint="eastAsia" w:ascii="宋体" w:eastAsia="宋体" w:cs="宋体"/>
                <w:color w:val="auto"/>
                <w:sz w:val="24"/>
                <w:szCs w:val="24"/>
                <w:lang w:eastAsia="zh-CN"/>
              </w:rPr>
              <w:t>（1）缴纳税收的相关凭据；（税务机关提供的纳税凭据或银行入账单）</w:t>
            </w:r>
          </w:p>
          <w:p>
            <w:pPr>
              <w:spacing w:before="65" w:line="300" w:lineRule="auto"/>
              <w:ind w:right="76"/>
              <w:jc w:val="both"/>
              <w:rPr>
                <w:rFonts w:ascii="宋体" w:eastAsia="宋体" w:cs="宋体"/>
                <w:color w:val="auto"/>
                <w:sz w:val="24"/>
                <w:szCs w:val="24"/>
                <w:lang w:eastAsia="zh-CN"/>
              </w:rPr>
            </w:pPr>
            <w:r>
              <w:rPr>
                <w:rFonts w:hint="eastAsia" w:ascii="宋体" w:eastAsia="宋体" w:cs="宋体"/>
                <w:color w:val="auto"/>
                <w:sz w:val="24"/>
                <w:szCs w:val="24"/>
                <w:lang w:eastAsia="zh-CN"/>
              </w:rPr>
              <w:t>（2）缴纳社会保险的凭证；（专用收据或社会保险缴纳清单或其他缴纳凭证）</w:t>
            </w:r>
          </w:p>
          <w:p>
            <w:pPr>
              <w:spacing w:before="65" w:line="300" w:lineRule="auto"/>
              <w:ind w:right="76"/>
              <w:jc w:val="both"/>
              <w:rPr>
                <w:rFonts w:ascii="宋体" w:eastAsia="宋体" w:cs="宋体"/>
                <w:color w:val="auto"/>
                <w:sz w:val="24"/>
                <w:szCs w:val="24"/>
                <w:lang w:eastAsia="zh-CN"/>
              </w:rPr>
            </w:pPr>
            <w:r>
              <w:rPr>
                <w:rFonts w:hint="eastAsia" w:ascii="宋体" w:eastAsia="宋体" w:cs="宋体"/>
                <w:color w:val="auto"/>
                <w:sz w:val="24"/>
                <w:szCs w:val="24"/>
                <w:lang w:eastAsia="zh-CN"/>
              </w:rPr>
              <w:t>2.供应商出具的“具有依法缴纳税收和社会保障资金的良好记录”的承诺书；（格式自拟）</w:t>
            </w:r>
          </w:p>
          <w:p>
            <w:pPr>
              <w:spacing w:before="65" w:line="300" w:lineRule="auto"/>
              <w:ind w:right="76"/>
              <w:jc w:val="both"/>
              <w:rPr>
                <w:rFonts w:ascii="宋体" w:eastAsia="宋体" w:cs="宋体"/>
                <w:color w:val="auto"/>
                <w:sz w:val="24"/>
                <w:szCs w:val="24"/>
                <w:lang w:eastAsia="zh-CN"/>
              </w:rPr>
            </w:pPr>
            <w:r>
              <w:rPr>
                <w:rFonts w:hint="eastAsia" w:ascii="宋体" w:eastAsia="宋体" w:cs="宋体"/>
                <w:color w:val="auto"/>
                <w:sz w:val="24"/>
                <w:szCs w:val="24"/>
                <w:lang w:eastAsia="zh-CN"/>
              </w:rPr>
              <w:t>注：其他组织和自然人也需要提供缴纳税收和缴纳社会保险的凭据。依法免税或不需要缴纳社会保障资金的供应商，应提供相应文件证明其依法免税或不需要缴纳社会保障资金。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4</w:t>
            </w:r>
          </w:p>
        </w:tc>
        <w:tc>
          <w:tcPr>
            <w:tcW w:w="3533" w:type="dxa"/>
            <w:shd w:val="clear" w:color="auto" w:fill="auto"/>
            <w:vAlign w:val="center"/>
          </w:tcPr>
          <w:p>
            <w:pPr>
              <w:kinsoku/>
              <w:jc w:val="center"/>
              <w:rPr>
                <w:rFonts w:ascii="宋体" w:eastAsia="宋体" w:cs="宋体"/>
                <w:color w:val="auto"/>
                <w:sz w:val="24"/>
                <w:szCs w:val="24"/>
                <w:lang w:eastAsia="zh-CN"/>
              </w:rPr>
            </w:pPr>
            <w:r>
              <w:rPr>
                <w:rFonts w:hint="eastAsia" w:ascii="宋体" w:eastAsia="宋体" w:cs="宋体"/>
                <w:color w:val="auto"/>
                <w:sz w:val="24"/>
                <w:szCs w:val="24"/>
                <w:lang w:eastAsia="zh-CN"/>
              </w:rPr>
              <w:t>具有履行合同所必需的设备和专业技术能力</w:t>
            </w:r>
          </w:p>
        </w:tc>
        <w:tc>
          <w:tcPr>
            <w:tcW w:w="4912" w:type="dxa"/>
            <w:shd w:val="clear" w:color="auto" w:fill="auto"/>
            <w:vAlign w:val="center"/>
          </w:tcPr>
          <w:p>
            <w:pPr>
              <w:spacing w:before="165" w:line="300" w:lineRule="auto"/>
              <w:ind w:right="76"/>
              <w:jc w:val="both"/>
              <w:rPr>
                <w:rFonts w:ascii="宋体" w:eastAsia="宋体" w:cs="宋体"/>
                <w:color w:val="auto"/>
                <w:sz w:val="24"/>
                <w:szCs w:val="24"/>
              </w:rPr>
            </w:pPr>
            <w:r>
              <w:rPr>
                <w:rFonts w:hint="eastAsia" w:ascii="宋体" w:eastAsia="宋体" w:cs="宋体"/>
                <w:color w:val="auto"/>
                <w:sz w:val="24"/>
                <w:szCs w:val="24"/>
                <w:lang w:eastAsia="zh-CN"/>
              </w:rPr>
              <w:t>审查供应商提供的具有履行合同所必需的设备和专业技术能力的书面声明。</w:t>
            </w:r>
            <w:r>
              <w:rPr>
                <w:rFonts w:hint="eastAsia" w:ascii="宋体" w:eastAsia="宋体" w:cs="宋体"/>
                <w:color w:val="auto"/>
                <w:sz w:val="24"/>
                <w:szCs w:val="24"/>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5</w:t>
            </w:r>
          </w:p>
        </w:tc>
        <w:tc>
          <w:tcPr>
            <w:tcW w:w="3533" w:type="dxa"/>
            <w:shd w:val="clear" w:color="auto" w:fill="auto"/>
            <w:vAlign w:val="center"/>
          </w:tcPr>
          <w:p>
            <w:pPr>
              <w:kinsoku/>
              <w:jc w:val="center"/>
              <w:rPr>
                <w:rFonts w:ascii="宋体" w:eastAsia="宋体" w:cs="宋体"/>
                <w:color w:val="auto"/>
                <w:sz w:val="24"/>
                <w:szCs w:val="24"/>
                <w:lang w:eastAsia="zh-CN"/>
              </w:rPr>
            </w:pPr>
            <w:r>
              <w:rPr>
                <w:rFonts w:hint="eastAsia" w:ascii="宋体" w:eastAsia="宋体" w:cs="宋体"/>
                <w:color w:val="auto"/>
                <w:sz w:val="24"/>
                <w:szCs w:val="24"/>
                <w:lang w:eastAsia="zh-CN"/>
              </w:rPr>
              <w:t>参加政府采购活动前 3 年内在经营活动中没有重大违法记录</w:t>
            </w:r>
          </w:p>
        </w:tc>
        <w:tc>
          <w:tcPr>
            <w:tcW w:w="4912" w:type="dxa"/>
            <w:shd w:val="clear" w:color="auto" w:fill="auto"/>
            <w:vAlign w:val="center"/>
          </w:tcPr>
          <w:p>
            <w:pPr>
              <w:spacing w:before="65" w:line="300" w:lineRule="auto"/>
              <w:ind w:right="76"/>
              <w:jc w:val="both"/>
              <w:rPr>
                <w:rFonts w:ascii="宋体" w:eastAsia="宋体" w:cs="宋体"/>
                <w:color w:val="auto"/>
                <w:sz w:val="24"/>
                <w:szCs w:val="24"/>
                <w:lang w:eastAsia="zh-CN"/>
              </w:rPr>
            </w:pPr>
            <w:r>
              <w:rPr>
                <w:rFonts w:hint="eastAsia" w:ascii="宋体" w:eastAsia="宋体" w:cs="宋体"/>
                <w:color w:val="auto"/>
                <w:sz w:val="24"/>
                <w:szCs w:val="24"/>
                <w:lang w:eastAsia="zh-CN"/>
              </w:rPr>
              <w:t>审查供应商出具的“参加本采购活动前3年内在经营活动中没有重大违法记录”书面声明函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6</w:t>
            </w:r>
          </w:p>
        </w:tc>
        <w:tc>
          <w:tcPr>
            <w:tcW w:w="3533" w:type="dxa"/>
            <w:shd w:val="clear" w:color="auto" w:fill="auto"/>
            <w:vAlign w:val="center"/>
          </w:tcPr>
          <w:p>
            <w:pPr>
              <w:kinsoku/>
              <w:jc w:val="center"/>
              <w:rPr>
                <w:rFonts w:ascii="宋体" w:eastAsia="宋体" w:cs="宋体"/>
                <w:color w:val="auto"/>
                <w:sz w:val="24"/>
                <w:szCs w:val="24"/>
              </w:rPr>
            </w:pPr>
            <w:r>
              <w:rPr>
                <w:rFonts w:hint="eastAsia" w:ascii="宋体" w:eastAsia="宋体" w:cs="宋体"/>
                <w:color w:val="auto"/>
                <w:sz w:val="24"/>
                <w:szCs w:val="24"/>
              </w:rPr>
              <w:t>信用记录</w:t>
            </w:r>
          </w:p>
        </w:tc>
        <w:tc>
          <w:tcPr>
            <w:tcW w:w="4912" w:type="dxa"/>
            <w:shd w:val="clear" w:color="auto" w:fill="auto"/>
            <w:vAlign w:val="center"/>
          </w:tcPr>
          <w:p>
            <w:pPr>
              <w:spacing w:line="360" w:lineRule="auto"/>
              <w:jc w:val="both"/>
              <w:rPr>
                <w:rFonts w:hint="eastAsia" w:ascii="宋体" w:eastAsia="宋体" w:cs="宋体"/>
                <w:color w:val="auto"/>
                <w:sz w:val="24"/>
                <w:szCs w:val="24"/>
                <w:lang w:eastAsia="zh-CN"/>
              </w:rPr>
            </w:pPr>
            <w:r>
              <w:rPr>
                <w:rFonts w:hint="eastAsia" w:ascii="宋体" w:eastAsia="宋体" w:cs="宋体"/>
                <w:color w:val="auto"/>
                <w:sz w:val="24"/>
                <w:szCs w:val="24"/>
                <w:lang w:eastAsia="zh-CN"/>
              </w:rPr>
              <w:t>供应商需提供自本项目公告发布至提交响应文件的截止时间内：</w:t>
            </w:r>
          </w:p>
          <w:p>
            <w:pPr>
              <w:spacing w:line="360" w:lineRule="auto"/>
              <w:jc w:val="both"/>
              <w:rPr>
                <w:rFonts w:hint="eastAsia" w:ascii="宋体" w:eastAsia="宋体" w:cs="宋体"/>
                <w:color w:val="auto"/>
                <w:sz w:val="24"/>
                <w:szCs w:val="24"/>
                <w:lang w:eastAsia="zh-CN"/>
              </w:rPr>
            </w:pPr>
            <w:r>
              <w:rPr>
                <w:rFonts w:hint="eastAsia" w:ascii="宋体" w:eastAsia="宋体" w:cs="宋体"/>
                <w:color w:val="auto"/>
                <w:sz w:val="24"/>
                <w:szCs w:val="24"/>
                <w:lang w:eastAsia="zh-CN"/>
              </w:rPr>
              <w:t>（1）经“信用中国”网站查询的供应商未被列入“失信被执行人”、“重大税收违法失信主体”、“政府采购严重违法失信行为记录名单”的网页截图；</w:t>
            </w:r>
          </w:p>
          <w:p>
            <w:pPr>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（2）经“中国政府采购网”网站查询的供应商未被列入“政府采购严重违法失信行为记录名单”的网页截图。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spacing w:line="360" w:lineRule="auto"/>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7</w:t>
            </w:r>
          </w:p>
        </w:tc>
        <w:tc>
          <w:tcPr>
            <w:tcW w:w="3533" w:type="dxa"/>
            <w:shd w:val="clear" w:color="auto" w:fill="auto"/>
            <w:vAlign w:val="center"/>
          </w:tcPr>
          <w:p>
            <w:pPr>
              <w:kinsoku/>
              <w:jc w:val="center"/>
              <w:rPr>
                <w:rFonts w:hint="eastAsia" w:ascii="宋体" w:hAnsi="Arial" w:eastAsia="宋体" w:cs="宋体"/>
                <w:snapToGrid w:val="0"/>
                <w:color w:val="auto"/>
                <w:sz w:val="24"/>
                <w:szCs w:val="24"/>
                <w:lang w:val="en-US" w:eastAsia="zh-CN" w:bidi="ar-SA"/>
              </w:rPr>
            </w:pPr>
            <w:r>
              <w:rPr>
                <w:rFonts w:hint="eastAsia" w:ascii="宋体" w:eastAsia="宋体" w:cs="宋体"/>
                <w:color w:val="auto"/>
                <w:sz w:val="24"/>
                <w:szCs w:val="24"/>
                <w:lang w:eastAsia="zh-CN"/>
              </w:rPr>
              <w:t>落实政府采购政策需满足的资格要求</w:t>
            </w:r>
          </w:p>
        </w:tc>
        <w:tc>
          <w:tcPr>
            <w:tcW w:w="4912" w:type="dxa"/>
            <w:shd w:val="clear" w:color="auto" w:fill="auto"/>
            <w:vAlign w:val="center"/>
          </w:tcPr>
          <w:p>
            <w:pPr>
              <w:spacing w:line="360" w:lineRule="auto"/>
              <w:jc w:val="both"/>
              <w:rPr>
                <w:rFonts w:hint="eastAsia" w:ascii="宋体" w:hAnsi="Arial" w:eastAsia="宋体" w:cs="宋体"/>
                <w:snapToGrid w:val="0"/>
                <w:color w:val="auto"/>
                <w:sz w:val="24"/>
                <w:szCs w:val="24"/>
                <w:lang w:val="en-US" w:eastAsia="zh-CN" w:bidi="ar-SA"/>
              </w:rPr>
            </w:pPr>
            <w:r>
              <w:rPr>
                <w:rFonts w:hint="eastAsia" w:ascii="宋体" w:eastAsia="宋体" w:cs="宋体"/>
                <w:color w:val="auto"/>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8</w:t>
            </w:r>
          </w:p>
        </w:tc>
        <w:tc>
          <w:tcPr>
            <w:tcW w:w="3533" w:type="dxa"/>
            <w:shd w:val="clear" w:color="auto" w:fill="auto"/>
            <w:vAlign w:val="center"/>
          </w:tcPr>
          <w:p>
            <w:pPr>
              <w:spacing w:before="166" w:line="302" w:lineRule="auto"/>
              <w:jc w:val="center"/>
              <w:rPr>
                <w:rFonts w:ascii="宋体" w:eastAsia="宋体" w:cs="宋体"/>
                <w:color w:val="auto"/>
                <w:sz w:val="24"/>
                <w:szCs w:val="24"/>
                <w:lang w:eastAsia="zh-CN"/>
              </w:rPr>
            </w:pPr>
            <w:r>
              <w:rPr>
                <w:rFonts w:hint="eastAsia" w:ascii="宋体" w:eastAsia="宋体" w:cs="宋体"/>
                <w:color w:val="auto"/>
                <w:sz w:val="24"/>
                <w:szCs w:val="24"/>
              </w:rPr>
              <w:t>特定资格要求</w:t>
            </w:r>
          </w:p>
        </w:tc>
        <w:tc>
          <w:tcPr>
            <w:tcW w:w="4912" w:type="dxa"/>
            <w:shd w:val="clear" w:color="auto" w:fill="auto"/>
            <w:vAlign w:val="center"/>
          </w:tcPr>
          <w:p>
            <w:pPr>
              <w:spacing w:before="166" w:line="302" w:lineRule="auto"/>
              <w:ind w:right="78" w:rightChars="0"/>
              <w:jc w:val="both"/>
              <w:rPr>
                <w:rFonts w:ascii="宋体" w:eastAsia="宋体" w:cs="宋体"/>
                <w:color w:val="auto"/>
                <w:sz w:val="24"/>
                <w:szCs w:val="24"/>
                <w:lang w:eastAsia="zh-CN"/>
              </w:rPr>
            </w:pPr>
            <w:r>
              <w:rPr>
                <w:rFonts w:hint="eastAsia" w:ascii="宋体" w:eastAsia="宋体" w:cs="宋体"/>
                <w:color w:val="auto"/>
                <w:sz w:val="24"/>
                <w:szCs w:val="24"/>
              </w:rPr>
              <w:t>供应商须具备监督部门颁发的检验检测机构资质认定证书（CMA）（包含相应环境监测参数，详见第三章采购内容及技术要求）。提供资质证书及检测指标相关附件页复印件加盖公章。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pPr>
              <w:spacing w:before="166" w:line="302" w:lineRule="auto"/>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9</w:t>
            </w:r>
          </w:p>
        </w:tc>
        <w:tc>
          <w:tcPr>
            <w:tcW w:w="3533" w:type="dxa"/>
            <w:shd w:val="clear" w:color="auto" w:fill="auto"/>
            <w:vAlign w:val="center"/>
          </w:tcPr>
          <w:p>
            <w:pPr>
              <w:kinsoku/>
              <w:spacing w:line="360" w:lineRule="auto"/>
              <w:jc w:val="center"/>
              <w:rPr>
                <w:rFonts w:ascii="宋体" w:eastAsia="宋体" w:cs="宋体"/>
                <w:color w:val="auto"/>
                <w:sz w:val="24"/>
                <w:szCs w:val="24"/>
              </w:rPr>
            </w:pPr>
            <w:r>
              <w:rPr>
                <w:rFonts w:hint="eastAsia" w:ascii="宋体" w:eastAsia="宋体" w:cs="宋体"/>
                <w:color w:val="auto"/>
                <w:sz w:val="24"/>
                <w:szCs w:val="24"/>
                <w:lang w:eastAsia="zh-CN"/>
              </w:rPr>
              <w:t>联合体响应（若有）</w:t>
            </w:r>
          </w:p>
        </w:tc>
        <w:tc>
          <w:tcPr>
            <w:tcW w:w="4912" w:type="dxa"/>
            <w:shd w:val="clear" w:color="auto" w:fill="auto"/>
            <w:vAlign w:val="center"/>
          </w:tcPr>
          <w:p>
            <w:pPr>
              <w:spacing w:line="360" w:lineRule="auto"/>
              <w:jc w:val="both"/>
              <w:rPr>
                <w:rFonts w:ascii="宋体" w:eastAsia="宋体" w:cs="宋体"/>
                <w:color w:val="auto"/>
                <w:sz w:val="24"/>
                <w:szCs w:val="24"/>
              </w:rPr>
            </w:pPr>
            <w:r>
              <w:rPr>
                <w:rFonts w:ascii="宋体" w:hAnsi="宋体" w:eastAsia="宋体" w:cs="宋体"/>
                <w:color w:val="auto"/>
                <w:sz w:val="24"/>
                <w:szCs w:val="24"/>
              </w:rPr>
              <w:t>符合关于联合体响应的相关规定。</w:t>
            </w:r>
          </w:p>
        </w:tc>
      </w:tr>
    </w:tbl>
    <w:p>
      <w:pPr>
        <w:kinsoku/>
        <w:spacing w:before="240" w:beforeLines="100" w:line="360" w:lineRule="auto"/>
        <w:ind w:firstLine="481" w:firstLineChars="200"/>
        <w:outlineLvl w:val="2"/>
        <w:rPr>
          <w:rFonts w:ascii="宋体" w:eastAsia="宋体" w:cs="宋体"/>
          <w:b/>
          <w:bCs/>
          <w:color w:val="auto"/>
          <w:sz w:val="24"/>
          <w:szCs w:val="24"/>
        </w:rPr>
      </w:pPr>
      <w:r>
        <w:rPr>
          <w:rFonts w:hint="eastAsia" w:ascii="宋体" w:eastAsia="宋体" w:cs="宋体"/>
          <w:b/>
          <w:bCs/>
          <w:color w:val="auto"/>
          <w:sz w:val="24"/>
          <w:szCs w:val="24"/>
        </w:rPr>
        <w:t>2.符合性审查</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2.1 磋商小组依据磋商文件的规定，从响应文件的有效性、完整性和对磋商文件的响应程度进行审查，以确定是否对磋商文件的实质性要求作出响应。</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2.2 符合性审查中有任意一项未通过的，评审结果为未通过，未通过符合性审查的供应商按无效响应处理。</w:t>
      </w:r>
    </w:p>
    <w:p>
      <w:pPr>
        <w:kinsoku/>
        <w:spacing w:line="360" w:lineRule="auto"/>
        <w:ind w:firstLine="562" w:firstLineChars="200"/>
        <w:jc w:val="center"/>
        <w:rPr>
          <w:rFonts w:hint="eastAsia" w:ascii="宋体" w:eastAsia="宋体" w:cs="宋体"/>
          <w:b/>
          <w:bCs/>
          <w:color w:val="auto"/>
          <w:sz w:val="28"/>
          <w:szCs w:val="28"/>
          <w:lang w:eastAsia="zh-CN"/>
        </w:rPr>
      </w:pPr>
      <w:r>
        <w:rPr>
          <w:rFonts w:hint="eastAsia" w:ascii="宋体" w:eastAsia="宋体" w:cs="宋体"/>
          <w:b/>
          <w:bCs/>
          <w:color w:val="auto"/>
          <w:sz w:val="28"/>
          <w:szCs w:val="28"/>
          <w:lang w:eastAsia="zh-CN"/>
        </w:rPr>
        <w:t>符合性审查表</w:t>
      </w:r>
    </w:p>
    <w:p>
      <w:pPr>
        <w:pStyle w:val="9"/>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ind w:firstLine="480" w:firstLineChars="200"/>
        <w:textAlignment w:val="baseline"/>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采购包</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：2025年赤峰市红山区乡镇及农村集中式饮用水水源地水质环境监测服务项目</w:t>
      </w:r>
    </w:p>
    <w:tbl>
      <w:tblPr>
        <w:tblStyle w:val="18"/>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3045"/>
        <w:gridCol w:w="5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71" w:type="dxa"/>
            <w:vAlign w:val="center"/>
          </w:tcPr>
          <w:p>
            <w:pPr>
              <w:kinsoku/>
              <w:jc w:val="center"/>
              <w:rPr>
                <w:rFonts w:hint="eastAsia" w:ascii="宋体" w:eastAsia="宋体" w:cs="宋体"/>
                <w:b/>
                <w:bCs/>
                <w:color w:val="auto"/>
                <w:sz w:val="24"/>
                <w:szCs w:val="24"/>
                <w:lang w:eastAsia="zh-CN"/>
              </w:rPr>
            </w:pPr>
            <w:r>
              <w:rPr>
                <w:rFonts w:hint="eastAsia" w:ascii="宋体" w:eastAsia="宋体" w:cs="宋体"/>
                <w:b/>
                <w:bCs/>
                <w:color w:val="auto"/>
                <w:sz w:val="24"/>
                <w:szCs w:val="24"/>
                <w:lang w:eastAsia="zh-CN"/>
              </w:rPr>
              <w:t>序号</w:t>
            </w:r>
          </w:p>
        </w:tc>
        <w:tc>
          <w:tcPr>
            <w:tcW w:w="3045" w:type="dxa"/>
            <w:vAlign w:val="center"/>
          </w:tcPr>
          <w:p>
            <w:pPr>
              <w:kinsoku/>
              <w:jc w:val="center"/>
              <w:rPr>
                <w:rFonts w:hint="eastAsia" w:ascii="宋体" w:eastAsia="宋体" w:cs="宋体"/>
                <w:color w:val="auto"/>
                <w:sz w:val="24"/>
                <w:szCs w:val="24"/>
                <w:lang w:eastAsia="zh-CN"/>
              </w:rPr>
            </w:pPr>
            <w:r>
              <w:rPr>
                <w:rFonts w:hint="eastAsia" w:ascii="宋体" w:eastAsia="宋体" w:cs="宋体"/>
                <w:b/>
                <w:bCs/>
                <w:color w:val="auto"/>
                <w:sz w:val="24"/>
                <w:szCs w:val="24"/>
                <w:lang w:eastAsia="zh-CN"/>
              </w:rPr>
              <w:t>符合审查要求概况</w:t>
            </w:r>
          </w:p>
        </w:tc>
        <w:tc>
          <w:tcPr>
            <w:tcW w:w="5202" w:type="dxa"/>
            <w:vAlign w:val="center"/>
          </w:tcPr>
          <w:p>
            <w:pPr>
              <w:kinsoku/>
              <w:spacing w:line="360" w:lineRule="auto"/>
              <w:ind w:left="0" w:leftChars="0" w:right="0" w:rightChars="0" w:firstLine="0" w:firstLineChars="0"/>
              <w:jc w:val="center"/>
              <w:rPr>
                <w:rFonts w:hint="eastAsia" w:ascii="宋体" w:eastAsia="宋体" w:cs="宋体"/>
                <w:color w:val="auto"/>
                <w:sz w:val="24"/>
                <w:szCs w:val="24"/>
              </w:rPr>
            </w:pPr>
            <w:r>
              <w:rPr>
                <w:rFonts w:hint="eastAsia" w:ascii="宋体" w:eastAsia="宋体" w:cs="宋体"/>
                <w:b/>
                <w:bCs/>
                <w:color w:val="auto"/>
                <w:sz w:val="24"/>
                <w:szCs w:val="24"/>
                <w:highlight w:val="none"/>
                <w:lang w:eastAsia="zh-CN"/>
              </w:rPr>
              <w:t>评审点具体描述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71" w:type="dxa"/>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1</w:t>
            </w:r>
          </w:p>
        </w:tc>
        <w:tc>
          <w:tcPr>
            <w:tcW w:w="3045" w:type="dxa"/>
            <w:vAlign w:val="center"/>
          </w:tcPr>
          <w:p>
            <w:pPr>
              <w:kinsoku/>
              <w:jc w:val="center"/>
              <w:rPr>
                <w:rFonts w:ascii="宋体" w:eastAsia="宋体" w:cs="宋体"/>
                <w:color w:val="auto"/>
                <w:sz w:val="24"/>
                <w:szCs w:val="24"/>
                <w:lang w:eastAsia="zh-CN"/>
              </w:rPr>
            </w:pPr>
            <w:r>
              <w:rPr>
                <w:rFonts w:hint="eastAsia" w:ascii="宋体" w:eastAsia="宋体" w:cs="宋体"/>
                <w:color w:val="auto"/>
                <w:sz w:val="24"/>
                <w:szCs w:val="24"/>
                <w:lang w:eastAsia="zh-CN"/>
              </w:rPr>
              <w:t>磋商保证金缴纳情况</w:t>
            </w:r>
          </w:p>
        </w:tc>
        <w:tc>
          <w:tcPr>
            <w:tcW w:w="5202" w:type="dxa"/>
            <w:vAlign w:val="center"/>
          </w:tcPr>
          <w:p>
            <w:pPr>
              <w:kinsoku/>
              <w:spacing w:line="360" w:lineRule="auto"/>
              <w:jc w:val="both"/>
              <w:rPr>
                <w:rFonts w:ascii="宋体" w:eastAsia="宋体" w:cs="宋体"/>
                <w:color w:val="auto"/>
                <w:sz w:val="24"/>
                <w:szCs w:val="24"/>
              </w:rPr>
            </w:pPr>
            <w:r>
              <w:rPr>
                <w:rFonts w:hint="eastAsia" w:ascii="宋体" w:eastAsia="宋体" w:cs="宋体"/>
                <w:color w:val="auto"/>
                <w:sz w:val="24"/>
                <w:szCs w:val="24"/>
              </w:rPr>
              <w:t>本项不作要求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71" w:type="dxa"/>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2</w:t>
            </w:r>
          </w:p>
        </w:tc>
        <w:tc>
          <w:tcPr>
            <w:tcW w:w="3045" w:type="dxa"/>
            <w:vAlign w:val="center"/>
          </w:tcPr>
          <w:p>
            <w:pPr>
              <w:kinsoku/>
              <w:jc w:val="center"/>
              <w:rPr>
                <w:rFonts w:ascii="宋体" w:eastAsia="宋体" w:cs="宋体"/>
                <w:color w:val="auto"/>
                <w:sz w:val="24"/>
                <w:szCs w:val="24"/>
              </w:rPr>
            </w:pPr>
            <w:r>
              <w:rPr>
                <w:rFonts w:hint="eastAsia" w:ascii="宋体" w:eastAsia="宋体" w:cs="宋体"/>
                <w:color w:val="auto"/>
                <w:sz w:val="24"/>
                <w:szCs w:val="24"/>
                <w:lang w:eastAsia="zh-CN"/>
              </w:rPr>
              <w:t>投标</w:t>
            </w:r>
            <w:r>
              <w:rPr>
                <w:rFonts w:hint="eastAsia" w:ascii="宋体" w:eastAsia="宋体" w:cs="宋体"/>
                <w:color w:val="auto"/>
                <w:sz w:val="24"/>
                <w:szCs w:val="24"/>
              </w:rPr>
              <w:t>报价</w:t>
            </w:r>
          </w:p>
        </w:tc>
        <w:tc>
          <w:tcPr>
            <w:tcW w:w="5202" w:type="dxa"/>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投标报价（包括分项报价、总报价）只能有一个有效报价且不超过采购预算或最高限价，投标报价不得缺项漏项。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71" w:type="dxa"/>
            <w:vAlign w:val="center"/>
          </w:tcPr>
          <w:p>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3</w:t>
            </w:r>
          </w:p>
        </w:tc>
        <w:tc>
          <w:tcPr>
            <w:tcW w:w="3045" w:type="dxa"/>
            <w:vAlign w:val="center"/>
          </w:tcPr>
          <w:p>
            <w:pPr>
              <w:kinsoku/>
              <w:jc w:val="center"/>
              <w:rPr>
                <w:rFonts w:hint="eastAsia" w:ascii="宋体" w:eastAsia="宋体" w:cs="宋体"/>
                <w:color w:val="auto"/>
                <w:sz w:val="24"/>
                <w:szCs w:val="24"/>
                <w:lang w:eastAsia="zh-CN"/>
              </w:rPr>
            </w:pPr>
            <w:r>
              <w:rPr>
                <w:rFonts w:hint="eastAsia" w:ascii="宋体" w:eastAsia="宋体" w:cs="宋体"/>
                <w:color w:val="auto"/>
                <w:sz w:val="24"/>
                <w:szCs w:val="24"/>
                <w:lang w:eastAsia="zh-CN"/>
              </w:rPr>
              <w:t>响应文件规范性、符合性</w:t>
            </w:r>
          </w:p>
        </w:tc>
        <w:tc>
          <w:tcPr>
            <w:tcW w:w="5202" w:type="dxa"/>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响应文件的签署、盖章、涂改、删除、插字、公章使用等符合竞争性磋商文件要求；响应文件的格式、文字、目录等符合竞争性磋商文件要求或对投标无实质性影响。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71" w:type="dxa"/>
            <w:vAlign w:val="center"/>
          </w:tcPr>
          <w:p>
            <w:pPr>
              <w:kinsoku/>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4</w:t>
            </w:r>
          </w:p>
        </w:tc>
        <w:tc>
          <w:tcPr>
            <w:tcW w:w="3045" w:type="dxa"/>
            <w:vAlign w:val="center"/>
          </w:tcPr>
          <w:p>
            <w:pPr>
              <w:kinsoku/>
              <w:jc w:val="center"/>
              <w:rPr>
                <w:rFonts w:ascii="宋体" w:eastAsia="宋体" w:cs="宋体"/>
                <w:color w:val="auto"/>
                <w:sz w:val="24"/>
                <w:szCs w:val="24"/>
              </w:rPr>
            </w:pPr>
            <w:r>
              <w:rPr>
                <w:rFonts w:hint="eastAsia" w:ascii="宋体" w:eastAsia="宋体" w:cs="宋体"/>
                <w:color w:val="auto"/>
                <w:sz w:val="24"/>
                <w:szCs w:val="24"/>
              </w:rPr>
              <w:t>主要商务条款</w:t>
            </w:r>
          </w:p>
        </w:tc>
        <w:tc>
          <w:tcPr>
            <w:tcW w:w="5202" w:type="dxa"/>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审查供应商出具的“主要商务要求承诺书”。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71" w:type="dxa"/>
            <w:vAlign w:val="center"/>
          </w:tcPr>
          <w:p>
            <w:pPr>
              <w:kinsoku/>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5</w:t>
            </w:r>
          </w:p>
        </w:tc>
        <w:tc>
          <w:tcPr>
            <w:tcW w:w="3045" w:type="dxa"/>
            <w:vAlign w:val="center"/>
          </w:tcPr>
          <w:p>
            <w:pPr>
              <w:kinsoku/>
              <w:jc w:val="center"/>
              <w:rPr>
                <w:rFonts w:ascii="宋体" w:eastAsia="宋体" w:cs="宋体"/>
                <w:color w:val="auto"/>
                <w:sz w:val="24"/>
                <w:szCs w:val="24"/>
              </w:rPr>
            </w:pPr>
            <w:r>
              <w:rPr>
                <w:rFonts w:hint="eastAsia" w:ascii="宋体" w:eastAsia="宋体" w:cs="宋体"/>
                <w:color w:val="auto"/>
                <w:sz w:val="24"/>
                <w:szCs w:val="24"/>
              </w:rPr>
              <w:t>技术部分实质性内容</w:t>
            </w:r>
          </w:p>
        </w:tc>
        <w:tc>
          <w:tcPr>
            <w:tcW w:w="5202" w:type="dxa"/>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1.明确所投标的的产品品牌、规格型号或服务内容或工程量；</w:t>
            </w:r>
          </w:p>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2.响应文件应当对磋商文件提出的要求和条件作出明确响应并满足磋商文件全部实质性要求。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71" w:type="dxa"/>
            <w:vAlign w:val="center"/>
          </w:tcPr>
          <w:p>
            <w:pPr>
              <w:kinsoku/>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6</w:t>
            </w:r>
          </w:p>
        </w:tc>
        <w:tc>
          <w:tcPr>
            <w:tcW w:w="3045" w:type="dxa"/>
            <w:vAlign w:val="center"/>
          </w:tcPr>
          <w:p>
            <w:pPr>
              <w:kinsoku/>
              <w:jc w:val="center"/>
              <w:rPr>
                <w:rFonts w:ascii="宋体" w:eastAsia="宋体" w:cs="宋体"/>
                <w:color w:val="auto"/>
                <w:sz w:val="24"/>
                <w:szCs w:val="24"/>
              </w:rPr>
            </w:pPr>
            <w:r>
              <w:rPr>
                <w:rFonts w:hint="eastAsia" w:ascii="宋体" w:eastAsia="宋体" w:cs="宋体"/>
                <w:color w:val="auto"/>
                <w:sz w:val="24"/>
                <w:szCs w:val="24"/>
              </w:rPr>
              <w:t>其他要求</w:t>
            </w:r>
          </w:p>
        </w:tc>
        <w:tc>
          <w:tcPr>
            <w:tcW w:w="5202" w:type="dxa"/>
            <w:vAlign w:val="center"/>
          </w:tcPr>
          <w:p>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法律法规或磋商文件中规定的响应无效的其他情形。</w:t>
            </w:r>
          </w:p>
        </w:tc>
      </w:tr>
    </w:tbl>
    <w:p>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firstLine="481" w:firstLineChars="200"/>
        <w:textAlignment w:val="baseline"/>
        <w:outlineLvl w:val="2"/>
        <w:rPr>
          <w:rFonts w:ascii="宋体" w:eastAsia="宋体" w:cs="宋体"/>
          <w:b/>
          <w:bCs/>
          <w:color w:val="auto"/>
          <w:sz w:val="24"/>
          <w:szCs w:val="24"/>
          <w:lang w:eastAsia="zh-CN"/>
        </w:rPr>
      </w:pPr>
      <w:r>
        <w:rPr>
          <w:rFonts w:hint="eastAsia" w:ascii="宋体" w:eastAsia="宋体" w:cs="宋体"/>
          <w:b/>
          <w:bCs/>
          <w:color w:val="auto"/>
          <w:sz w:val="24"/>
          <w:szCs w:val="24"/>
          <w:lang w:eastAsia="zh-CN"/>
        </w:rPr>
        <w:t>3.磋商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磋商小组所有成员应当集中与单一供应商分别进行磋商，并给予所有参加磋商的供应商平等的磋商机会。</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对磋商文件作出的实质性变动是磋商文件的有效组成部分，磋商小组应当及时通过</w:t>
      </w:r>
      <w:r>
        <w:rPr>
          <w:rFonts w:hint="eastAsia" w:ascii="宋体" w:eastAsia="宋体" w:cs="宋体"/>
          <w:color w:val="auto"/>
          <w:sz w:val="24"/>
          <w:szCs w:val="24"/>
          <w:highlight w:val="none"/>
          <w:lang w:eastAsia="zh-CN"/>
        </w:rPr>
        <w:t>国资智采电子招投标交易平台（http://www.gzzczb.com）、赤峰市生态环境局官网(http://sthjj.chifeng.gov.cn/)</w:t>
      </w:r>
      <w:r>
        <w:rPr>
          <w:rFonts w:hint="eastAsia" w:ascii="宋体" w:eastAsia="宋体" w:cs="宋体"/>
          <w:color w:val="auto"/>
          <w:sz w:val="24"/>
          <w:szCs w:val="24"/>
          <w:lang w:eastAsia="zh-CN"/>
        </w:rPr>
        <w:t>通知所有参加磋商的供应商。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insoku/>
        <w:spacing w:line="360" w:lineRule="auto"/>
        <w:ind w:firstLine="481" w:firstLineChars="200"/>
        <w:outlineLvl w:val="2"/>
        <w:rPr>
          <w:rFonts w:ascii="宋体" w:eastAsia="宋体" w:cs="宋体"/>
          <w:b/>
          <w:bCs/>
          <w:color w:val="auto"/>
          <w:sz w:val="24"/>
          <w:szCs w:val="24"/>
          <w:lang w:eastAsia="zh-CN"/>
        </w:rPr>
      </w:pPr>
      <w:r>
        <w:rPr>
          <w:rFonts w:hint="eastAsia" w:ascii="宋体" w:eastAsia="宋体" w:cs="宋体"/>
          <w:b/>
          <w:bCs/>
          <w:color w:val="auto"/>
          <w:sz w:val="24"/>
          <w:szCs w:val="24"/>
          <w:lang w:eastAsia="zh-CN"/>
        </w:rPr>
        <w:t>4.最后报价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磋商结束后，磋商小组应当要求所有实质性响应的供应商在规定时间内提交最后报价。最后报价是供应商响应文件的有效组成部分。</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已提交响应文件的供应商，在提交最后报价之前，可以根据磋商情况退出磋商。</w:t>
      </w:r>
    </w:p>
    <w:p>
      <w:pPr>
        <w:kinsoku/>
        <w:spacing w:line="360" w:lineRule="auto"/>
        <w:ind w:firstLine="480" w:firstLineChars="200"/>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磋商结束后，确认继续响应的供应商应在规定时间内提交最后报价。</w:t>
      </w:r>
    </w:p>
    <w:p>
      <w:pPr>
        <w:kinsoku/>
        <w:spacing w:line="360" w:lineRule="auto"/>
        <w:ind w:firstLine="480" w:firstLineChars="200"/>
        <w:outlineLvl w:val="9"/>
        <w:rPr>
          <w:rFonts w:hint="eastAsia" w:ascii="宋体" w:eastAsia="宋体" w:cs="宋体"/>
          <w:b/>
          <w:bCs/>
          <w:color w:val="auto"/>
          <w:sz w:val="24"/>
          <w:szCs w:val="24"/>
          <w:lang w:val="en-US" w:eastAsia="zh-CN"/>
        </w:rPr>
      </w:pPr>
      <w:r>
        <w:rPr>
          <w:rFonts w:hint="eastAsia" w:ascii="宋体" w:eastAsia="宋体" w:cs="宋体"/>
          <w:color w:val="auto"/>
          <w:sz w:val="24"/>
          <w:szCs w:val="24"/>
          <w:lang w:eastAsia="zh-CN"/>
        </w:rPr>
        <w:t>未在最终轮次规定时间内进行响应的，视为不再参与该政府采购活动。</w:t>
      </w:r>
    </w:p>
    <w:p>
      <w:pPr>
        <w:kinsoku/>
        <w:spacing w:line="360" w:lineRule="auto"/>
        <w:ind w:firstLine="481" w:firstLineChars="200"/>
        <w:outlineLvl w:val="2"/>
        <w:rPr>
          <w:rFonts w:hint="default" w:ascii="宋体" w:eastAsia="宋体" w:cs="宋体"/>
          <w:b/>
          <w:bCs/>
          <w:color w:val="auto"/>
          <w:sz w:val="24"/>
          <w:szCs w:val="24"/>
          <w:lang w:val="en-US" w:eastAsia="zh-CN"/>
        </w:rPr>
      </w:pPr>
      <w:r>
        <w:rPr>
          <w:rFonts w:hint="eastAsia" w:ascii="宋体" w:eastAsia="宋体" w:cs="宋体"/>
          <w:b/>
          <w:bCs/>
          <w:color w:val="auto"/>
          <w:sz w:val="24"/>
          <w:szCs w:val="24"/>
          <w:lang w:val="en-US" w:eastAsia="zh-CN"/>
        </w:rPr>
        <w:t>5.报价评审</w:t>
      </w:r>
    </w:p>
    <w:p>
      <w:pPr>
        <w:kinsoku/>
        <w:spacing w:line="360" w:lineRule="auto"/>
        <w:ind w:firstLine="480" w:firstLineChars="200"/>
        <w:outlineLvl w:val="9"/>
        <w:rPr>
          <w:rFonts w:hint="eastAsia" w:ascii="宋体" w:eastAsia="宋体" w:cs="宋体"/>
          <w:b/>
          <w:bCs/>
          <w:color w:val="auto"/>
          <w:sz w:val="24"/>
          <w:szCs w:val="24"/>
          <w:lang w:eastAsia="zh-CN"/>
        </w:rPr>
      </w:pPr>
      <w:r>
        <w:rPr>
          <w:rFonts w:hint="eastAsia" w:ascii="宋体" w:eastAsia="宋体" w:cs="宋体"/>
          <w:color w:val="auto"/>
          <w:sz w:val="24"/>
          <w:szCs w:val="24"/>
          <w:lang w:val="en-US" w:eastAsia="zh-CN"/>
        </w:rPr>
        <w:t>磋商小组</w:t>
      </w:r>
      <w:r>
        <w:rPr>
          <w:rFonts w:hint="default" w:ascii="宋体" w:eastAsia="宋体" w:cs="宋体"/>
          <w:color w:val="auto"/>
          <w:sz w:val="24"/>
          <w:szCs w:val="24"/>
          <w:lang w:val="en-US" w:eastAsia="zh-CN"/>
        </w:rPr>
        <w:t>认为</w:t>
      </w:r>
      <w:r>
        <w:rPr>
          <w:rFonts w:hint="eastAsia" w:ascii="宋体" w:eastAsia="宋体" w:cs="宋体"/>
          <w:color w:val="auto"/>
          <w:sz w:val="24"/>
          <w:szCs w:val="24"/>
          <w:lang w:val="en-US" w:eastAsia="zh-CN"/>
        </w:rPr>
        <w:t>供应商</w:t>
      </w:r>
      <w:r>
        <w:rPr>
          <w:rFonts w:hint="default" w:ascii="宋体" w:eastAsia="宋体" w:cs="宋体"/>
          <w:color w:val="auto"/>
          <w:sz w:val="24"/>
          <w:szCs w:val="24"/>
          <w:lang w:val="en-US" w:eastAsia="zh-CN"/>
        </w:rPr>
        <w:t>的</w:t>
      </w:r>
      <w:r>
        <w:rPr>
          <w:rFonts w:hint="eastAsia" w:ascii="宋体" w:eastAsia="宋体" w:cs="宋体"/>
          <w:color w:val="auto"/>
          <w:sz w:val="24"/>
          <w:szCs w:val="24"/>
          <w:lang w:val="en-US" w:eastAsia="zh-CN"/>
        </w:rPr>
        <w:t>最后</w:t>
      </w:r>
      <w:r>
        <w:rPr>
          <w:rFonts w:hint="default" w:ascii="宋体" w:eastAsia="宋体" w:cs="宋体"/>
          <w:color w:val="auto"/>
          <w:sz w:val="24"/>
          <w:szCs w:val="24"/>
          <w:lang w:val="en-US" w:eastAsia="zh-CN"/>
        </w:rPr>
        <w:t>报价明显低于其他</w:t>
      </w:r>
      <w:r>
        <w:rPr>
          <w:rFonts w:hint="eastAsia" w:ascii="宋体" w:eastAsia="宋体" w:cs="宋体"/>
          <w:color w:val="auto"/>
          <w:sz w:val="24"/>
          <w:szCs w:val="24"/>
          <w:lang w:val="en-US" w:eastAsia="zh-CN"/>
        </w:rPr>
        <w:t>供应商</w:t>
      </w:r>
      <w:r>
        <w:rPr>
          <w:rFonts w:hint="default" w:ascii="宋体" w:eastAsia="宋体" w:cs="宋体"/>
          <w:color w:val="auto"/>
          <w:sz w:val="24"/>
          <w:szCs w:val="24"/>
          <w:lang w:val="en-US" w:eastAsia="zh-CN"/>
        </w:rPr>
        <w:t>的</w:t>
      </w:r>
      <w:r>
        <w:rPr>
          <w:rFonts w:hint="eastAsia" w:ascii="宋体" w:eastAsia="宋体" w:cs="宋体"/>
          <w:color w:val="auto"/>
          <w:sz w:val="24"/>
          <w:szCs w:val="24"/>
          <w:lang w:val="en-US" w:eastAsia="zh-CN"/>
        </w:rPr>
        <w:t>最后</w:t>
      </w:r>
      <w:r>
        <w:rPr>
          <w:rFonts w:hint="default" w:ascii="宋体" w:eastAsia="宋体" w:cs="宋体"/>
          <w:color w:val="auto"/>
          <w:sz w:val="24"/>
          <w:szCs w:val="24"/>
          <w:lang w:val="en-US" w:eastAsia="zh-CN"/>
        </w:rPr>
        <w:t>报价,有可能影响产品质量或者不能诚信履约的，应当要求其在合理的时间内提供书面说明，必要时提交相关证明材料；</w:t>
      </w:r>
      <w:r>
        <w:rPr>
          <w:rFonts w:hint="eastAsia" w:ascii="宋体" w:eastAsia="宋体" w:cs="宋体"/>
          <w:color w:val="auto"/>
          <w:sz w:val="24"/>
          <w:szCs w:val="24"/>
          <w:lang w:val="en-US" w:eastAsia="zh-CN"/>
        </w:rPr>
        <w:t>供应商</w:t>
      </w:r>
      <w:r>
        <w:rPr>
          <w:rFonts w:hint="default" w:ascii="宋体" w:eastAsia="宋体" w:cs="宋体"/>
          <w:color w:val="auto"/>
          <w:sz w:val="24"/>
          <w:szCs w:val="24"/>
          <w:lang w:val="en-US" w:eastAsia="zh-CN"/>
        </w:rPr>
        <w:t>不能证明其报价合理性的，</w:t>
      </w:r>
      <w:r>
        <w:rPr>
          <w:rFonts w:hint="eastAsia" w:ascii="宋体" w:eastAsia="宋体" w:cs="宋体"/>
          <w:color w:val="auto"/>
          <w:sz w:val="24"/>
          <w:szCs w:val="24"/>
          <w:lang w:val="en-US" w:eastAsia="zh-CN"/>
        </w:rPr>
        <w:t>磋商小组</w:t>
      </w:r>
      <w:r>
        <w:rPr>
          <w:rFonts w:hint="default" w:ascii="宋体" w:eastAsia="宋体" w:cs="宋体"/>
          <w:color w:val="auto"/>
          <w:sz w:val="24"/>
          <w:szCs w:val="24"/>
          <w:lang w:val="en-US" w:eastAsia="zh-CN"/>
        </w:rPr>
        <w:t>应当将其作为无效</w:t>
      </w:r>
      <w:r>
        <w:rPr>
          <w:rFonts w:hint="eastAsia" w:ascii="宋体" w:eastAsia="宋体" w:cs="宋体"/>
          <w:color w:val="auto"/>
          <w:sz w:val="24"/>
          <w:szCs w:val="24"/>
          <w:lang w:val="en-US" w:eastAsia="zh-CN"/>
        </w:rPr>
        <w:t>响应</w:t>
      </w:r>
      <w:r>
        <w:rPr>
          <w:rFonts w:hint="default" w:ascii="宋体" w:eastAsia="宋体" w:cs="宋体"/>
          <w:color w:val="auto"/>
          <w:sz w:val="24"/>
          <w:szCs w:val="24"/>
          <w:lang w:val="en-US" w:eastAsia="zh-CN"/>
        </w:rPr>
        <w:t>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1"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lang w:val="en-US" w:eastAsia="zh-CN"/>
        </w:rPr>
        <w:t>6</w:t>
      </w:r>
      <w:r>
        <w:rPr>
          <w:rFonts w:hint="eastAsia" w:ascii="宋体" w:eastAsia="宋体" w:cs="宋体"/>
          <w:b/>
          <w:bCs/>
          <w:sz w:val="24"/>
          <w:szCs w:val="24"/>
          <w:highlight w:val="none"/>
        </w:rPr>
        <w:t>.政府采购政策功能落实</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依据《政府采购促进中小企业发展管理办法》等规定，对符合条件的小微企业、监狱企业或残疾人福利性单位给予价格扣除。</w:t>
      </w:r>
    </w:p>
    <w:p>
      <w:pPr>
        <w:kinsoku/>
        <w:spacing w:line="360" w:lineRule="auto"/>
        <w:ind w:firstLine="481" w:firstLineChars="200"/>
        <w:outlineLvl w:val="2"/>
        <w:rPr>
          <w:rFonts w:ascii="宋体" w:eastAsia="宋体" w:cs="宋体"/>
          <w:b/>
          <w:bCs/>
          <w:color w:val="auto"/>
          <w:sz w:val="24"/>
          <w:szCs w:val="24"/>
          <w:highlight w:val="none"/>
          <w:lang w:eastAsia="zh-CN"/>
        </w:rPr>
      </w:pPr>
      <w:r>
        <w:rPr>
          <w:rFonts w:hint="eastAsia" w:ascii="宋体" w:eastAsia="宋体" w:cs="宋体"/>
          <w:b/>
          <w:bCs/>
          <w:color w:val="auto"/>
          <w:sz w:val="24"/>
          <w:szCs w:val="24"/>
          <w:highlight w:val="none"/>
          <w:lang w:val="en-US" w:eastAsia="zh-CN"/>
        </w:rPr>
        <w:t>7</w:t>
      </w:r>
      <w:r>
        <w:rPr>
          <w:rFonts w:hint="eastAsia" w:ascii="宋体" w:eastAsia="宋体" w:cs="宋体"/>
          <w:b/>
          <w:bCs/>
          <w:color w:val="auto"/>
          <w:sz w:val="24"/>
          <w:szCs w:val="24"/>
          <w:highlight w:val="none"/>
          <w:lang w:eastAsia="zh-CN"/>
        </w:rPr>
        <w:t>.综合评分</w:t>
      </w:r>
    </w:p>
    <w:p>
      <w:pPr>
        <w:kinsoku/>
        <w:spacing w:line="360" w:lineRule="auto"/>
        <w:ind w:firstLine="480" w:firstLineChars="200"/>
        <w:rPr>
          <w:rFonts w:hint="eastAsia" w:ascii="宋体" w:eastAsia="宋体" w:cs="宋体"/>
          <w:color w:val="auto"/>
          <w:sz w:val="24"/>
          <w:szCs w:val="24"/>
          <w:lang w:eastAsia="zh-CN"/>
        </w:rPr>
      </w:pPr>
      <w:r>
        <w:rPr>
          <w:rFonts w:hint="eastAsia" w:ascii="宋体" w:eastAsia="宋体" w:cs="宋体"/>
          <w:color w:val="auto"/>
          <w:sz w:val="24"/>
          <w:szCs w:val="24"/>
          <w:lang w:eastAsia="zh-CN"/>
        </w:rPr>
        <w:t>由磋商小组采用综合评分法对提交最后报价的供应商的响应文件和最后报价进行综合评分（得分四舍五入保留两位小数）。</w:t>
      </w:r>
    </w:p>
    <w:p>
      <w:pPr>
        <w:pStyle w:val="9"/>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ind w:firstLine="480" w:firstLineChars="200"/>
        <w:textAlignment w:val="baseline"/>
        <w:outlineLvl w:val="3"/>
        <w:rPr>
          <w:rFonts w:hint="default"/>
          <w:sz w:val="24"/>
          <w:szCs w:val="24"/>
          <w:lang w:val="en-US" w:eastAsia="zh-CN"/>
        </w:rPr>
      </w:pPr>
      <w:r>
        <w:rPr>
          <w:rFonts w:hint="eastAsia" w:ascii="宋体" w:eastAsia="宋体" w:cs="宋体"/>
          <w:color w:val="auto"/>
          <w:sz w:val="24"/>
          <w:szCs w:val="24"/>
          <w:lang w:eastAsia="zh-CN"/>
        </w:rPr>
        <w:t>采购包</w:t>
      </w:r>
      <w:r>
        <w:rPr>
          <w:rFonts w:hint="eastAsia" w:ascii="宋体" w:eastAsia="宋体" w:cs="宋体"/>
          <w:color w:val="auto"/>
          <w:sz w:val="24"/>
          <w:szCs w:val="24"/>
          <w:lang w:val="en-US" w:eastAsia="zh-CN"/>
        </w:rPr>
        <w:t>1：2025年赤峰市红山区乡镇及农村集中式饮用水水源地水质环境监测服务项目</w:t>
      </w:r>
    </w:p>
    <w:tbl>
      <w:tblPr>
        <w:tblStyle w:val="18"/>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520"/>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noWrap/>
            <w:vAlign w:val="center"/>
          </w:tcPr>
          <w:p>
            <w:pPr>
              <w:spacing w:line="360" w:lineRule="auto"/>
              <w:jc w:val="center"/>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评审因素</w:t>
            </w:r>
          </w:p>
        </w:tc>
        <w:tc>
          <w:tcPr>
            <w:tcW w:w="8625" w:type="dxa"/>
            <w:gridSpan w:val="2"/>
            <w:noWrap/>
            <w:vAlign w:val="center"/>
          </w:tcPr>
          <w:p>
            <w:pPr>
              <w:spacing w:line="360" w:lineRule="auto"/>
              <w:jc w:val="center"/>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noWrap/>
            <w:vAlign w:val="center"/>
          </w:tcPr>
          <w:p>
            <w:pPr>
              <w:spacing w:line="360"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分值构成</w:t>
            </w:r>
          </w:p>
        </w:tc>
        <w:tc>
          <w:tcPr>
            <w:tcW w:w="8625" w:type="dxa"/>
            <w:gridSpan w:val="2"/>
            <w:noWrap/>
          </w:tcPr>
          <w:p>
            <w:pPr>
              <w:spacing w:line="360"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技术部分</w:t>
            </w:r>
            <w:r>
              <w:rPr>
                <w:rFonts w:hint="eastAsia" w:ascii="宋体" w:hAnsi="宋体" w:eastAsia="宋体" w:cs="宋体"/>
                <w:color w:val="auto"/>
                <w:spacing w:val="2"/>
                <w:sz w:val="24"/>
                <w:szCs w:val="24"/>
                <w:highlight w:val="none"/>
                <w:lang w:val="en-US" w:eastAsia="zh-CN"/>
              </w:rPr>
              <w:t>60</w:t>
            </w:r>
            <w:r>
              <w:rPr>
                <w:rFonts w:hint="eastAsia" w:ascii="宋体" w:hAnsi="宋体" w:eastAsia="宋体" w:cs="宋体"/>
                <w:color w:val="auto"/>
                <w:spacing w:val="2"/>
                <w:sz w:val="24"/>
                <w:szCs w:val="24"/>
                <w:highlight w:val="none"/>
              </w:rPr>
              <w:t>.0分</w:t>
            </w:r>
          </w:p>
          <w:p>
            <w:pPr>
              <w:spacing w:line="360"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商务部分</w:t>
            </w:r>
            <w:r>
              <w:rPr>
                <w:rFonts w:hint="eastAsia" w:ascii="宋体" w:hAnsi="宋体" w:eastAsia="宋体" w:cs="宋体"/>
                <w:color w:val="auto"/>
                <w:spacing w:val="2"/>
                <w:sz w:val="24"/>
                <w:szCs w:val="24"/>
                <w:highlight w:val="none"/>
                <w:lang w:val="en-US" w:eastAsia="zh-CN"/>
              </w:rPr>
              <w:t>30</w:t>
            </w:r>
            <w:r>
              <w:rPr>
                <w:rFonts w:hint="eastAsia" w:ascii="宋体" w:hAnsi="宋体" w:eastAsia="宋体" w:cs="宋体"/>
                <w:color w:val="auto"/>
                <w:spacing w:val="2"/>
                <w:sz w:val="24"/>
                <w:szCs w:val="24"/>
                <w:highlight w:val="none"/>
              </w:rPr>
              <w:t>.0分</w:t>
            </w:r>
          </w:p>
          <w:p>
            <w:pPr>
              <w:spacing w:line="360" w:lineRule="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highlight w:val="none"/>
              </w:rPr>
              <w:t>报价得分</w:t>
            </w:r>
            <w:r>
              <w:rPr>
                <w:rFonts w:hint="eastAsia" w:ascii="宋体" w:hAnsi="宋体" w:eastAsia="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restart"/>
            <w:noWrap/>
            <w:vAlign w:val="center"/>
          </w:tcPr>
          <w:p>
            <w:pPr>
              <w:spacing w:line="360" w:lineRule="auto"/>
              <w:jc w:val="center"/>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技术部分</w:t>
            </w:r>
          </w:p>
        </w:tc>
        <w:tc>
          <w:tcPr>
            <w:tcW w:w="1520" w:type="dxa"/>
            <w:noWrap/>
            <w:vAlign w:val="center"/>
          </w:tcPr>
          <w:p>
            <w:pPr>
              <w:pStyle w:val="28"/>
              <w:spacing w:before="57" w:line="360" w:lineRule="auto"/>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编制背景理解情况</w:t>
            </w:r>
          </w:p>
          <w:p>
            <w:pPr>
              <w:pStyle w:val="28"/>
              <w:spacing w:before="57" w:line="360" w:lineRule="auto"/>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（15分）</w:t>
            </w:r>
          </w:p>
        </w:tc>
        <w:tc>
          <w:tcPr>
            <w:tcW w:w="7105" w:type="dxa"/>
            <w:noWrap/>
            <w:vAlign w:val="top"/>
          </w:tcPr>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供应商应熟悉国家相关政策部署，结合乡镇及农村集中式饮用水水源地水质环境现状，详细论述水源地水质质量和检测要求，根据论述实际性和准确性进行评分：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1.供应商的论述深入结合乡镇及农村集中式饮用水水源地水质环境实际情况、对水源地水质质量和检测要求的理解全面、准确得15分；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2.供应商的论述深入结合乡镇及农村集中式饮用水水源地水质环境实际情况、对水源地水质质量和检测要求的理解较为全面、准确得11分；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3.供应商的论述基本结合乡镇及农村集中式饮用水水源地水质环境实际情况，对水源地水质质量和检测要求的理解基本全面、准确得7分；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4..供应商的论述缺乏与实际结合对水源地水质质量和检测要求的理解不够到位得3分；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5.供应商未提供或完全不符合本项目采购需求的得0分。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continue"/>
            <w:noWrap/>
            <w:vAlign w:val="center"/>
          </w:tcPr>
          <w:p>
            <w:pPr>
              <w:spacing w:line="360" w:lineRule="auto"/>
              <w:jc w:val="center"/>
              <w:rPr>
                <w:rFonts w:hint="eastAsia" w:ascii="宋体" w:hAnsi="宋体" w:eastAsia="宋体" w:cs="宋体"/>
                <w:color w:val="auto"/>
                <w:spacing w:val="2"/>
                <w:sz w:val="24"/>
                <w:szCs w:val="24"/>
                <w:lang w:eastAsia="zh-CN"/>
              </w:rPr>
            </w:pPr>
          </w:p>
        </w:tc>
        <w:tc>
          <w:tcPr>
            <w:tcW w:w="1520" w:type="dxa"/>
            <w:noWrap/>
            <w:vAlign w:val="center"/>
          </w:tcPr>
          <w:p>
            <w:pPr>
              <w:pStyle w:val="28"/>
              <w:spacing w:before="57" w:line="360" w:lineRule="auto"/>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监测服务方案</w:t>
            </w:r>
          </w:p>
          <w:p>
            <w:pPr>
              <w:pStyle w:val="28"/>
              <w:spacing w:before="57" w:line="360" w:lineRule="auto"/>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（15分）</w:t>
            </w:r>
          </w:p>
        </w:tc>
        <w:tc>
          <w:tcPr>
            <w:tcW w:w="7105" w:type="dxa"/>
            <w:noWrap/>
            <w:vAlign w:val="top"/>
          </w:tcPr>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根据响应供应商提供的项目实施方案（包括但不限于工作程序及方法、技术路线、人员配备、合理化建议等）进行评审：</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1.实施方案符合本项目要求、组织实施描述清淅、进度计划合理、工作方法合理规范详细，得15分；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2.实施方案符合本项目要求、组织实施描述较清淅、进度计划较合理、工作方法较合理规范较详细，得11分；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3.实施方案符合本项目要求、组织实施描述基本清淅、进度计划基本合理、工作方法基本合理规范，得7分；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4.实施方案不符合本项目要求、组织实施描述不清淅、进度计划不够合理、工作方法不够合理规范，得3分；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continue"/>
            <w:noWrap/>
            <w:vAlign w:val="center"/>
          </w:tcPr>
          <w:p>
            <w:pPr>
              <w:spacing w:line="360" w:lineRule="auto"/>
              <w:jc w:val="center"/>
              <w:rPr>
                <w:rFonts w:hint="eastAsia" w:ascii="宋体" w:hAnsi="宋体" w:eastAsia="宋体" w:cs="宋体"/>
                <w:color w:val="auto"/>
                <w:spacing w:val="2"/>
                <w:sz w:val="24"/>
                <w:szCs w:val="24"/>
                <w:lang w:eastAsia="zh-CN"/>
              </w:rPr>
            </w:pPr>
          </w:p>
        </w:tc>
        <w:tc>
          <w:tcPr>
            <w:tcW w:w="1520" w:type="dxa"/>
            <w:shd w:val="clear" w:color="auto" w:fill="auto"/>
            <w:noWrap/>
            <w:vAlign w:val="center"/>
          </w:tcPr>
          <w:p>
            <w:pPr>
              <w:pStyle w:val="28"/>
              <w:spacing w:before="57" w:line="360" w:lineRule="auto"/>
              <w:ind w:left="0" w:leftChars="0" w:right="0" w:rightChars="0" w:firstLine="0" w:firstLineChars="0"/>
              <w:jc w:val="center"/>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服务质量保证措施</w:t>
            </w:r>
          </w:p>
          <w:p>
            <w:pPr>
              <w:pStyle w:val="28"/>
              <w:spacing w:before="57" w:line="360" w:lineRule="auto"/>
              <w:ind w:left="0" w:leftChars="0" w:right="0" w:rightChars="0" w:firstLine="0" w:firstLineChars="0"/>
              <w:jc w:val="center"/>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(10.0分)</w:t>
            </w:r>
          </w:p>
        </w:tc>
        <w:tc>
          <w:tcPr>
            <w:tcW w:w="7105" w:type="dxa"/>
            <w:shd w:val="clear" w:color="auto" w:fill="auto"/>
            <w:noWrap/>
            <w:vAlign w:val="top"/>
          </w:tcPr>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根据响应供应商提供的项目服务质量保证措施（包括但不限于采样质量控制计划、实验室分析质量控制计划、对采购人实施的监督检查配合等）进行评审：</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1.内容全面、完整详细、质量保证措施合理可行，有利于项目的实施，得10分；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2.内容基本全面、较完整详细、质量保证措施基本合理可行，满足项目实施需要，得7分；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3.全面但不完善、无针对性的，基本满足项目实施的，得4分；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4.内容不全面、不完整、质量保证措施不可行，难以满足项目实施需要，得1分；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5.不提供不得分。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continue"/>
            <w:noWrap/>
            <w:vAlign w:val="center"/>
          </w:tcPr>
          <w:p>
            <w:pPr>
              <w:spacing w:line="360" w:lineRule="auto"/>
              <w:jc w:val="center"/>
              <w:rPr>
                <w:rFonts w:hint="eastAsia" w:ascii="宋体" w:hAnsi="宋体" w:eastAsia="宋体" w:cs="宋体"/>
                <w:color w:val="auto"/>
                <w:spacing w:val="2"/>
                <w:sz w:val="24"/>
                <w:szCs w:val="24"/>
                <w:lang w:eastAsia="zh-CN"/>
              </w:rPr>
            </w:pPr>
          </w:p>
        </w:tc>
        <w:tc>
          <w:tcPr>
            <w:tcW w:w="1520" w:type="dxa"/>
            <w:shd w:val="clear" w:color="auto" w:fill="auto"/>
            <w:noWrap/>
            <w:vAlign w:val="center"/>
          </w:tcPr>
          <w:p>
            <w:pPr>
              <w:pStyle w:val="28"/>
              <w:spacing w:before="57" w:line="360" w:lineRule="auto"/>
              <w:ind w:left="0" w:leftChars="0" w:right="0" w:rightChars="0" w:firstLine="0" w:firstLineChars="0"/>
              <w:jc w:val="center"/>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进度计划</w:t>
            </w:r>
          </w:p>
          <w:p>
            <w:pPr>
              <w:pStyle w:val="28"/>
              <w:spacing w:before="57" w:line="360" w:lineRule="auto"/>
              <w:ind w:left="0" w:leftChars="0" w:right="0" w:rightChars="0" w:firstLine="0" w:firstLineChars="0"/>
              <w:jc w:val="center"/>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（10分）</w:t>
            </w:r>
          </w:p>
        </w:tc>
        <w:tc>
          <w:tcPr>
            <w:tcW w:w="7105" w:type="dxa"/>
            <w:shd w:val="clear" w:color="auto" w:fill="auto"/>
            <w:noWrap/>
            <w:vAlign w:val="top"/>
          </w:tcPr>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对供应商提供的本项目进度计划安排（包括但不限于任务分解、时间规划、资源协调、风险控制及进度跟踪等）进行评审：</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1.工作进度计划合理，针对性强，完全满足采购需求并有完善合理保证措施的得10分；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2.工作进度计划较为合理，具有针对性，满足采购需求并有合理保证措施的得7分；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3.工作进度计划基本合理，针对性一般，基本满足采购需求并有合理保证措施的得4分；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4.工作进度计划不够合理，针对性不强，部分满足采购需求保证措施一般的得1分；</w:t>
            </w:r>
          </w:p>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snapToGrid w:val="0"/>
                <w:color w:val="auto"/>
                <w:sz w:val="24"/>
                <w:szCs w:val="24"/>
                <w:lang w:val="en-US" w:eastAsia="zh-CN" w:bidi="zh-CN"/>
              </w:rPr>
              <w:t>5.工作进度计划不合理或未提供的得0分。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continue"/>
            <w:noWrap/>
            <w:vAlign w:val="center"/>
          </w:tcPr>
          <w:p>
            <w:pPr>
              <w:spacing w:line="360" w:lineRule="auto"/>
              <w:jc w:val="center"/>
              <w:rPr>
                <w:rFonts w:hint="eastAsia" w:ascii="宋体" w:hAnsi="宋体" w:eastAsia="宋体" w:cs="宋体"/>
                <w:color w:val="auto"/>
                <w:spacing w:val="2"/>
                <w:sz w:val="24"/>
                <w:szCs w:val="24"/>
                <w:lang w:eastAsia="zh-CN"/>
              </w:rPr>
            </w:pPr>
          </w:p>
        </w:tc>
        <w:tc>
          <w:tcPr>
            <w:tcW w:w="1520" w:type="dxa"/>
            <w:shd w:val="clear" w:color="auto" w:fill="auto"/>
            <w:noWrap/>
            <w:vAlign w:val="center"/>
          </w:tcPr>
          <w:p>
            <w:pPr>
              <w:pStyle w:val="28"/>
              <w:spacing w:before="57" w:line="360" w:lineRule="auto"/>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检验能力 (10.0分)</w:t>
            </w:r>
          </w:p>
        </w:tc>
        <w:tc>
          <w:tcPr>
            <w:tcW w:w="7105" w:type="dxa"/>
            <w:shd w:val="clear" w:color="auto" w:fill="auto"/>
            <w:noWrap/>
            <w:vAlign w:val="top"/>
          </w:tcPr>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响应供应商具备以下仪器，每具备一种得1分，本项最高10分：</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1.高效液相色谱仪 2.电感耦合等离子体质谱仪（ICP-MS）或者电感耦合等离子体光谱仪（ICP-OES） 3.原子吸收光谱仪 4.离子色谱仪 5.气相色谱仪 6.气相色谱-质谱联用仪（GC-MS） 7.原子荧光仪（或测汞仪） 8.红外测油仪 9.化学需氧量（COD）回流装置 10.分光光度计</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注：自有设备提供设备购买发票复印件加盖公章；租赁设备提供本项目投标截止日前1年以上的租赁合同及租金发票或银行转账流水复印件加盖公章。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restart"/>
            <w:noWrap/>
            <w:vAlign w:val="center"/>
          </w:tcPr>
          <w:p>
            <w:pPr>
              <w:spacing w:line="360"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商务部分</w:t>
            </w:r>
          </w:p>
        </w:tc>
        <w:tc>
          <w:tcPr>
            <w:tcW w:w="1520" w:type="dxa"/>
            <w:noWrap/>
            <w:vAlign w:val="center"/>
          </w:tcPr>
          <w:p>
            <w:pPr>
              <w:pStyle w:val="28"/>
              <w:spacing w:before="57" w:line="360" w:lineRule="auto"/>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类似业绩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en-US"/>
              </w:rPr>
              <w:t>.0分)</w:t>
            </w:r>
          </w:p>
        </w:tc>
        <w:tc>
          <w:tcPr>
            <w:tcW w:w="7105" w:type="dxa"/>
            <w:noWrap/>
            <w:vAlign w:val="top"/>
          </w:tcPr>
          <w:p>
            <w:pPr>
              <w:pStyle w:val="28"/>
              <w:spacing w:before="57" w:line="360" w:lineRule="auto"/>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根据供应商</w:t>
            </w:r>
            <w:r>
              <w:rPr>
                <w:rFonts w:hint="eastAsia" w:ascii="宋体" w:hAnsi="宋体" w:eastAsia="宋体" w:cs="宋体"/>
                <w:color w:val="auto"/>
                <w:sz w:val="24"/>
                <w:szCs w:val="24"/>
                <w:lang w:val="en-US" w:eastAsia="zh-CN"/>
              </w:rPr>
              <w:t>近三年</w:t>
            </w:r>
            <w:r>
              <w:rPr>
                <w:rFonts w:hint="eastAsia" w:ascii="宋体" w:hAnsi="宋体" w:eastAsia="宋体" w:cs="宋体"/>
                <w:color w:val="auto"/>
                <w:sz w:val="24"/>
                <w:szCs w:val="24"/>
                <w:lang w:val="en-US"/>
              </w:rPr>
              <w:t>地下水水质监测或包含该服务内容的同类项目业绩进行评审，每提供一份业绩得2.5分，最多得10分；（以合同签订时间为准，须提供合同复印件或扫描件，联合体各方的业绩均视为联合体的业绩）。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continue"/>
            <w:noWrap/>
            <w:vAlign w:val="center"/>
          </w:tcPr>
          <w:p>
            <w:pPr>
              <w:spacing w:line="360" w:lineRule="auto"/>
              <w:jc w:val="center"/>
              <w:rPr>
                <w:rFonts w:hint="eastAsia" w:ascii="宋体" w:hAnsi="宋体" w:eastAsia="宋体" w:cs="宋体"/>
                <w:color w:val="auto"/>
                <w:spacing w:val="2"/>
                <w:sz w:val="24"/>
                <w:szCs w:val="24"/>
              </w:rPr>
            </w:pPr>
          </w:p>
        </w:tc>
        <w:tc>
          <w:tcPr>
            <w:tcW w:w="1520" w:type="dxa"/>
            <w:shd w:val="clear" w:color="auto" w:fill="auto"/>
            <w:noWrap/>
            <w:vAlign w:val="center"/>
          </w:tcPr>
          <w:p>
            <w:pPr>
              <w:spacing w:line="360" w:lineRule="auto"/>
              <w:jc w:val="center"/>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企业能力</w:t>
            </w:r>
          </w:p>
          <w:p>
            <w:pPr>
              <w:spacing w:line="360" w:lineRule="auto"/>
              <w:jc w:val="center"/>
              <w:rPr>
                <w:rFonts w:hint="eastAsia" w:ascii="宋体" w:hAnsi="宋体" w:eastAsia="宋体" w:cs="宋体"/>
                <w:snapToGrid w:val="0"/>
                <w:color w:val="auto"/>
                <w:spacing w:val="2"/>
                <w:sz w:val="24"/>
                <w:szCs w:val="24"/>
                <w:lang w:val="en-US" w:eastAsia="zh-CN" w:bidi="ar-SA"/>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10.0分</w:t>
            </w:r>
            <w:r>
              <w:rPr>
                <w:rFonts w:hint="eastAsia" w:ascii="宋体" w:hAnsi="宋体" w:eastAsia="宋体" w:cs="宋体"/>
                <w:color w:val="auto"/>
                <w:spacing w:val="2"/>
                <w:sz w:val="24"/>
                <w:szCs w:val="24"/>
                <w:lang w:eastAsia="zh-CN"/>
              </w:rPr>
              <w:t>）</w:t>
            </w:r>
          </w:p>
        </w:tc>
        <w:tc>
          <w:tcPr>
            <w:tcW w:w="7105" w:type="dxa"/>
            <w:shd w:val="clear" w:color="auto" w:fill="auto"/>
            <w:noWrap/>
            <w:vAlign w:val="top"/>
          </w:tcPr>
          <w:p>
            <w:pPr>
              <w:pStyle w:val="28"/>
              <w:spacing w:before="57" w:line="360" w:lineRule="auto"/>
              <w:jc w:val="both"/>
              <w:rPr>
                <w:rFonts w:hint="eastAsia" w:ascii="宋体" w:hAnsi="宋体" w:eastAsia="宋体" w:cs="宋体"/>
                <w:snapToGrid w:val="0"/>
                <w:color w:val="auto"/>
                <w:sz w:val="24"/>
                <w:szCs w:val="24"/>
                <w:lang w:val="en-US" w:eastAsia="zh-CN" w:bidi="zh-CN"/>
              </w:rPr>
            </w:pPr>
            <w:r>
              <w:rPr>
                <w:rFonts w:hint="eastAsia" w:ascii="宋体" w:hAnsi="宋体" w:eastAsia="宋体" w:cs="宋体"/>
                <w:color w:val="auto"/>
                <w:sz w:val="24"/>
                <w:szCs w:val="24"/>
                <w:lang w:val="en-US"/>
              </w:rPr>
              <w:t>根据供应商获得过市场监督管理部门或生态环境监测部门颁发的能力验证合格证书或实验室比对合格证书进行评审，每有一项监测能力达到合格标准得1分，最高得10分。（该项评分要求只需联合体一方满足即可）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vMerge w:val="continue"/>
            <w:noWrap/>
            <w:vAlign w:val="center"/>
          </w:tcPr>
          <w:p>
            <w:pPr>
              <w:spacing w:line="360" w:lineRule="auto"/>
              <w:jc w:val="center"/>
              <w:rPr>
                <w:rFonts w:hint="eastAsia" w:ascii="宋体" w:hAnsi="宋体" w:eastAsia="宋体" w:cs="宋体"/>
                <w:color w:val="auto"/>
                <w:spacing w:val="2"/>
                <w:sz w:val="24"/>
                <w:szCs w:val="24"/>
              </w:rPr>
            </w:pPr>
          </w:p>
        </w:tc>
        <w:tc>
          <w:tcPr>
            <w:tcW w:w="1520" w:type="dxa"/>
            <w:noWrap/>
            <w:vAlign w:val="center"/>
          </w:tcPr>
          <w:p>
            <w:pPr>
              <w:spacing w:line="360" w:lineRule="auto"/>
              <w:jc w:val="center"/>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办公场所</w:t>
            </w:r>
          </w:p>
          <w:p>
            <w:pPr>
              <w:spacing w:line="360" w:lineRule="auto"/>
              <w:jc w:val="center"/>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10.0分</w:t>
            </w:r>
            <w:r>
              <w:rPr>
                <w:rFonts w:hint="eastAsia" w:ascii="宋体" w:hAnsi="宋体" w:eastAsia="宋体" w:cs="宋体"/>
                <w:color w:val="auto"/>
                <w:spacing w:val="2"/>
                <w:sz w:val="24"/>
                <w:szCs w:val="24"/>
                <w:lang w:eastAsia="zh-CN"/>
              </w:rPr>
              <w:t>）</w:t>
            </w:r>
          </w:p>
        </w:tc>
        <w:tc>
          <w:tcPr>
            <w:tcW w:w="7105" w:type="dxa"/>
            <w:noWrap/>
            <w:vAlign w:val="top"/>
          </w:tcPr>
          <w:p>
            <w:pPr>
              <w:pStyle w:val="28"/>
              <w:spacing w:before="57" w:line="360" w:lineRule="auto"/>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根据供应商具备的自有或租赁监测检验实验场所进行评审，须提供监测检验实验场所的产权证明或租赁证明，真实有效的得10分，没有提供或者提供不真实的得0分。（附产权证明或租赁合同扫描件，该项评分要求只需联合体一方满足即可）</w:t>
            </w:r>
          </w:p>
          <w:p>
            <w:pPr>
              <w:pStyle w:val="28"/>
              <w:spacing w:before="57"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lang w:val="en-US"/>
              </w:rPr>
              <w:t>外地检测机构需提供按水质检测标准方法要求的微生物样本需在2小时内检测或应在10℃以下冷藏但不得超过6小时内送入检测实验室的技术保证文件。</w:t>
            </w:r>
            <w:r>
              <w:rPr>
                <w:rFonts w:hint="eastAsia" w:ascii="宋体" w:hAnsi="宋体" w:eastAsia="宋体" w:cs="宋体"/>
                <w:color w:val="auto"/>
                <w:sz w:val="24"/>
                <w:szCs w:val="24"/>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4" w:type="dxa"/>
            <w:noWrap/>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报价得分</w:t>
            </w:r>
          </w:p>
        </w:tc>
        <w:tc>
          <w:tcPr>
            <w:tcW w:w="1520" w:type="dxa"/>
            <w:noWrap/>
            <w:vAlign w:val="center"/>
          </w:tcPr>
          <w:p>
            <w:pPr>
              <w:spacing w:line="360"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报价得分</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10.0</w:t>
            </w:r>
            <w:r>
              <w:rPr>
                <w:rFonts w:hint="eastAsia" w:ascii="宋体" w:hAnsi="宋体" w:eastAsia="宋体" w:cs="宋体"/>
                <w:color w:val="auto"/>
                <w:spacing w:val="2"/>
                <w:sz w:val="24"/>
                <w:szCs w:val="24"/>
              </w:rPr>
              <w:t>分)</w:t>
            </w:r>
          </w:p>
        </w:tc>
        <w:tc>
          <w:tcPr>
            <w:tcW w:w="7105" w:type="dxa"/>
            <w:noWrap/>
            <w:vAlign w:val="top"/>
          </w:tcPr>
          <w:p>
            <w:pPr>
              <w:pStyle w:val="28"/>
              <w:spacing w:before="57" w:line="360" w:lineRule="auto"/>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报价得分＝（评标基准价/投标报价）×价格分值</w:t>
            </w:r>
          </w:p>
          <w:p>
            <w:pPr>
              <w:pStyle w:val="28"/>
              <w:spacing w:before="57" w:line="360" w:lineRule="auto"/>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【注：满足竞争性磋商文件要求且报价最低的为评标基准价。投标报价保留小数点后两位】因落实政府采购政策进行价格调整的，以调整后的价格计算评标基准价和投标报价。</w:t>
            </w:r>
          </w:p>
        </w:tc>
      </w:tr>
    </w:tbl>
    <w:p>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firstLine="481" w:firstLineChars="200"/>
        <w:textAlignment w:val="baseline"/>
        <w:outlineLvl w:val="2"/>
        <w:rPr>
          <w:rFonts w:ascii="宋体" w:eastAsia="宋体" w:cs="宋体"/>
          <w:b/>
          <w:bCs/>
          <w:color w:val="auto"/>
          <w:sz w:val="24"/>
          <w:szCs w:val="24"/>
          <w:lang w:eastAsia="zh-CN"/>
        </w:rPr>
      </w:pPr>
      <w:r>
        <w:rPr>
          <w:rFonts w:hint="eastAsia" w:ascii="宋体" w:eastAsia="宋体" w:cs="宋体"/>
          <w:b/>
          <w:bCs/>
          <w:color w:val="auto"/>
          <w:sz w:val="24"/>
          <w:szCs w:val="24"/>
          <w:lang w:val="en-US" w:eastAsia="zh-CN"/>
        </w:rPr>
        <w:t>7</w:t>
      </w:r>
      <w:r>
        <w:rPr>
          <w:rFonts w:hint="eastAsia" w:ascii="宋体" w:eastAsia="宋体" w:cs="宋体"/>
          <w:b/>
          <w:bCs/>
          <w:color w:val="auto"/>
          <w:sz w:val="24"/>
          <w:szCs w:val="24"/>
          <w:lang w:eastAsia="zh-CN"/>
        </w:rPr>
        <w:t>.汇总、排序</w:t>
      </w:r>
    </w:p>
    <w:p>
      <w:pPr>
        <w:kinsoku/>
        <w:spacing w:line="360" w:lineRule="auto"/>
        <w:ind w:firstLine="480" w:firstLineChars="200"/>
        <w:rPr>
          <w:rFonts w:ascii="宋体" w:eastAsia="宋体" w:cs="宋体"/>
          <w:color w:val="auto"/>
          <w:sz w:val="24"/>
          <w:szCs w:val="24"/>
          <w:lang w:eastAsia="zh-CN"/>
        </w:rPr>
        <w:sectPr>
          <w:footerReference r:id="rId7" w:type="default"/>
          <w:pgSz w:w="11906" w:h="16838"/>
          <w:pgMar w:top="1440" w:right="1080" w:bottom="1440" w:left="1080" w:header="0" w:footer="850" w:gutter="0"/>
          <w:pgNumType w:fmt="decimal"/>
          <w:cols w:space="0" w:num="1"/>
          <w:rtlGutter w:val="0"/>
          <w:docGrid w:linePitch="312" w:charSpace="0"/>
        </w:sectPr>
      </w:pPr>
      <w:r>
        <w:rPr>
          <w:rFonts w:hint="eastAsia" w:ascii="宋体" w:eastAsia="宋体" w:cs="宋体"/>
          <w:color w:val="auto"/>
          <w:sz w:val="24"/>
          <w:szCs w:val="24"/>
          <w:lang w:eastAsia="zh-CN"/>
        </w:rPr>
        <w:t>磋商小组根据综合评分情况，按照评审得分由高到低顺序推荐 3 名以上成交候选供应商，同时依据采购文件要求确定排名第一的成交候选供应商为成交供应商并编写评审报告。符合《政府采购竞争性磋商采购方式管理暂行办法》相关规定的，可以推荐2家成交候选供应商。评审得分相同的，按照最后报价由低到高的顺序推荐。评审得分且最后报价相同的，按照技术指标优劣顺序推荐。</w:t>
      </w:r>
    </w:p>
    <w:p>
      <w:pPr>
        <w:kinsoku/>
        <w:spacing w:line="360" w:lineRule="auto"/>
        <w:ind w:firstLine="562" w:firstLineChars="200"/>
        <w:jc w:val="center"/>
        <w:outlineLvl w:val="0"/>
        <w:rPr>
          <w:rFonts w:ascii="宋体" w:eastAsia="宋体" w:cs="宋体"/>
          <w:color w:val="auto"/>
          <w:sz w:val="24"/>
          <w:szCs w:val="24"/>
          <w:lang w:eastAsia="zh-CN"/>
        </w:rPr>
      </w:pPr>
      <w:r>
        <w:rPr>
          <w:rFonts w:hint="eastAsia" w:ascii="宋体" w:eastAsia="宋体" w:cs="宋体"/>
          <w:b/>
          <w:bCs/>
          <w:color w:val="auto"/>
          <w:sz w:val="28"/>
          <w:szCs w:val="28"/>
          <w:lang w:eastAsia="zh-CN"/>
        </w:rPr>
        <w:t>第六章 合同与验收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outlineLvl w:val="1"/>
        <w:rPr>
          <w:rFonts w:hint="eastAsia" w:ascii="宋体" w:eastAsia="宋体" w:cs="宋体"/>
          <w:color w:val="auto"/>
          <w:sz w:val="24"/>
          <w:szCs w:val="24"/>
          <w:highlight w:val="none"/>
        </w:rPr>
      </w:pPr>
      <w:r>
        <w:rPr>
          <w:rFonts w:hint="eastAsia" w:ascii="宋体" w:eastAsia="宋体" w:cs="宋体"/>
          <w:b/>
          <w:bCs/>
          <w:color w:val="auto"/>
          <w:sz w:val="24"/>
          <w:szCs w:val="24"/>
          <w:highlight w:val="none"/>
        </w:rPr>
        <w:t>一、合同</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1.合同要求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1.1</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采购人应当自中标（成交）通知书发出之日起30日内，按照招标（磋商、谈判）文件或询价通知书和中标（成交）供应商投标（响应）文件的规定，与中标（成交）供应商签订书面合同。所签订的合同不得对招标（磋商、谈判）文件或询价通知书确定的事项作实质性修改。采购人、供应商不得提出任何不合理的要求作为签订合同的条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1.2</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政府采购合同应当包括采购人与中标（成交）供应商的名称和住所、标的、数量、质量、价款或者报酬、履行期限及地点和方式、验收要求、违约责任、解决争议的方法等内容。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1.3</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pPr>
        <w:rPr>
          <w:rFonts w:hint="eastAsia" w:ascii="宋体" w:eastAsia="宋体" w:cs="宋体"/>
          <w:color w:val="auto"/>
          <w:sz w:val="24"/>
          <w:szCs w:val="24"/>
          <w:highlight w:val="none"/>
        </w:rPr>
      </w:pPr>
      <w:r>
        <w:rPr>
          <w:rFonts w:hint="eastAsia" w:ascii="宋体" w:eastAsia="宋体" w:cs="宋体"/>
          <w:color w:val="auto"/>
          <w:sz w:val="24"/>
          <w:szCs w:val="24"/>
          <w:highlight w:val="none"/>
        </w:rPr>
        <w:br w:type="page"/>
      </w: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2.合同格式及内容</w:t>
      </w:r>
    </w:p>
    <w:p>
      <w:pPr>
        <w:spacing w:before="85" w:line="226" w:lineRule="auto"/>
        <w:ind w:left="0" w:leftChars="0" w:right="0" w:rightChars="0" w:firstLine="0" w:firstLineChars="0"/>
        <w:jc w:val="center"/>
        <w:rPr>
          <w:rFonts w:ascii="宋体" w:eastAsia="宋体" w:cs="宋体"/>
          <w:color w:val="auto"/>
          <w:sz w:val="26"/>
          <w:szCs w:val="26"/>
          <w:highlight w:val="none"/>
        </w:rPr>
      </w:pPr>
      <w:r>
        <w:rPr>
          <w:rFonts w:ascii="宋体" w:eastAsia="宋体" w:cs="宋体"/>
          <w:b/>
          <w:bCs/>
          <w:color w:val="auto"/>
          <w:spacing w:val="10"/>
          <w:sz w:val="24"/>
          <w:szCs w:val="24"/>
          <w:highlight w:val="none"/>
        </w:rPr>
        <w:t>政</w:t>
      </w:r>
      <w:r>
        <w:rPr>
          <w:rFonts w:ascii="宋体" w:eastAsia="宋体" w:cs="宋体"/>
          <w:b/>
          <w:bCs/>
          <w:color w:val="auto"/>
          <w:spacing w:val="9"/>
          <w:sz w:val="24"/>
          <w:szCs w:val="24"/>
          <w:highlight w:val="none"/>
        </w:rPr>
        <w:t>府采购合同</w:t>
      </w:r>
    </w:p>
    <w:p>
      <w:pPr>
        <w:spacing w:before="207" w:line="226" w:lineRule="auto"/>
        <w:ind w:left="0" w:right="0" w:firstLine="0"/>
        <w:jc w:val="center"/>
        <w:rPr>
          <w:rFonts w:hint="eastAsia" w:ascii="宋体" w:eastAsia="宋体" w:cs="宋体"/>
          <w:color w:val="auto"/>
          <w:sz w:val="24"/>
          <w:szCs w:val="24"/>
          <w:highlight w:val="none"/>
        </w:rPr>
      </w:pPr>
      <w:r>
        <w:rPr>
          <w:rFonts w:hint="eastAsia" w:ascii="宋体" w:eastAsia="宋体" w:cs="宋体"/>
          <w:color w:val="auto"/>
          <w:spacing w:val="25"/>
          <w:sz w:val="24"/>
          <w:szCs w:val="24"/>
          <w:highlight w:val="none"/>
        </w:rPr>
        <w:t>(</w:t>
      </w:r>
      <w:r>
        <w:rPr>
          <w:rFonts w:hint="eastAsia" w:ascii="宋体" w:eastAsia="宋体" w:cs="宋体"/>
          <w:color w:val="auto"/>
          <w:spacing w:val="19"/>
          <w:sz w:val="24"/>
          <w:szCs w:val="24"/>
          <w:highlight w:val="none"/>
        </w:rPr>
        <w:t>服务类合同参考文本)</w:t>
      </w:r>
    </w:p>
    <w:p>
      <w:pPr>
        <w:spacing w:before="208" w:line="226" w:lineRule="auto"/>
        <w:ind w:left="6194" w:firstLine="756" w:firstLineChars="300"/>
        <w:rPr>
          <w:rFonts w:hint="eastAsia" w:ascii="宋体" w:eastAsia="宋体" w:cs="宋体"/>
          <w:color w:val="auto"/>
          <w:sz w:val="24"/>
          <w:szCs w:val="24"/>
          <w:highlight w:val="none"/>
        </w:rPr>
      </w:pPr>
      <w:r>
        <w:rPr>
          <w:rFonts w:hint="eastAsia" w:ascii="宋体" w:eastAsia="宋体" w:cs="宋体"/>
          <w:color w:val="auto"/>
          <w:spacing w:val="6"/>
          <w:sz w:val="24"/>
          <w:szCs w:val="24"/>
          <w:highlight w:val="none"/>
        </w:rPr>
        <w:t>合同编号：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甲方：</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(填写采购单位名称)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地址：</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(填写详细地址)</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乙方：</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(填写中标、成交供应商名称)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地址：</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(填写详细地址)</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1"/>
          <w:sz w:val="24"/>
          <w:szCs w:val="24"/>
          <w:highlight w:val="none"/>
        </w:rPr>
        <w:t>甲</w:t>
      </w:r>
      <w:r>
        <w:rPr>
          <w:rFonts w:hint="eastAsia" w:ascii="宋体" w:eastAsia="宋体" w:cs="宋体"/>
          <w:color w:val="auto"/>
          <w:spacing w:val="6"/>
          <w:sz w:val="24"/>
          <w:szCs w:val="24"/>
          <w:highlight w:val="none"/>
        </w:rPr>
        <w:t>乙双方根据《中华人民共和国政府采购法》《中华人民共和国政府</w:t>
      </w:r>
      <w:r>
        <w:rPr>
          <w:rFonts w:hint="eastAsia" w:ascii="宋体" w:eastAsia="宋体" w:cs="宋体"/>
          <w:color w:val="auto"/>
          <w:spacing w:val="14"/>
          <w:sz w:val="24"/>
          <w:szCs w:val="24"/>
          <w:highlight w:val="none"/>
        </w:rPr>
        <w:t>采购法</w:t>
      </w:r>
      <w:r>
        <w:rPr>
          <w:rFonts w:hint="eastAsia" w:ascii="宋体" w:eastAsia="宋体" w:cs="宋体"/>
          <w:color w:val="auto"/>
          <w:spacing w:val="7"/>
          <w:sz w:val="24"/>
          <w:szCs w:val="24"/>
          <w:highlight w:val="none"/>
        </w:rPr>
        <w:t>实施条例》《中华人民共和国民法典》等相关法律法规、规范性文件</w:t>
      </w:r>
      <w:r>
        <w:rPr>
          <w:rFonts w:hint="eastAsia" w:ascii="宋体" w:eastAsia="宋体" w:cs="宋体"/>
          <w:color w:val="auto"/>
          <w:spacing w:val="10"/>
          <w:sz w:val="24"/>
          <w:szCs w:val="24"/>
          <w:highlight w:val="none"/>
        </w:rPr>
        <w:t>以及</w:t>
      </w:r>
      <w:r>
        <w:rPr>
          <w:rFonts w:hint="eastAsia" w:ascii="宋体" w:eastAsia="宋体" w:cs="宋体"/>
          <w:color w:val="auto"/>
          <w:spacing w:val="7"/>
          <w:sz w:val="24"/>
          <w:szCs w:val="24"/>
          <w:highlight w:val="none"/>
          <w:u w:val="single" w:color="auto"/>
        </w:rPr>
        <w:t xml:space="preserve"> </w:t>
      </w:r>
      <w:r>
        <w:rPr>
          <w:rFonts w:hint="eastAsia" w:ascii="宋体" w:eastAsia="宋体" w:cs="宋体"/>
          <w:color w:val="auto"/>
          <w:spacing w:val="5"/>
          <w:sz w:val="24"/>
          <w:szCs w:val="24"/>
          <w:highlight w:val="none"/>
          <w:u w:val="single" w:color="auto"/>
        </w:rPr>
        <w:t xml:space="preserve">              </w:t>
      </w:r>
      <w:r>
        <w:rPr>
          <w:rFonts w:hint="eastAsia" w:ascii="宋体" w:eastAsia="宋体" w:cs="宋体"/>
          <w:color w:val="auto"/>
          <w:spacing w:val="5"/>
          <w:sz w:val="24"/>
          <w:szCs w:val="24"/>
          <w:highlight w:val="none"/>
        </w:rPr>
        <w:t>项目(填写项目名称)</w:t>
      </w:r>
      <w:r>
        <w:rPr>
          <w:rFonts w:hint="eastAsia" w:ascii="宋体" w:eastAsia="宋体" w:cs="宋体"/>
          <w:color w:val="auto"/>
          <w:spacing w:val="5"/>
          <w:sz w:val="24"/>
          <w:szCs w:val="24"/>
          <w:highlight w:val="none"/>
          <w:u w:val="single" w:color="auto"/>
        </w:rPr>
        <w:t xml:space="preserve">           </w:t>
      </w:r>
      <w:r>
        <w:rPr>
          <w:rFonts w:hint="eastAsia" w:ascii="宋体" w:eastAsia="宋体" w:cs="宋体"/>
          <w:color w:val="auto"/>
          <w:spacing w:val="5"/>
          <w:sz w:val="24"/>
          <w:szCs w:val="24"/>
          <w:highlight w:val="none"/>
        </w:rPr>
        <w:t>(填写政府采购项目</w:t>
      </w:r>
      <w:r>
        <w:rPr>
          <w:rFonts w:hint="eastAsia" w:ascii="宋体" w:eastAsia="宋体" w:cs="宋体"/>
          <w:color w:val="auto"/>
          <w:spacing w:val="12"/>
          <w:sz w:val="24"/>
          <w:szCs w:val="24"/>
          <w:highlight w:val="none"/>
        </w:rPr>
        <w:t>编号</w:t>
      </w:r>
      <w:r>
        <w:rPr>
          <w:rFonts w:hint="eastAsia" w:ascii="宋体" w:eastAsia="宋体" w:cs="宋体"/>
          <w:color w:val="auto"/>
          <w:spacing w:val="6"/>
          <w:sz w:val="24"/>
          <w:szCs w:val="24"/>
          <w:highlight w:val="none"/>
        </w:rPr>
        <w:t>)的中标(成交)结果、招标(磋商、谈判)文件、投标(响应)文件</w:t>
      </w:r>
      <w:r>
        <w:rPr>
          <w:rFonts w:hint="eastAsia" w:ascii="宋体" w:eastAsia="宋体" w:cs="宋体"/>
          <w:color w:val="auto"/>
          <w:spacing w:val="16"/>
          <w:sz w:val="24"/>
          <w:szCs w:val="24"/>
          <w:highlight w:val="none"/>
        </w:rPr>
        <w:t>等</w:t>
      </w:r>
      <w:r>
        <w:rPr>
          <w:rFonts w:hint="eastAsia" w:ascii="宋体" w:eastAsia="宋体" w:cs="宋体"/>
          <w:color w:val="auto"/>
          <w:spacing w:val="13"/>
          <w:sz w:val="24"/>
          <w:szCs w:val="24"/>
          <w:highlight w:val="none"/>
        </w:rPr>
        <w:t>文</w:t>
      </w:r>
      <w:r>
        <w:rPr>
          <w:rFonts w:hint="eastAsia" w:ascii="宋体" w:eastAsia="宋体" w:cs="宋体"/>
          <w:color w:val="auto"/>
          <w:spacing w:val="8"/>
          <w:sz w:val="24"/>
          <w:szCs w:val="24"/>
          <w:highlight w:val="none"/>
        </w:rPr>
        <w:t>件的相关内容，经平等自愿协商一致，就如下合同条款达成一致意见。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7"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9"/>
          <w:sz w:val="24"/>
          <w:szCs w:val="24"/>
          <w:highlight w:val="none"/>
        </w:rPr>
        <w:t>一、乙方向甲方提供的服务内</w:t>
      </w:r>
      <w:r>
        <w:rPr>
          <w:rFonts w:hint="eastAsia" w:ascii="宋体" w:eastAsia="宋体" w:cs="宋体"/>
          <w:b/>
          <w:bCs/>
          <w:color w:val="auto"/>
          <w:spacing w:val="8"/>
          <w:sz w:val="24"/>
          <w:szCs w:val="24"/>
          <w:highlight w:val="none"/>
        </w:rPr>
        <w:t>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6"/>
          <w:sz w:val="24"/>
          <w:szCs w:val="24"/>
          <w:highlight w:val="none"/>
        </w:rPr>
        <w:t>(一)根据招标(磋商、谈判)文件及中标(成交)结果公告，乙方</w:t>
      </w:r>
      <w:r>
        <w:rPr>
          <w:rFonts w:hint="eastAsia" w:ascii="宋体" w:eastAsia="宋体" w:cs="宋体"/>
          <w:color w:val="auto"/>
          <w:spacing w:val="3"/>
          <w:sz w:val="24"/>
          <w:szCs w:val="24"/>
          <w:highlight w:val="none"/>
        </w:rPr>
        <w:t>向</w:t>
      </w:r>
      <w:r>
        <w:rPr>
          <w:rFonts w:hint="eastAsia" w:ascii="宋体" w:eastAsia="宋体" w:cs="宋体"/>
          <w:color w:val="auto"/>
          <w:spacing w:val="12"/>
          <w:sz w:val="24"/>
          <w:szCs w:val="24"/>
          <w:highlight w:val="none"/>
        </w:rPr>
        <w:t>甲</w:t>
      </w:r>
      <w:r>
        <w:rPr>
          <w:rFonts w:hint="eastAsia" w:ascii="宋体" w:eastAsia="宋体" w:cs="宋体"/>
          <w:color w:val="auto"/>
          <w:spacing w:val="6"/>
          <w:sz w:val="24"/>
          <w:szCs w:val="24"/>
          <w:highlight w:val="none"/>
        </w:rPr>
        <w:t>方提供的服务、货物(如有)内容如下：</w:t>
      </w:r>
      <w:r>
        <w:rPr>
          <w:rFonts w:hint="eastAsia" w:ascii="宋体" w:eastAsia="宋体" w:cs="宋体"/>
          <w:color w:val="auto"/>
          <w:sz w:val="24"/>
          <w:szCs w:val="24"/>
          <w:highlight w:val="none"/>
          <w:u w:val="single" w:color="auto"/>
        </w:rPr>
        <w:t xml:space="preserve">                      </w:t>
      </w:r>
      <w:r>
        <w:rPr>
          <w:rFonts w:hint="eastAsia" w:ascii="宋体" w:eastAsia="宋体" w:cs="宋体"/>
          <w:color w:val="auto"/>
          <w:spacing w:val="4"/>
          <w:sz w:val="24"/>
          <w:szCs w:val="24"/>
          <w:highlight w:val="none"/>
          <w:u w:val="single" w:color="auto"/>
        </w:rPr>
        <w:t xml:space="preserve"> </w:t>
      </w:r>
      <w:r>
        <w:rPr>
          <w:rFonts w:hint="eastAsia" w:ascii="宋体" w:eastAsia="宋体" w:cs="宋体"/>
          <w:color w:val="auto"/>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1"/>
          <w:sz w:val="24"/>
          <w:szCs w:val="24"/>
          <w:highlight w:val="none"/>
        </w:rPr>
        <w:t>(二)服务项目名称、服务具体内容、服务方式、服务要求、服务成</w:t>
      </w:r>
      <w:r>
        <w:rPr>
          <w:rFonts w:hint="eastAsia" w:ascii="宋体" w:eastAsia="宋体" w:cs="宋体"/>
          <w:color w:val="auto"/>
          <w:spacing w:val="6"/>
          <w:sz w:val="24"/>
          <w:szCs w:val="24"/>
          <w:highlight w:val="none"/>
        </w:rPr>
        <w:t>果</w:t>
      </w:r>
      <w:r>
        <w:rPr>
          <w:rFonts w:hint="eastAsia" w:ascii="宋体" w:eastAsia="宋体" w:cs="宋体"/>
          <w:color w:val="auto"/>
          <w:spacing w:val="12"/>
          <w:sz w:val="24"/>
          <w:szCs w:val="24"/>
          <w:highlight w:val="none"/>
        </w:rPr>
        <w:t>及</w:t>
      </w:r>
      <w:r>
        <w:rPr>
          <w:rFonts w:hint="eastAsia" w:ascii="宋体" w:eastAsia="宋体" w:cs="宋体"/>
          <w:color w:val="auto"/>
          <w:spacing w:val="9"/>
          <w:sz w:val="24"/>
          <w:szCs w:val="24"/>
          <w:highlight w:val="none"/>
        </w:rPr>
        <w:t>与之相关的货物等详细内容，见合同附件—服务清单。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7"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9"/>
          <w:position w:val="2"/>
          <w:sz w:val="24"/>
          <w:szCs w:val="24"/>
          <w:highlight w:val="none"/>
        </w:rPr>
        <w:t>二、乙方服务成果的交付时间、地</w:t>
      </w:r>
      <w:r>
        <w:rPr>
          <w:rFonts w:hint="eastAsia" w:ascii="宋体" w:eastAsia="宋体" w:cs="宋体"/>
          <w:b/>
          <w:bCs/>
          <w:color w:val="auto"/>
          <w:spacing w:val="7"/>
          <w:position w:val="2"/>
          <w:sz w:val="24"/>
          <w:szCs w:val="24"/>
          <w:highlight w:val="none"/>
        </w:rPr>
        <w:t>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6"/>
          <w:sz w:val="24"/>
          <w:szCs w:val="24"/>
          <w:highlight w:val="none"/>
        </w:rPr>
        <w:t>(一)服务期限：</w:t>
      </w:r>
      <w:r>
        <w:rPr>
          <w:rFonts w:hint="eastAsia" w:ascii="宋体" w:eastAsia="宋体" w:cs="宋体"/>
          <w:color w:val="auto"/>
          <w:spacing w:val="6"/>
          <w:sz w:val="24"/>
          <w:szCs w:val="24"/>
          <w:highlight w:val="none"/>
          <w:u w:val="single"/>
        </w:rPr>
        <w:t xml:space="preserve">                    </w:t>
      </w:r>
      <w:r>
        <w:rPr>
          <w:rFonts w:hint="eastAsia" w:ascii="宋体" w:eastAsia="宋体" w:cs="宋体"/>
          <w:color w:val="auto"/>
          <w:spacing w:val="6"/>
          <w:sz w:val="24"/>
          <w:szCs w:val="24"/>
          <w:highlight w:val="none"/>
          <w:u w:val="single"/>
          <w:lang w:val="en-US" w:eastAsia="zh-CN"/>
        </w:rPr>
        <w:t xml:space="preserve">                      </w:t>
      </w:r>
      <w:r>
        <w:rPr>
          <w:rFonts w:hint="eastAsia" w:ascii="宋体" w:eastAsia="宋体" w:cs="宋体"/>
          <w:color w:val="auto"/>
          <w:spacing w:val="6"/>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6"/>
          <w:sz w:val="24"/>
          <w:szCs w:val="24"/>
          <w:highlight w:val="none"/>
        </w:rPr>
        <w:t>(二)服务成果的交付时间和交付要求(如有)：</w:t>
      </w:r>
      <w:r>
        <w:rPr>
          <w:rFonts w:hint="eastAsia" w:ascii="宋体" w:eastAsia="宋体" w:cs="宋体"/>
          <w:color w:val="auto"/>
          <w:spacing w:val="6"/>
          <w:sz w:val="24"/>
          <w:szCs w:val="24"/>
          <w:highlight w:val="none"/>
          <w:u w:val="single"/>
        </w:rPr>
        <w:t xml:space="preserve">        </w:t>
      </w:r>
      <w:r>
        <w:rPr>
          <w:rFonts w:hint="eastAsia" w:ascii="宋体" w:eastAsia="宋体" w:cs="宋体"/>
          <w:color w:val="auto"/>
          <w:spacing w:val="6"/>
          <w:sz w:val="24"/>
          <w:szCs w:val="24"/>
          <w:highlight w:val="none"/>
          <w:u w:val="single"/>
          <w:lang w:val="en-US" w:eastAsia="zh-CN"/>
        </w:rPr>
        <w:t xml:space="preserve">      </w:t>
      </w:r>
      <w:r>
        <w:rPr>
          <w:rFonts w:hint="eastAsia" w:ascii="宋体" w:eastAsia="宋体" w:cs="宋体"/>
          <w:color w:val="auto"/>
          <w:spacing w:val="6"/>
          <w:sz w:val="24"/>
          <w:szCs w:val="24"/>
          <w:highlight w:val="none"/>
          <w:u w:val="single"/>
        </w:rPr>
        <w:t xml:space="preserve">   </w:t>
      </w:r>
      <w:r>
        <w:rPr>
          <w:rFonts w:hint="eastAsia" w:ascii="宋体" w:eastAsia="宋体" w:cs="宋体"/>
          <w:color w:val="auto"/>
          <w:spacing w:val="6"/>
          <w:sz w:val="24"/>
          <w:szCs w:val="24"/>
          <w:highlight w:val="none"/>
          <w:u w:val="single"/>
          <w:lang w:val="en-US" w:eastAsia="zh-CN"/>
        </w:rPr>
        <w:t xml:space="preserve"> </w:t>
      </w:r>
      <w:r>
        <w:rPr>
          <w:rFonts w:hint="eastAsia" w:ascii="宋体" w:eastAsia="宋体" w:cs="宋体"/>
          <w:color w:val="auto"/>
          <w:spacing w:val="6"/>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6"/>
          <w:sz w:val="24"/>
          <w:szCs w:val="24"/>
          <w:highlight w:val="none"/>
        </w:rPr>
        <w:t>(三)服务地点：</w:t>
      </w:r>
      <w:r>
        <w:rPr>
          <w:rFonts w:hint="eastAsia" w:ascii="宋体" w:eastAsia="宋体" w:cs="宋体"/>
          <w:color w:val="auto"/>
          <w:spacing w:val="6"/>
          <w:sz w:val="24"/>
          <w:szCs w:val="24"/>
          <w:highlight w:val="none"/>
          <w:u w:val="single"/>
        </w:rPr>
        <w:t xml:space="preserve">                       </w:t>
      </w:r>
      <w:r>
        <w:rPr>
          <w:rFonts w:hint="eastAsia" w:ascii="宋体" w:eastAsia="宋体" w:cs="宋体"/>
          <w:color w:val="auto"/>
          <w:spacing w:val="6"/>
          <w:sz w:val="24"/>
          <w:szCs w:val="24"/>
          <w:highlight w:val="none"/>
          <w:u w:val="single"/>
          <w:lang w:val="en-US" w:eastAsia="zh-CN"/>
        </w:rPr>
        <w:t xml:space="preserve">      </w:t>
      </w:r>
      <w:r>
        <w:rPr>
          <w:rFonts w:hint="eastAsia" w:ascii="宋体" w:eastAsia="宋体" w:cs="宋体"/>
          <w:color w:val="auto"/>
          <w:spacing w:val="6"/>
          <w:sz w:val="24"/>
          <w:szCs w:val="24"/>
          <w:highlight w:val="none"/>
          <w:u w:val="single"/>
        </w:rPr>
        <w:t xml:space="preserve">     </w:t>
      </w:r>
      <w:r>
        <w:rPr>
          <w:rFonts w:hint="eastAsia" w:ascii="宋体" w:eastAsia="宋体" w:cs="宋体"/>
          <w:color w:val="auto"/>
          <w:spacing w:val="6"/>
          <w:sz w:val="24"/>
          <w:szCs w:val="24"/>
          <w:highlight w:val="none"/>
        </w:rPr>
        <w:t>(填写详细地址)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6"/>
          <w:sz w:val="24"/>
          <w:szCs w:val="24"/>
          <w:highlight w:val="none"/>
        </w:rPr>
        <w:t>(四)乙方代表及联系电话：</w:t>
      </w:r>
      <w:r>
        <w:rPr>
          <w:rFonts w:hint="eastAsia" w:ascii="宋体" w:eastAsia="宋体" w:cs="宋体"/>
          <w:color w:val="auto"/>
          <w:spacing w:val="6"/>
          <w:sz w:val="24"/>
          <w:szCs w:val="24"/>
          <w:highlight w:val="none"/>
          <w:u w:val="single"/>
        </w:rPr>
        <w:t xml:space="preserve">                   </w:t>
      </w:r>
      <w:r>
        <w:rPr>
          <w:rFonts w:hint="eastAsia" w:ascii="宋体" w:eastAsia="宋体" w:cs="宋体"/>
          <w:color w:val="auto"/>
          <w:spacing w:val="6"/>
          <w:sz w:val="24"/>
          <w:szCs w:val="24"/>
          <w:highlight w:val="none"/>
        </w:rPr>
        <w:t>(填写姓名和联系电话)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8"/>
          <w:sz w:val="24"/>
          <w:szCs w:val="24"/>
          <w:highlight w:val="none"/>
        </w:rPr>
        <w:t>(五)甲方代</w:t>
      </w:r>
      <w:r>
        <w:rPr>
          <w:rFonts w:hint="eastAsia" w:ascii="宋体" w:eastAsia="宋体" w:cs="宋体"/>
          <w:color w:val="auto"/>
          <w:spacing w:val="7"/>
          <w:sz w:val="24"/>
          <w:szCs w:val="24"/>
          <w:highlight w:val="none"/>
        </w:rPr>
        <w:t>表</w:t>
      </w:r>
      <w:r>
        <w:rPr>
          <w:rFonts w:hint="eastAsia" w:ascii="宋体" w:eastAsia="宋体" w:cs="宋体"/>
          <w:color w:val="auto"/>
          <w:spacing w:val="4"/>
          <w:sz w:val="24"/>
          <w:szCs w:val="24"/>
          <w:highlight w:val="none"/>
        </w:rPr>
        <w:t>及联系电话：</w:t>
      </w:r>
      <w:r>
        <w:rPr>
          <w:rFonts w:hint="eastAsia" w:ascii="宋体" w:eastAsia="宋体" w:cs="宋体"/>
          <w:color w:val="auto"/>
          <w:spacing w:val="4"/>
          <w:sz w:val="24"/>
          <w:szCs w:val="24"/>
          <w:highlight w:val="none"/>
          <w:u w:val="single" w:color="auto"/>
        </w:rPr>
        <w:t xml:space="preserve">                   </w:t>
      </w:r>
      <w:r>
        <w:rPr>
          <w:rFonts w:hint="eastAsia" w:ascii="宋体" w:eastAsia="宋体" w:cs="宋体"/>
          <w:color w:val="auto"/>
          <w:spacing w:val="4"/>
          <w:sz w:val="24"/>
          <w:szCs w:val="24"/>
          <w:highlight w:val="none"/>
        </w:rPr>
        <w:t>(填写姓名</w:t>
      </w:r>
      <w:r>
        <w:rPr>
          <w:rFonts w:hint="eastAsia" w:ascii="宋体" w:eastAsia="宋体" w:cs="宋体"/>
          <w:color w:val="auto"/>
          <w:spacing w:val="7"/>
          <w:sz w:val="24"/>
          <w:szCs w:val="24"/>
          <w:highlight w:val="none"/>
        </w:rPr>
        <w:t>和</w:t>
      </w:r>
      <w:r>
        <w:rPr>
          <w:rFonts w:hint="eastAsia" w:ascii="宋体" w:eastAsia="宋体" w:cs="宋体"/>
          <w:color w:val="auto"/>
          <w:spacing w:val="6"/>
          <w:sz w:val="24"/>
          <w:szCs w:val="24"/>
          <w:highlight w:val="none"/>
        </w:rPr>
        <w:t>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3"/>
          <w:sz w:val="24"/>
          <w:szCs w:val="24"/>
          <w:highlight w:val="none"/>
        </w:rPr>
        <w:t>注</w:t>
      </w:r>
      <w:r>
        <w:rPr>
          <w:rFonts w:hint="eastAsia" w:ascii="宋体" w:eastAsia="宋体" w:cs="宋体"/>
          <w:color w:val="auto"/>
          <w:spacing w:val="2"/>
          <w:sz w:val="24"/>
          <w:szCs w:val="24"/>
          <w:highlight w:val="none"/>
        </w:rPr>
        <w:t>：服务成果分阶段交付的，应分别列明各阶段的交付时间、交付内容。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5"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16"/>
          <w:sz w:val="24"/>
          <w:szCs w:val="24"/>
          <w:highlight w:val="none"/>
        </w:rPr>
        <w:t>三</w:t>
      </w:r>
      <w:r>
        <w:rPr>
          <w:rFonts w:hint="eastAsia" w:ascii="宋体" w:eastAsia="宋体" w:cs="宋体"/>
          <w:b/>
          <w:bCs/>
          <w:color w:val="auto"/>
          <w:spacing w:val="9"/>
          <w:sz w:val="24"/>
          <w:szCs w:val="24"/>
          <w:highlight w:val="none"/>
        </w:rPr>
        <w:t>、</w:t>
      </w:r>
      <w:r>
        <w:rPr>
          <w:rFonts w:hint="eastAsia" w:ascii="宋体" w:eastAsia="宋体" w:cs="宋体"/>
          <w:b/>
          <w:bCs/>
          <w:color w:val="auto"/>
          <w:spacing w:val="8"/>
          <w:sz w:val="24"/>
          <w:szCs w:val="24"/>
          <w:highlight w:val="none"/>
        </w:rPr>
        <w:t>乙方提供服务成果的质量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12"/>
          <w:sz w:val="24"/>
          <w:szCs w:val="24"/>
          <w:highlight w:val="none"/>
        </w:rPr>
        <w:t>(</w:t>
      </w:r>
      <w:r>
        <w:rPr>
          <w:rFonts w:hint="eastAsia" w:ascii="宋体" w:eastAsia="宋体" w:cs="宋体"/>
          <w:color w:val="auto"/>
          <w:spacing w:val="9"/>
          <w:sz w:val="24"/>
          <w:szCs w:val="24"/>
          <w:highlight w:val="none"/>
        </w:rPr>
        <w:t>一</w:t>
      </w:r>
      <w:r>
        <w:rPr>
          <w:rFonts w:hint="eastAsia" w:ascii="宋体" w:eastAsia="宋体" w:cs="宋体"/>
          <w:color w:val="auto"/>
          <w:spacing w:val="6"/>
          <w:sz w:val="24"/>
          <w:szCs w:val="24"/>
          <w:highlight w:val="none"/>
        </w:rPr>
        <w:t>)乙方提供的服务应同时满足：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2"/>
          <w:sz w:val="24"/>
          <w:szCs w:val="24"/>
          <w:highlight w:val="none"/>
        </w:rPr>
      </w:pPr>
      <w:r>
        <w:rPr>
          <w:rFonts w:hint="eastAsia" w:ascii="宋体" w:eastAsia="宋体" w:cs="宋体"/>
          <w:color w:val="auto"/>
          <w:spacing w:val="6"/>
          <w:sz w:val="24"/>
          <w:szCs w:val="24"/>
          <w:highlight w:val="none"/>
        </w:rPr>
        <w:t>1.符合国家法律法规和规范性文件</w:t>
      </w:r>
      <w:r>
        <w:rPr>
          <w:rFonts w:hint="eastAsia" w:ascii="宋体" w:eastAsia="宋体" w:cs="宋体"/>
          <w:color w:val="auto"/>
          <w:spacing w:val="2"/>
          <w:sz w:val="24"/>
          <w:szCs w:val="24"/>
          <w:highlight w:val="none"/>
        </w:rPr>
        <w:t>对服务质量的要求；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eastAsia="宋体" w:cs="宋体"/>
          <w:color w:val="auto"/>
          <w:spacing w:val="1"/>
          <w:sz w:val="24"/>
          <w:szCs w:val="24"/>
          <w:highlight w:val="none"/>
        </w:rPr>
      </w:pPr>
      <w:r>
        <w:rPr>
          <w:rFonts w:hint="eastAsia" w:ascii="宋体" w:eastAsia="宋体" w:cs="宋体"/>
          <w:color w:val="auto"/>
          <w:spacing w:val="2"/>
          <w:sz w:val="24"/>
          <w:szCs w:val="24"/>
          <w:highlight w:val="none"/>
        </w:rPr>
        <w:t>2.符合甲方招标(磋商、谈判)</w:t>
      </w:r>
      <w:r>
        <w:rPr>
          <w:rFonts w:hint="eastAsia" w:ascii="宋体" w:eastAsia="宋体" w:cs="宋体"/>
          <w:color w:val="auto"/>
          <w:spacing w:val="1"/>
          <w:sz w:val="24"/>
          <w:szCs w:val="24"/>
          <w:highlight w:val="none"/>
        </w:rPr>
        <w:t>文件对服务的质量要求；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7"/>
          <w:sz w:val="24"/>
          <w:szCs w:val="24"/>
          <w:highlight w:val="none"/>
        </w:rPr>
        <w:t>3.符合乙方在投标(响应)文件中或磋商、谈判过程中对服务质量作出的书</w:t>
      </w:r>
      <w:r>
        <w:rPr>
          <w:rFonts w:hint="eastAsia" w:ascii="宋体" w:eastAsia="宋体" w:cs="宋体"/>
          <w:color w:val="auto"/>
          <w:spacing w:val="18"/>
          <w:sz w:val="24"/>
          <w:szCs w:val="24"/>
          <w:highlight w:val="none"/>
        </w:rPr>
        <w:t>面</w:t>
      </w:r>
      <w:r>
        <w:rPr>
          <w:rFonts w:hint="eastAsia" w:ascii="宋体" w:eastAsia="宋体" w:cs="宋体"/>
          <w:color w:val="auto"/>
          <w:spacing w:val="11"/>
          <w:sz w:val="24"/>
          <w:szCs w:val="24"/>
          <w:highlight w:val="none"/>
        </w:rPr>
        <w:t>承</w:t>
      </w:r>
      <w:r>
        <w:rPr>
          <w:rFonts w:hint="eastAsia" w:ascii="宋体" w:eastAsia="宋体" w:cs="宋体"/>
          <w:color w:val="auto"/>
          <w:spacing w:val="9"/>
          <w:sz w:val="24"/>
          <w:szCs w:val="24"/>
          <w:highlight w:val="none"/>
        </w:rPr>
        <w:t>诺、声明或保证。上述质量要求作为甲方对乙方服务质量的验收依据。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20"/>
          <w:sz w:val="24"/>
          <w:szCs w:val="24"/>
          <w:highlight w:val="none"/>
        </w:rPr>
        <w:t>(</w:t>
      </w:r>
      <w:r>
        <w:rPr>
          <w:rFonts w:hint="eastAsia" w:ascii="宋体" w:eastAsia="宋体" w:cs="宋体"/>
          <w:color w:val="auto"/>
          <w:spacing w:val="19"/>
          <w:sz w:val="24"/>
          <w:szCs w:val="24"/>
          <w:highlight w:val="none"/>
        </w:rPr>
        <w:t>二</w:t>
      </w:r>
      <w:r>
        <w:rPr>
          <w:rFonts w:hint="eastAsia" w:ascii="宋体" w:eastAsia="宋体" w:cs="宋体"/>
          <w:color w:val="auto"/>
          <w:spacing w:val="10"/>
          <w:sz w:val="24"/>
          <w:szCs w:val="24"/>
          <w:highlight w:val="none"/>
        </w:rPr>
        <w:t>)乙方应根据国家法律法规和规范性文件的规定、招标(磋商、谈</w:t>
      </w:r>
      <w:r>
        <w:rPr>
          <w:rFonts w:hint="eastAsia" w:ascii="宋体" w:eastAsia="宋体" w:cs="宋体"/>
          <w:color w:val="auto"/>
          <w:spacing w:val="7"/>
          <w:sz w:val="24"/>
          <w:szCs w:val="24"/>
          <w:highlight w:val="none"/>
        </w:rPr>
        <w:t>判)文件的相关要求、投标(响应)文件及乙方承诺、声明或保证，向甲</w:t>
      </w:r>
      <w:r>
        <w:rPr>
          <w:rFonts w:hint="eastAsia" w:ascii="宋体" w:eastAsia="宋体" w:cs="宋体"/>
          <w:color w:val="auto"/>
          <w:spacing w:val="6"/>
          <w:sz w:val="24"/>
          <w:szCs w:val="24"/>
          <w:highlight w:val="none"/>
        </w:rPr>
        <w:t>方</w:t>
      </w:r>
      <w:r>
        <w:rPr>
          <w:rFonts w:hint="eastAsia" w:ascii="宋体" w:eastAsia="宋体" w:cs="宋体"/>
          <w:color w:val="auto"/>
          <w:spacing w:val="14"/>
          <w:sz w:val="24"/>
          <w:szCs w:val="24"/>
          <w:highlight w:val="none"/>
        </w:rPr>
        <w:t>提</w:t>
      </w:r>
      <w:r>
        <w:rPr>
          <w:rFonts w:hint="eastAsia" w:ascii="宋体" w:eastAsia="宋体" w:cs="宋体"/>
          <w:color w:val="auto"/>
          <w:spacing w:val="8"/>
          <w:sz w:val="24"/>
          <w:szCs w:val="24"/>
          <w:highlight w:val="none"/>
        </w:rPr>
        <w:t>供相应的服务质量证明文件。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5"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11"/>
          <w:sz w:val="24"/>
          <w:szCs w:val="24"/>
          <w:highlight w:val="none"/>
        </w:rPr>
        <w:t>四</w:t>
      </w:r>
      <w:r>
        <w:rPr>
          <w:rFonts w:hint="eastAsia" w:ascii="宋体" w:eastAsia="宋体" w:cs="宋体"/>
          <w:b/>
          <w:bCs/>
          <w:color w:val="auto"/>
          <w:spacing w:val="8"/>
          <w:sz w:val="24"/>
          <w:szCs w:val="24"/>
          <w:highlight w:val="none"/>
        </w:rPr>
        <w:t>、乙方服务成果的交付方式及载体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9"/>
          <w:sz w:val="24"/>
          <w:szCs w:val="24"/>
          <w:highlight w:val="none"/>
        </w:rPr>
        <w:t>乙方交付服务成果方式及载体应符合国家法律法规和规范性文件的</w:t>
      </w:r>
      <w:r>
        <w:rPr>
          <w:rFonts w:hint="eastAsia" w:ascii="宋体" w:eastAsia="宋体" w:cs="宋体"/>
          <w:color w:val="auto"/>
          <w:spacing w:val="4"/>
          <w:sz w:val="24"/>
          <w:szCs w:val="24"/>
          <w:highlight w:val="none"/>
        </w:rPr>
        <w:t>要</w:t>
      </w:r>
      <w:r>
        <w:rPr>
          <w:rFonts w:hint="eastAsia" w:ascii="宋体" w:eastAsia="宋体" w:cs="宋体"/>
          <w:color w:val="auto"/>
          <w:spacing w:val="12"/>
          <w:sz w:val="24"/>
          <w:szCs w:val="24"/>
          <w:highlight w:val="none"/>
        </w:rPr>
        <w:t>求，并符</w:t>
      </w:r>
      <w:r>
        <w:rPr>
          <w:rFonts w:hint="eastAsia" w:ascii="宋体" w:eastAsia="宋体" w:cs="宋体"/>
          <w:color w:val="auto"/>
          <w:spacing w:val="9"/>
          <w:sz w:val="24"/>
          <w:szCs w:val="24"/>
          <w:highlight w:val="none"/>
        </w:rPr>
        <w:t>合</w:t>
      </w:r>
      <w:r>
        <w:rPr>
          <w:rFonts w:hint="eastAsia" w:ascii="宋体" w:eastAsia="宋体" w:cs="宋体"/>
          <w:color w:val="auto"/>
          <w:spacing w:val="6"/>
          <w:sz w:val="24"/>
          <w:szCs w:val="24"/>
          <w:highlight w:val="none"/>
        </w:rPr>
        <w:t>甲方招标(磋商、谈判)文件的要求、乙方在投标(响应)文件</w:t>
      </w:r>
      <w:r>
        <w:rPr>
          <w:rFonts w:hint="eastAsia" w:ascii="宋体" w:eastAsia="宋体" w:cs="宋体"/>
          <w:color w:val="auto"/>
          <w:spacing w:val="14"/>
          <w:sz w:val="24"/>
          <w:szCs w:val="24"/>
          <w:highlight w:val="none"/>
        </w:rPr>
        <w:t>中</w:t>
      </w:r>
      <w:r>
        <w:rPr>
          <w:rFonts w:hint="eastAsia" w:ascii="宋体" w:eastAsia="宋体" w:cs="宋体"/>
          <w:color w:val="auto"/>
          <w:spacing w:val="8"/>
          <w:sz w:val="24"/>
          <w:szCs w:val="24"/>
          <w:highlight w:val="none"/>
        </w:rPr>
        <w:t>对</w:t>
      </w:r>
      <w:r>
        <w:rPr>
          <w:rFonts w:hint="eastAsia" w:ascii="宋体" w:eastAsia="宋体" w:cs="宋体"/>
          <w:color w:val="auto"/>
          <w:spacing w:val="7"/>
          <w:sz w:val="24"/>
          <w:szCs w:val="24"/>
          <w:highlight w:val="none"/>
        </w:rPr>
        <w:t>服务成果交付方式及载体作出的承诺。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5"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11"/>
          <w:sz w:val="24"/>
          <w:szCs w:val="24"/>
          <w:highlight w:val="none"/>
        </w:rPr>
        <w:t>五</w:t>
      </w:r>
      <w:r>
        <w:rPr>
          <w:rFonts w:hint="eastAsia" w:ascii="宋体" w:eastAsia="宋体" w:cs="宋体"/>
          <w:b/>
          <w:bCs/>
          <w:color w:val="auto"/>
          <w:spacing w:val="8"/>
          <w:sz w:val="24"/>
          <w:szCs w:val="24"/>
          <w:highlight w:val="none"/>
        </w:rPr>
        <w:t>、甲方对乙方服务的监督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2"/>
          <w:sz w:val="24"/>
          <w:szCs w:val="24"/>
          <w:highlight w:val="none"/>
        </w:rPr>
        <w:t>甲</w:t>
      </w:r>
      <w:r>
        <w:rPr>
          <w:rFonts w:hint="eastAsia" w:ascii="宋体" w:eastAsia="宋体" w:cs="宋体"/>
          <w:color w:val="auto"/>
          <w:spacing w:val="10"/>
          <w:sz w:val="24"/>
          <w:szCs w:val="24"/>
          <w:highlight w:val="none"/>
        </w:rPr>
        <w:t>方</w:t>
      </w:r>
      <w:r>
        <w:rPr>
          <w:rFonts w:hint="eastAsia" w:ascii="宋体" w:eastAsia="宋体" w:cs="宋体"/>
          <w:color w:val="auto"/>
          <w:spacing w:val="6"/>
          <w:sz w:val="24"/>
          <w:szCs w:val="24"/>
          <w:highlight w:val="none"/>
        </w:rPr>
        <w:t>对乙方提供的服务有权进行监督，当乙方服务质量、服务内容不符</w:t>
      </w:r>
      <w:r>
        <w:rPr>
          <w:rFonts w:hint="eastAsia" w:ascii="宋体" w:eastAsia="宋体" w:cs="宋体"/>
          <w:color w:val="auto"/>
          <w:spacing w:val="14"/>
          <w:sz w:val="24"/>
          <w:szCs w:val="24"/>
          <w:highlight w:val="none"/>
        </w:rPr>
        <w:t>合约</w:t>
      </w:r>
      <w:r>
        <w:rPr>
          <w:rFonts w:hint="eastAsia" w:ascii="宋体" w:eastAsia="宋体" w:cs="宋体"/>
          <w:color w:val="auto"/>
          <w:spacing w:val="12"/>
          <w:sz w:val="24"/>
          <w:szCs w:val="24"/>
          <w:highlight w:val="none"/>
        </w:rPr>
        <w:t>定</w:t>
      </w:r>
      <w:r>
        <w:rPr>
          <w:rFonts w:hint="eastAsia" w:ascii="宋体" w:eastAsia="宋体" w:cs="宋体"/>
          <w:color w:val="auto"/>
          <w:spacing w:val="7"/>
          <w:sz w:val="24"/>
          <w:szCs w:val="24"/>
          <w:highlight w:val="none"/>
        </w:rPr>
        <w:t>时，甲方有权要求乙方及时进行整改，对乙方拒不改正或整改不到位的</w:t>
      </w:r>
      <w:r>
        <w:rPr>
          <w:rFonts w:hint="eastAsia" w:ascii="宋体" w:eastAsia="宋体" w:cs="宋体"/>
          <w:color w:val="auto"/>
          <w:spacing w:val="5"/>
          <w:sz w:val="24"/>
          <w:szCs w:val="24"/>
          <w:highlight w:val="none"/>
        </w:rPr>
        <w:t>，甲方有权随时解除合同，并根据具体情况扣除部分或全部服务费用。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firstLineChars="200"/>
        <w:textAlignment w:val="baseline"/>
        <w:rPr>
          <w:rFonts w:hint="eastAsia" w:ascii="宋体" w:eastAsia="宋体" w:cs="宋体"/>
          <w:b/>
          <w:bCs/>
          <w:color w:val="auto"/>
          <w:sz w:val="24"/>
          <w:szCs w:val="24"/>
          <w:highlight w:val="none"/>
        </w:rPr>
      </w:pPr>
      <w:r>
        <w:rPr>
          <w:rFonts w:hint="eastAsia" w:ascii="宋体" w:eastAsia="宋体" w:cs="宋体"/>
          <w:b/>
          <w:bCs/>
          <w:color w:val="auto"/>
          <w:spacing w:val="8"/>
          <w:sz w:val="24"/>
          <w:szCs w:val="24"/>
          <w:highlight w:val="none"/>
        </w:rPr>
        <w:t>六</w:t>
      </w:r>
      <w:r>
        <w:rPr>
          <w:rFonts w:hint="eastAsia" w:ascii="宋体" w:eastAsia="宋体" w:cs="宋体"/>
          <w:b/>
          <w:bCs/>
          <w:color w:val="auto"/>
          <w:spacing w:val="6"/>
          <w:sz w:val="24"/>
          <w:szCs w:val="24"/>
          <w:highlight w:val="none"/>
        </w:rPr>
        <w:t>、合同金额</w:t>
      </w:r>
    </w:p>
    <w:p>
      <w:pPr>
        <w:keepNext w:val="0"/>
        <w:keepLines w:val="0"/>
        <w:pageBreakBefore w:val="0"/>
        <w:widowControl/>
        <w:tabs>
          <w:tab w:val="left" w:pos="2847"/>
        </w:tabs>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8"/>
          <w:sz w:val="24"/>
          <w:szCs w:val="24"/>
          <w:highlight w:val="none"/>
        </w:rPr>
        <w:t>在</w:t>
      </w:r>
      <w:r>
        <w:rPr>
          <w:rFonts w:hint="eastAsia" w:ascii="宋体" w:eastAsia="宋体" w:cs="宋体"/>
          <w:color w:val="auto"/>
          <w:spacing w:val="16"/>
          <w:sz w:val="24"/>
          <w:szCs w:val="24"/>
          <w:highlight w:val="none"/>
        </w:rPr>
        <w:t>乙</w:t>
      </w:r>
      <w:r>
        <w:rPr>
          <w:rFonts w:hint="eastAsia" w:ascii="宋体" w:eastAsia="宋体" w:cs="宋体"/>
          <w:color w:val="auto"/>
          <w:spacing w:val="9"/>
          <w:sz w:val="24"/>
          <w:szCs w:val="24"/>
          <w:highlight w:val="none"/>
        </w:rPr>
        <w:t>方提供完全符合合同要求的服务的前提下，本合同总金额为</w:t>
      </w:r>
      <w:r>
        <w:rPr>
          <w:rFonts w:hint="eastAsia" w:ascii="宋体" w:eastAsia="宋体" w:cs="宋体"/>
          <w:color w:val="auto"/>
          <w:spacing w:val="9"/>
          <w:sz w:val="24"/>
          <w:szCs w:val="24"/>
          <w:highlight w:val="none"/>
          <w:u w:val="single" w:color="auto"/>
          <w:lang w:val="en-US" w:eastAsia="zh-CN"/>
        </w:rPr>
        <w:t xml:space="preserve">         </w:t>
      </w:r>
      <w:r>
        <w:rPr>
          <w:rFonts w:hint="eastAsia" w:ascii="宋体" w:eastAsia="宋体" w:cs="宋体"/>
          <w:color w:val="auto"/>
          <w:spacing w:val="2"/>
          <w:sz w:val="24"/>
          <w:szCs w:val="24"/>
          <w:highlight w:val="none"/>
        </w:rPr>
        <w:t>元</w:t>
      </w:r>
      <w:r>
        <w:rPr>
          <w:rFonts w:hint="eastAsia" w:ascii="宋体" w:eastAsia="宋体" w:cs="宋体"/>
          <w:color w:val="auto"/>
          <w:spacing w:val="1"/>
          <w:sz w:val="24"/>
          <w:szCs w:val="24"/>
          <w:highlight w:val="none"/>
        </w:rPr>
        <w:t>(小写)</w:t>
      </w:r>
      <w:r>
        <w:rPr>
          <w:rFonts w:hint="eastAsia" w:ascii="宋体" w:eastAsia="宋体" w:cs="宋体"/>
          <w:color w:val="auto"/>
          <w:spacing w:val="1"/>
          <w:sz w:val="24"/>
          <w:szCs w:val="24"/>
          <w:highlight w:val="none"/>
          <w:u w:val="single" w:color="auto"/>
        </w:rPr>
        <w:t xml:space="preserve">             </w:t>
      </w:r>
      <w:r>
        <w:rPr>
          <w:rFonts w:hint="eastAsia" w:ascii="宋体" w:eastAsia="宋体" w:cs="宋体"/>
          <w:color w:val="auto"/>
          <w:spacing w:val="1"/>
          <w:sz w:val="24"/>
          <w:szCs w:val="24"/>
          <w:highlight w:val="none"/>
        </w:rPr>
        <w:t>(大写)。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7" w:firstLineChars="200"/>
        <w:textAlignment w:val="baseline"/>
        <w:rPr>
          <w:rFonts w:hint="eastAsia" w:ascii="宋体" w:eastAsia="宋体" w:cs="宋体"/>
          <w:color w:val="auto"/>
          <w:spacing w:val="7"/>
          <w:sz w:val="24"/>
          <w:szCs w:val="24"/>
          <w:highlight w:val="none"/>
        </w:rPr>
      </w:pPr>
      <w:r>
        <w:rPr>
          <w:rFonts w:hint="eastAsia" w:ascii="宋体" w:eastAsia="宋体" w:cs="宋体"/>
          <w:b/>
          <w:bCs/>
          <w:color w:val="auto"/>
          <w:spacing w:val="9"/>
          <w:sz w:val="24"/>
          <w:szCs w:val="24"/>
          <w:highlight w:val="none"/>
        </w:rPr>
        <w:t>七、付款时间及条</w:t>
      </w:r>
      <w:r>
        <w:rPr>
          <w:rFonts w:hint="eastAsia" w:ascii="宋体" w:eastAsia="宋体" w:cs="宋体"/>
          <w:b/>
          <w:bCs/>
          <w:color w:val="auto"/>
          <w:spacing w:val="7"/>
          <w:sz w:val="24"/>
          <w:szCs w:val="24"/>
          <w:highlight w:val="none"/>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6"/>
          <w:sz w:val="24"/>
          <w:szCs w:val="24"/>
          <w:highlight w:val="none"/>
        </w:rPr>
        <w:t>(一)付款时间：</w:t>
      </w:r>
      <w:r>
        <w:rPr>
          <w:rFonts w:hint="eastAsia" w:ascii="宋体" w:eastAsia="宋体" w:cs="宋体"/>
          <w:color w:val="auto"/>
          <w:spacing w:val="6"/>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6"/>
          <w:sz w:val="24"/>
          <w:szCs w:val="24"/>
          <w:highlight w:val="none"/>
        </w:rPr>
        <w:t>(二)付款条件：</w:t>
      </w:r>
      <w:r>
        <w:rPr>
          <w:rFonts w:hint="eastAsia" w:ascii="宋体" w:eastAsia="宋体" w:cs="宋体"/>
          <w:color w:val="auto"/>
          <w:spacing w:val="6"/>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pacing w:val="6"/>
          <w:sz w:val="24"/>
          <w:szCs w:val="24"/>
          <w:highlight w:val="none"/>
        </w:rPr>
      </w:pPr>
      <w:r>
        <w:rPr>
          <w:rFonts w:hint="eastAsia" w:ascii="宋体" w:eastAsia="宋体" w:cs="宋体"/>
          <w:color w:val="auto"/>
          <w:spacing w:val="6"/>
          <w:sz w:val="24"/>
          <w:szCs w:val="24"/>
          <w:highlight w:val="none"/>
        </w:rPr>
        <w:t>(三)乙方账户信息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
          <w:sz w:val="24"/>
          <w:szCs w:val="24"/>
          <w:highlight w:val="none"/>
        </w:rPr>
        <w:t>乙方名称：</w:t>
      </w:r>
      <w:r>
        <w:rPr>
          <w:rFonts w:hint="eastAsia" w:ascii="宋体" w:eastAsia="宋体" w:cs="宋体"/>
          <w:color w:val="auto"/>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6"/>
          <w:sz w:val="24"/>
          <w:szCs w:val="24"/>
          <w:highlight w:val="none"/>
        </w:rPr>
        <w:t>开</w:t>
      </w:r>
      <w:r>
        <w:rPr>
          <w:rFonts w:hint="eastAsia" w:ascii="宋体" w:eastAsia="宋体" w:cs="宋体"/>
          <w:color w:val="auto"/>
          <w:spacing w:val="5"/>
          <w:sz w:val="24"/>
          <w:szCs w:val="24"/>
          <w:highlight w:val="none"/>
        </w:rPr>
        <w:t>户银行：</w:t>
      </w:r>
      <w:r>
        <w:rPr>
          <w:rFonts w:hint="eastAsia" w:ascii="宋体" w:eastAsia="宋体" w:cs="宋体"/>
          <w:color w:val="auto"/>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6"/>
          <w:sz w:val="24"/>
          <w:szCs w:val="24"/>
          <w:highlight w:val="none"/>
        </w:rPr>
        <w:t>银</w:t>
      </w:r>
      <w:r>
        <w:rPr>
          <w:rFonts w:hint="eastAsia" w:ascii="宋体" w:eastAsia="宋体" w:cs="宋体"/>
          <w:color w:val="auto"/>
          <w:spacing w:val="5"/>
          <w:sz w:val="24"/>
          <w:szCs w:val="24"/>
          <w:highlight w:val="none"/>
        </w:rPr>
        <w:t>行账号：</w:t>
      </w:r>
      <w:r>
        <w:rPr>
          <w:rFonts w:hint="eastAsia" w:ascii="宋体" w:eastAsia="宋体" w:cs="宋体"/>
          <w:color w:val="auto"/>
          <w:sz w:val="24"/>
          <w:szCs w:val="24"/>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8"/>
          <w:sz w:val="24"/>
          <w:szCs w:val="24"/>
          <w:highlight w:val="none"/>
        </w:rPr>
        <w:t>八、知识产</w:t>
      </w:r>
      <w:r>
        <w:rPr>
          <w:rFonts w:hint="eastAsia" w:ascii="宋体" w:eastAsia="宋体" w:cs="宋体"/>
          <w:b/>
          <w:bCs/>
          <w:color w:val="auto"/>
          <w:spacing w:val="7"/>
          <w:sz w:val="24"/>
          <w:szCs w:val="24"/>
          <w:highlight w:val="none"/>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2"/>
          <w:sz w:val="24"/>
          <w:szCs w:val="24"/>
          <w:highlight w:val="none"/>
        </w:rPr>
        <w:t>乙方应</w:t>
      </w:r>
      <w:r>
        <w:rPr>
          <w:rFonts w:hint="eastAsia" w:ascii="宋体" w:eastAsia="宋体" w:cs="宋体"/>
          <w:color w:val="auto"/>
          <w:spacing w:val="11"/>
          <w:sz w:val="24"/>
          <w:szCs w:val="24"/>
          <w:highlight w:val="none"/>
        </w:rPr>
        <w:t>保</w:t>
      </w:r>
      <w:r>
        <w:rPr>
          <w:rFonts w:hint="eastAsia" w:ascii="宋体" w:eastAsia="宋体" w:cs="宋体"/>
          <w:color w:val="auto"/>
          <w:spacing w:val="6"/>
          <w:sz w:val="24"/>
          <w:szCs w:val="24"/>
          <w:highlight w:val="none"/>
        </w:rPr>
        <w:t>证其提供的服务及服务成果的全部及部分，均不存在侵犯第三</w:t>
      </w:r>
      <w:r>
        <w:rPr>
          <w:rFonts w:hint="eastAsia" w:ascii="宋体" w:eastAsia="宋体" w:cs="宋体"/>
          <w:color w:val="auto"/>
          <w:spacing w:val="14"/>
          <w:sz w:val="24"/>
          <w:szCs w:val="24"/>
          <w:highlight w:val="none"/>
        </w:rPr>
        <w:t>方知</w:t>
      </w:r>
      <w:r>
        <w:rPr>
          <w:rFonts w:hint="eastAsia" w:ascii="宋体" w:eastAsia="宋体" w:cs="宋体"/>
          <w:color w:val="auto"/>
          <w:spacing w:val="13"/>
          <w:sz w:val="24"/>
          <w:szCs w:val="24"/>
          <w:highlight w:val="none"/>
        </w:rPr>
        <w:t>识</w:t>
      </w:r>
      <w:r>
        <w:rPr>
          <w:rFonts w:hint="eastAsia" w:ascii="宋体" w:eastAsia="宋体" w:cs="宋体"/>
          <w:color w:val="auto"/>
          <w:spacing w:val="7"/>
          <w:sz w:val="24"/>
          <w:szCs w:val="24"/>
          <w:highlight w:val="none"/>
        </w:rPr>
        <w:t>产权的情形，其服务成果的所有权由甲方享有。否则，乙方应向甲方</w:t>
      </w:r>
      <w:r>
        <w:rPr>
          <w:rFonts w:hint="eastAsia" w:ascii="宋体" w:eastAsia="宋体" w:cs="宋体"/>
          <w:color w:val="auto"/>
          <w:spacing w:val="11"/>
          <w:sz w:val="24"/>
          <w:szCs w:val="24"/>
          <w:highlight w:val="none"/>
        </w:rPr>
        <w:t>承</w:t>
      </w:r>
      <w:r>
        <w:rPr>
          <w:rFonts w:hint="eastAsia" w:ascii="宋体" w:eastAsia="宋体" w:cs="宋体"/>
          <w:color w:val="auto"/>
          <w:spacing w:val="9"/>
          <w:sz w:val="24"/>
          <w:szCs w:val="24"/>
          <w:highlight w:val="none"/>
        </w:rPr>
        <w:t>担违约责任及赔偿由此给甲方造成的名誉及经济损失。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9"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7"/>
          <w:sz w:val="24"/>
          <w:szCs w:val="24"/>
          <w:highlight w:val="none"/>
        </w:rPr>
        <w:t>九、违约条</w:t>
      </w:r>
      <w:r>
        <w:rPr>
          <w:rFonts w:hint="eastAsia" w:ascii="宋体" w:eastAsia="宋体" w:cs="宋体"/>
          <w:b/>
          <w:bCs/>
          <w:color w:val="auto"/>
          <w:spacing w:val="5"/>
          <w:sz w:val="24"/>
          <w:szCs w:val="24"/>
          <w:highlight w:val="none"/>
        </w:rPr>
        <w:t>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2"/>
          <w:sz w:val="24"/>
          <w:szCs w:val="24"/>
          <w:highlight w:val="none"/>
        </w:rPr>
        <w:t>(</w:t>
      </w:r>
      <w:r>
        <w:rPr>
          <w:rFonts w:hint="eastAsia" w:ascii="宋体" w:eastAsia="宋体" w:cs="宋体"/>
          <w:color w:val="auto"/>
          <w:spacing w:val="12"/>
          <w:sz w:val="24"/>
          <w:szCs w:val="24"/>
          <w:highlight w:val="none"/>
          <w:lang w:eastAsia="zh-CN"/>
        </w:rPr>
        <w:t>一</w:t>
      </w:r>
      <w:r>
        <w:rPr>
          <w:rFonts w:hint="eastAsia" w:ascii="宋体" w:eastAsia="宋体" w:cs="宋体"/>
          <w:color w:val="auto"/>
          <w:spacing w:val="12"/>
          <w:sz w:val="24"/>
          <w:szCs w:val="24"/>
          <w:highlight w:val="none"/>
        </w:rPr>
        <w:t>)</w:t>
      </w:r>
      <w:r>
        <w:rPr>
          <w:rFonts w:hint="eastAsia" w:ascii="宋体" w:eastAsia="宋体" w:cs="宋体"/>
          <w:color w:val="auto"/>
          <w:spacing w:val="6"/>
          <w:sz w:val="24"/>
          <w:szCs w:val="24"/>
          <w:highlight w:val="none"/>
        </w:rPr>
        <w:t>乙方逾期提供服务成果的，每延期一日，乙方应按照合同总金额的</w:t>
      </w:r>
      <w:r>
        <w:rPr>
          <w:rFonts w:hint="eastAsia" w:ascii="宋体" w:eastAsia="宋体" w:cs="宋体"/>
          <w:color w:val="auto"/>
          <w:spacing w:val="6"/>
          <w:sz w:val="24"/>
          <w:szCs w:val="24"/>
          <w:highlight w:val="none"/>
          <w:u w:val="single" w:color="auto"/>
        </w:rPr>
        <w:t xml:space="preserve">  </w:t>
      </w:r>
      <w:r>
        <w:rPr>
          <w:rFonts w:hint="eastAsia" w:ascii="宋体" w:eastAsia="宋体" w:cs="宋体"/>
          <w:color w:val="auto"/>
          <w:spacing w:val="4"/>
          <w:sz w:val="24"/>
          <w:szCs w:val="24"/>
          <w:highlight w:val="none"/>
          <w:u w:val="single" w:color="auto"/>
        </w:rPr>
        <w:t xml:space="preserve"> </w:t>
      </w:r>
      <w:r>
        <w:rPr>
          <w:rFonts w:hint="eastAsia" w:ascii="宋体" w:eastAsia="宋体" w:cs="宋体"/>
          <w:color w:val="auto"/>
          <w:spacing w:val="3"/>
          <w:sz w:val="24"/>
          <w:szCs w:val="24"/>
          <w:highlight w:val="none"/>
        </w:rPr>
        <w:t xml:space="preserve"> 承担违约责任。延期达到</w:t>
      </w:r>
      <w:r>
        <w:rPr>
          <w:rFonts w:hint="eastAsia" w:ascii="宋体" w:eastAsia="宋体" w:cs="宋体"/>
          <w:color w:val="auto"/>
          <w:spacing w:val="3"/>
          <w:sz w:val="24"/>
          <w:szCs w:val="24"/>
          <w:highlight w:val="none"/>
          <w:u w:val="single" w:color="auto"/>
        </w:rPr>
        <w:t xml:space="preserve">   </w:t>
      </w:r>
      <w:r>
        <w:rPr>
          <w:rFonts w:hint="eastAsia" w:ascii="宋体" w:eastAsia="宋体" w:cs="宋体"/>
          <w:color w:val="auto"/>
          <w:spacing w:val="3"/>
          <w:sz w:val="24"/>
          <w:szCs w:val="24"/>
          <w:highlight w:val="none"/>
        </w:rPr>
        <w:t>日，甲方有权解除合同，拒付延期部分的</w:t>
      </w:r>
      <w:r>
        <w:rPr>
          <w:rFonts w:hint="eastAsia" w:ascii="宋体" w:eastAsia="宋体" w:cs="宋体"/>
          <w:color w:val="auto"/>
          <w:spacing w:val="9"/>
          <w:sz w:val="24"/>
          <w:szCs w:val="24"/>
          <w:highlight w:val="none"/>
        </w:rPr>
        <w:t>相应服务款项，并要求乙方赔偿甲方的经济损失。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5"/>
          <w:sz w:val="24"/>
          <w:szCs w:val="24"/>
          <w:highlight w:val="none"/>
        </w:rPr>
        <w:t>(</w:t>
      </w:r>
      <w:r>
        <w:rPr>
          <w:rFonts w:hint="eastAsia" w:ascii="宋体" w:eastAsia="宋体" w:cs="宋体"/>
          <w:color w:val="auto"/>
          <w:spacing w:val="9"/>
          <w:sz w:val="24"/>
          <w:szCs w:val="24"/>
          <w:highlight w:val="none"/>
          <w:lang w:eastAsia="zh-CN"/>
        </w:rPr>
        <w:t>二</w:t>
      </w:r>
      <w:r>
        <w:rPr>
          <w:rFonts w:hint="eastAsia" w:ascii="宋体" w:eastAsia="宋体" w:cs="宋体"/>
          <w:color w:val="auto"/>
          <w:spacing w:val="9"/>
          <w:sz w:val="24"/>
          <w:szCs w:val="24"/>
          <w:highlight w:val="none"/>
        </w:rPr>
        <w:t>)乙方交付的服务不符合质量要求，或其服务成果存在侵权行为的，</w:t>
      </w:r>
      <w:r>
        <w:rPr>
          <w:rFonts w:hint="eastAsia" w:ascii="宋体" w:eastAsia="宋体" w:cs="宋体"/>
          <w:color w:val="auto"/>
          <w:spacing w:val="12"/>
          <w:sz w:val="24"/>
          <w:szCs w:val="24"/>
          <w:highlight w:val="none"/>
        </w:rPr>
        <w:t>甲</w:t>
      </w:r>
      <w:r>
        <w:rPr>
          <w:rFonts w:hint="eastAsia" w:ascii="宋体" w:eastAsia="宋体" w:cs="宋体"/>
          <w:color w:val="auto"/>
          <w:spacing w:val="10"/>
          <w:sz w:val="24"/>
          <w:szCs w:val="24"/>
          <w:highlight w:val="none"/>
        </w:rPr>
        <w:t>方</w:t>
      </w:r>
      <w:r>
        <w:rPr>
          <w:rFonts w:hint="eastAsia" w:ascii="宋体" w:eastAsia="宋体" w:cs="宋体"/>
          <w:color w:val="auto"/>
          <w:spacing w:val="6"/>
          <w:sz w:val="24"/>
          <w:szCs w:val="24"/>
          <w:highlight w:val="none"/>
        </w:rPr>
        <w:t>有权解除合同，并要求乙方支付合同总金额</w:t>
      </w:r>
      <w:r>
        <w:rPr>
          <w:rFonts w:hint="eastAsia" w:ascii="宋体" w:eastAsia="宋体" w:cs="宋体"/>
          <w:color w:val="auto"/>
          <w:spacing w:val="6"/>
          <w:sz w:val="24"/>
          <w:szCs w:val="24"/>
          <w:highlight w:val="none"/>
          <w:u w:val="single" w:color="auto"/>
        </w:rPr>
        <w:t xml:space="preserve">   </w:t>
      </w:r>
      <w:r>
        <w:rPr>
          <w:rFonts w:hint="eastAsia" w:ascii="宋体" w:eastAsia="宋体" w:cs="宋体"/>
          <w:color w:val="auto"/>
          <w:spacing w:val="6"/>
          <w:sz w:val="24"/>
          <w:szCs w:val="24"/>
          <w:highlight w:val="none"/>
        </w:rPr>
        <w:t>%的违约金，违约金不足</w:t>
      </w:r>
      <w:r>
        <w:rPr>
          <w:rFonts w:hint="eastAsia" w:ascii="宋体" w:eastAsia="宋体" w:cs="宋体"/>
          <w:color w:val="auto"/>
          <w:spacing w:val="8"/>
          <w:sz w:val="24"/>
          <w:szCs w:val="24"/>
          <w:highlight w:val="none"/>
        </w:rPr>
        <w:t>以赔偿甲方损失的，甲方有权要求乙方赔偿经济损失</w:t>
      </w:r>
      <w:r>
        <w:rPr>
          <w:rFonts w:hint="eastAsia" w:ascii="宋体" w:eastAsia="宋体" w:cs="宋体"/>
          <w:color w:val="auto"/>
          <w:spacing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0"/>
          <w:sz w:val="24"/>
          <w:szCs w:val="24"/>
          <w:highlight w:val="none"/>
        </w:rPr>
        <w:t>(</w:t>
      </w:r>
      <w:r>
        <w:rPr>
          <w:rFonts w:hint="eastAsia" w:ascii="宋体" w:eastAsia="宋体" w:cs="宋体"/>
          <w:color w:val="auto"/>
          <w:spacing w:val="10"/>
          <w:sz w:val="24"/>
          <w:szCs w:val="24"/>
          <w:highlight w:val="none"/>
          <w:lang w:eastAsia="zh-CN"/>
        </w:rPr>
        <w:t>三</w:t>
      </w:r>
      <w:r>
        <w:rPr>
          <w:rFonts w:hint="eastAsia" w:ascii="宋体" w:eastAsia="宋体" w:cs="宋体"/>
          <w:color w:val="auto"/>
          <w:spacing w:val="10"/>
          <w:sz w:val="24"/>
          <w:szCs w:val="24"/>
          <w:highlight w:val="none"/>
        </w:rPr>
        <w:t>)</w:t>
      </w:r>
      <w:r>
        <w:rPr>
          <w:rFonts w:hint="eastAsia" w:ascii="宋体" w:eastAsia="宋体" w:cs="宋体"/>
          <w:color w:val="auto"/>
          <w:spacing w:val="5"/>
          <w:sz w:val="24"/>
          <w:szCs w:val="24"/>
          <w:highlight w:val="none"/>
        </w:rPr>
        <w:t>乙方在参与本项目采购活动过程中，如存在提供虚假承诺、证明、</w:t>
      </w:r>
      <w:r>
        <w:rPr>
          <w:rFonts w:hint="eastAsia" w:ascii="宋体" w:eastAsia="宋体" w:cs="宋体"/>
          <w:color w:val="auto"/>
          <w:spacing w:val="8"/>
          <w:sz w:val="24"/>
          <w:szCs w:val="24"/>
          <w:highlight w:val="none"/>
        </w:rPr>
        <w:t>串通投标</w:t>
      </w:r>
      <w:r>
        <w:rPr>
          <w:rFonts w:hint="eastAsia" w:ascii="宋体" w:eastAsia="宋体" w:cs="宋体"/>
          <w:color w:val="auto"/>
          <w:spacing w:val="4"/>
          <w:sz w:val="24"/>
          <w:szCs w:val="24"/>
          <w:highlight w:val="none"/>
        </w:rPr>
        <w:t>等违法违规行为，除承担相应的行政责任外，甲方有权解除合同，</w:t>
      </w:r>
      <w:r>
        <w:rPr>
          <w:rFonts w:hint="eastAsia" w:ascii="宋体" w:eastAsia="宋体" w:cs="宋体"/>
          <w:color w:val="auto"/>
          <w:spacing w:val="11"/>
          <w:sz w:val="24"/>
          <w:szCs w:val="24"/>
          <w:highlight w:val="none"/>
        </w:rPr>
        <w:t>并</w:t>
      </w:r>
      <w:r>
        <w:rPr>
          <w:rFonts w:hint="eastAsia" w:ascii="宋体" w:eastAsia="宋体" w:cs="宋体"/>
          <w:color w:val="auto"/>
          <w:spacing w:val="7"/>
          <w:sz w:val="24"/>
          <w:szCs w:val="24"/>
          <w:highlight w:val="none"/>
        </w:rPr>
        <w:t>要求乙方承担合同总金额</w:t>
      </w:r>
      <w:r>
        <w:rPr>
          <w:rFonts w:hint="eastAsia" w:ascii="宋体" w:eastAsia="宋体" w:cs="宋体"/>
          <w:color w:val="auto"/>
          <w:spacing w:val="7"/>
          <w:sz w:val="24"/>
          <w:szCs w:val="24"/>
          <w:highlight w:val="none"/>
          <w:u w:val="single" w:color="auto"/>
        </w:rPr>
        <w:t xml:space="preserve">   </w:t>
      </w:r>
      <w:r>
        <w:rPr>
          <w:rFonts w:hint="eastAsia" w:ascii="宋体" w:eastAsia="宋体" w:cs="宋体"/>
          <w:color w:val="auto"/>
          <w:spacing w:val="7"/>
          <w:sz w:val="24"/>
          <w:szCs w:val="24"/>
          <w:highlight w:val="none"/>
        </w:rPr>
        <w:t>%的违约金，违约金不足以赔偿甲方损失的，</w:t>
      </w:r>
      <w:r>
        <w:rPr>
          <w:rFonts w:hint="eastAsia" w:ascii="宋体" w:eastAsia="宋体" w:cs="宋体"/>
          <w:color w:val="auto"/>
          <w:spacing w:val="8"/>
          <w:sz w:val="24"/>
          <w:szCs w:val="24"/>
          <w:highlight w:val="none"/>
        </w:rPr>
        <w:t>甲</w:t>
      </w:r>
      <w:r>
        <w:rPr>
          <w:rFonts w:hint="eastAsia" w:ascii="宋体" w:eastAsia="宋体" w:cs="宋体"/>
          <w:color w:val="auto"/>
          <w:spacing w:val="6"/>
          <w:sz w:val="24"/>
          <w:szCs w:val="24"/>
          <w:highlight w:val="none"/>
        </w:rPr>
        <w:t>方有权要求乙方赔偿经济损失。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20"/>
          <w:sz w:val="24"/>
          <w:szCs w:val="24"/>
          <w:highlight w:val="none"/>
        </w:rPr>
        <w:t>(</w:t>
      </w:r>
      <w:r>
        <w:rPr>
          <w:rFonts w:hint="eastAsia" w:ascii="宋体" w:eastAsia="宋体" w:cs="宋体"/>
          <w:color w:val="auto"/>
          <w:spacing w:val="20"/>
          <w:sz w:val="24"/>
          <w:szCs w:val="24"/>
          <w:highlight w:val="none"/>
          <w:lang w:eastAsia="zh-CN"/>
        </w:rPr>
        <w:t>四</w:t>
      </w:r>
      <w:r>
        <w:rPr>
          <w:rFonts w:hint="eastAsia" w:ascii="宋体" w:eastAsia="宋体" w:cs="宋体"/>
          <w:color w:val="auto"/>
          <w:spacing w:val="10"/>
          <w:sz w:val="24"/>
          <w:szCs w:val="24"/>
          <w:highlight w:val="none"/>
        </w:rPr>
        <w:t>)乙方存在其他违反本合同的行为，应承担相应的违约责任(注：</w:t>
      </w:r>
      <w:r>
        <w:rPr>
          <w:rFonts w:hint="eastAsia" w:ascii="宋体" w:eastAsia="宋体" w:cs="宋体"/>
          <w:color w:val="auto"/>
          <w:spacing w:val="14"/>
          <w:sz w:val="24"/>
          <w:szCs w:val="24"/>
          <w:highlight w:val="none"/>
        </w:rPr>
        <w:t>可</w:t>
      </w:r>
      <w:r>
        <w:rPr>
          <w:rFonts w:hint="eastAsia" w:ascii="宋体" w:eastAsia="宋体" w:cs="宋体"/>
          <w:color w:val="auto"/>
          <w:spacing w:val="12"/>
          <w:sz w:val="24"/>
          <w:szCs w:val="24"/>
          <w:highlight w:val="none"/>
        </w:rPr>
        <w:t>以</w:t>
      </w:r>
      <w:r>
        <w:rPr>
          <w:rFonts w:hint="eastAsia" w:ascii="宋体" w:eastAsia="宋体" w:cs="宋体"/>
          <w:color w:val="auto"/>
          <w:spacing w:val="7"/>
          <w:sz w:val="24"/>
          <w:szCs w:val="24"/>
          <w:highlight w:val="none"/>
        </w:rPr>
        <w:t>根据情况进行细化)；违约金不足以赔偿甲方损失的，甲方有权要求乙</w:t>
      </w:r>
      <w:r>
        <w:rPr>
          <w:rFonts w:hint="eastAsia" w:ascii="宋体" w:eastAsia="宋体" w:cs="宋体"/>
          <w:color w:val="auto"/>
          <w:spacing w:val="8"/>
          <w:sz w:val="24"/>
          <w:szCs w:val="24"/>
          <w:highlight w:val="none"/>
        </w:rPr>
        <w:t>方</w:t>
      </w:r>
      <w:r>
        <w:rPr>
          <w:rFonts w:hint="eastAsia" w:ascii="宋体" w:eastAsia="宋体" w:cs="宋体"/>
          <w:color w:val="auto"/>
          <w:spacing w:val="7"/>
          <w:sz w:val="24"/>
          <w:szCs w:val="24"/>
          <w:highlight w:val="none"/>
        </w:rPr>
        <w:t>赔偿经济损失。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7" w:firstLineChars="200"/>
        <w:textAlignment w:val="baseline"/>
        <w:rPr>
          <w:rFonts w:hint="eastAsia" w:ascii="宋体" w:eastAsia="宋体" w:cs="宋体"/>
          <w:b/>
          <w:bCs/>
          <w:color w:val="auto"/>
          <w:sz w:val="24"/>
          <w:szCs w:val="24"/>
          <w:highlight w:val="none"/>
        </w:rPr>
      </w:pPr>
      <w:r>
        <w:rPr>
          <w:rFonts w:hint="eastAsia" w:ascii="宋体" w:eastAsia="宋体" w:cs="宋体"/>
          <w:b/>
          <w:bCs/>
          <w:color w:val="auto"/>
          <w:spacing w:val="9"/>
          <w:sz w:val="24"/>
          <w:szCs w:val="24"/>
          <w:highlight w:val="none"/>
        </w:rPr>
        <w:t>十</w:t>
      </w:r>
      <w:r>
        <w:rPr>
          <w:rFonts w:hint="eastAsia" w:ascii="宋体" w:eastAsia="宋体" w:cs="宋体"/>
          <w:b/>
          <w:bCs/>
          <w:color w:val="auto"/>
          <w:spacing w:val="7"/>
          <w:sz w:val="24"/>
          <w:szCs w:val="24"/>
          <w:highlight w:val="none"/>
        </w:rPr>
        <w:t>、不可抗力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7"/>
          <w:sz w:val="24"/>
          <w:szCs w:val="24"/>
          <w:highlight w:val="none"/>
        </w:rPr>
        <w:t>因不可抗力致使一方不能及时或完全履行合同的，应及时通知另一方</w:t>
      </w:r>
      <w:r>
        <w:rPr>
          <w:rFonts w:hint="eastAsia" w:ascii="宋体" w:eastAsia="宋体" w:cs="宋体"/>
          <w:color w:val="auto"/>
          <w:spacing w:val="5"/>
          <w:sz w:val="24"/>
          <w:szCs w:val="24"/>
          <w:highlight w:val="none"/>
        </w:rPr>
        <w:t>，</w:t>
      </w:r>
      <w:r>
        <w:rPr>
          <w:rFonts w:hint="eastAsia" w:ascii="宋体" w:eastAsia="宋体" w:cs="宋体"/>
          <w:color w:val="auto"/>
          <w:spacing w:val="7"/>
          <w:sz w:val="24"/>
          <w:szCs w:val="24"/>
          <w:highlight w:val="none"/>
        </w:rPr>
        <w:t>双方互不承担责任，并在</w:t>
      </w:r>
      <w:r>
        <w:rPr>
          <w:rFonts w:hint="eastAsia" w:ascii="宋体" w:eastAsia="宋体" w:cs="宋体"/>
          <w:color w:val="auto"/>
          <w:spacing w:val="7"/>
          <w:sz w:val="24"/>
          <w:szCs w:val="24"/>
          <w:highlight w:val="none"/>
          <w:u w:val="single" w:color="auto"/>
        </w:rPr>
        <w:t xml:space="preserve">      </w:t>
      </w:r>
      <w:r>
        <w:rPr>
          <w:rFonts w:hint="eastAsia" w:ascii="宋体" w:eastAsia="宋体" w:cs="宋体"/>
          <w:color w:val="auto"/>
          <w:spacing w:val="7"/>
          <w:sz w:val="24"/>
          <w:szCs w:val="24"/>
          <w:highlight w:val="none"/>
        </w:rPr>
        <w:t>天内提供有关不可抗力的相关证明。合同</w:t>
      </w:r>
      <w:r>
        <w:rPr>
          <w:rFonts w:hint="eastAsia" w:ascii="宋体" w:eastAsia="宋体" w:cs="宋体"/>
          <w:color w:val="auto"/>
          <w:spacing w:val="6"/>
          <w:sz w:val="24"/>
          <w:szCs w:val="24"/>
          <w:highlight w:val="none"/>
        </w:rPr>
        <w:t>未</w:t>
      </w:r>
      <w:r>
        <w:rPr>
          <w:rFonts w:hint="eastAsia" w:ascii="宋体" w:eastAsia="宋体" w:cs="宋体"/>
          <w:color w:val="auto"/>
          <w:sz w:val="24"/>
          <w:szCs w:val="24"/>
          <w:highlight w:val="none"/>
        </w:rPr>
        <w:t xml:space="preserve"> </w:t>
      </w:r>
      <w:r>
        <w:rPr>
          <w:rFonts w:hint="eastAsia" w:ascii="宋体" w:eastAsia="宋体" w:cs="宋体"/>
          <w:color w:val="auto"/>
          <w:spacing w:val="13"/>
          <w:sz w:val="24"/>
          <w:szCs w:val="24"/>
          <w:highlight w:val="none"/>
        </w:rPr>
        <w:t>履</w:t>
      </w:r>
      <w:r>
        <w:rPr>
          <w:rFonts w:hint="eastAsia" w:ascii="宋体" w:eastAsia="宋体" w:cs="宋体"/>
          <w:color w:val="auto"/>
          <w:spacing w:val="9"/>
          <w:sz w:val="24"/>
          <w:szCs w:val="24"/>
          <w:highlight w:val="none"/>
        </w:rPr>
        <w:t>行部分是否继续履行、如何履行等问题，由双方协商解决。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9"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12"/>
          <w:sz w:val="24"/>
          <w:szCs w:val="24"/>
          <w:highlight w:val="none"/>
        </w:rPr>
        <w:t>十</w:t>
      </w:r>
      <w:r>
        <w:rPr>
          <w:rFonts w:hint="eastAsia" w:ascii="宋体" w:eastAsia="宋体" w:cs="宋体"/>
          <w:b/>
          <w:bCs/>
          <w:color w:val="auto"/>
          <w:spacing w:val="8"/>
          <w:sz w:val="24"/>
          <w:szCs w:val="24"/>
          <w:highlight w:val="none"/>
        </w:rPr>
        <w:t>一、争议的解决方式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8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26"/>
          <w:sz w:val="24"/>
          <w:szCs w:val="24"/>
          <w:highlight w:val="none"/>
        </w:rPr>
        <w:t>合同发生纠纷时，双方应协商解决，协商不成，可以采用下列方</w:t>
      </w:r>
      <w:r>
        <w:rPr>
          <w:rFonts w:hint="eastAsia" w:ascii="宋体" w:eastAsia="宋体" w:cs="宋体"/>
          <w:color w:val="auto"/>
          <w:spacing w:val="22"/>
          <w:sz w:val="24"/>
          <w:szCs w:val="24"/>
          <w:highlight w:val="none"/>
        </w:rPr>
        <w:t>式</w:t>
      </w:r>
      <w:r>
        <w:rPr>
          <w:rFonts w:hint="eastAsia" w:ascii="宋体" w:eastAsia="宋体" w:cs="宋体"/>
          <w:color w:val="auto"/>
          <w:spacing w:val="4"/>
          <w:sz w:val="24"/>
          <w:szCs w:val="24"/>
          <w:highlight w:val="none"/>
        </w:rPr>
        <w:t>解</w:t>
      </w:r>
      <w:r>
        <w:rPr>
          <w:rFonts w:hint="eastAsia" w:ascii="宋体" w:eastAsia="宋体" w:cs="宋体"/>
          <w:color w:val="auto"/>
          <w:spacing w:val="2"/>
          <w:sz w:val="24"/>
          <w:szCs w:val="24"/>
          <w:highlight w:val="none"/>
        </w:rPr>
        <w:t>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
          <w:sz w:val="24"/>
          <w:szCs w:val="24"/>
          <w:highlight w:val="none"/>
        </w:rPr>
        <w:t>(一)提交</w:t>
      </w:r>
      <w:r>
        <w:rPr>
          <w:rFonts w:hint="eastAsia" w:ascii="宋体" w:eastAsia="宋体" w:cs="宋体"/>
          <w:color w:val="auto"/>
          <w:spacing w:val="1"/>
          <w:sz w:val="24"/>
          <w:szCs w:val="24"/>
          <w:highlight w:val="none"/>
          <w:u w:val="single" w:color="auto"/>
        </w:rPr>
        <w:t xml:space="preserve">                                      </w:t>
      </w:r>
      <w:r>
        <w:rPr>
          <w:rFonts w:hint="eastAsia" w:ascii="宋体" w:eastAsia="宋体" w:cs="宋体"/>
          <w:color w:val="auto"/>
          <w:spacing w:val="1"/>
          <w:sz w:val="24"/>
          <w:szCs w:val="24"/>
          <w:highlight w:val="none"/>
        </w:rPr>
        <w:t>仲裁委员会仲裁。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8"/>
          <w:sz w:val="24"/>
          <w:szCs w:val="24"/>
          <w:highlight w:val="none"/>
        </w:rPr>
        <w:t>(二)向</w:t>
      </w:r>
      <w:r>
        <w:rPr>
          <w:rFonts w:hint="eastAsia" w:ascii="宋体" w:eastAsia="宋体" w:cs="宋体"/>
          <w:color w:val="auto"/>
          <w:spacing w:val="8"/>
          <w:sz w:val="24"/>
          <w:szCs w:val="24"/>
          <w:highlight w:val="none"/>
          <w:u w:val="single" w:color="auto"/>
        </w:rPr>
        <w:t xml:space="preserve"> </w:t>
      </w:r>
      <w:r>
        <w:rPr>
          <w:rFonts w:hint="eastAsia" w:ascii="宋体" w:eastAsia="宋体" w:cs="宋体"/>
          <w:color w:val="auto"/>
          <w:spacing w:val="5"/>
          <w:sz w:val="24"/>
          <w:szCs w:val="24"/>
          <w:highlight w:val="none"/>
          <w:u w:val="single" w:color="auto"/>
        </w:rPr>
        <w:t xml:space="preserve"> </w:t>
      </w:r>
      <w:r>
        <w:rPr>
          <w:rFonts w:hint="eastAsia" w:ascii="宋体" w:eastAsia="宋体" w:cs="宋体"/>
          <w:color w:val="auto"/>
          <w:spacing w:val="4"/>
          <w:sz w:val="24"/>
          <w:szCs w:val="24"/>
          <w:highlight w:val="none"/>
          <w:u w:val="single" w:color="auto"/>
        </w:rPr>
        <w:t xml:space="preserve">                             </w:t>
      </w:r>
      <w:r>
        <w:rPr>
          <w:rFonts w:hint="eastAsia" w:ascii="宋体" w:eastAsia="宋体" w:cs="宋体"/>
          <w:color w:val="auto"/>
          <w:spacing w:val="4"/>
          <w:sz w:val="24"/>
          <w:szCs w:val="24"/>
          <w:highlight w:val="none"/>
          <w:u w:val="single" w:color="auto"/>
          <w:lang w:val="en-US" w:eastAsia="zh-CN"/>
        </w:rPr>
        <w:t xml:space="preserve">   </w:t>
      </w:r>
      <w:r>
        <w:rPr>
          <w:rFonts w:hint="eastAsia" w:ascii="宋体" w:eastAsia="宋体" w:cs="宋体"/>
          <w:color w:val="auto"/>
          <w:spacing w:val="4"/>
          <w:sz w:val="24"/>
          <w:szCs w:val="24"/>
          <w:highlight w:val="none"/>
          <w:u w:val="single" w:color="auto"/>
        </w:rPr>
        <w:t xml:space="preserve">    </w:t>
      </w:r>
      <w:r>
        <w:rPr>
          <w:rFonts w:hint="eastAsia" w:ascii="宋体" w:eastAsia="宋体" w:cs="宋体"/>
          <w:color w:val="auto"/>
          <w:spacing w:val="4"/>
          <w:sz w:val="24"/>
          <w:szCs w:val="24"/>
          <w:highlight w:val="none"/>
        </w:rPr>
        <w:t>人民法院起诉。</w:t>
      </w:r>
      <w:r>
        <w:rPr>
          <w:rFonts w:hint="eastAsia" w:ascii="宋体" w:eastAsia="宋体" w:cs="宋体"/>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8"/>
          <w:sz w:val="24"/>
          <w:szCs w:val="24"/>
          <w:highlight w:val="none"/>
        </w:rPr>
        <w:t>十二、合同保</w:t>
      </w:r>
      <w:r>
        <w:rPr>
          <w:rFonts w:hint="eastAsia" w:ascii="宋体" w:eastAsia="宋体" w:cs="宋体"/>
          <w:b/>
          <w:bCs/>
          <w:color w:val="auto"/>
          <w:spacing w:val="7"/>
          <w:sz w:val="24"/>
          <w:szCs w:val="24"/>
          <w:highlight w:val="none"/>
        </w:rPr>
        <w:t>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3"/>
          <w:sz w:val="24"/>
          <w:szCs w:val="24"/>
          <w:highlight w:val="none"/>
        </w:rPr>
        <w:t>合同文本一式</w:t>
      </w:r>
      <w:r>
        <w:rPr>
          <w:rFonts w:hint="eastAsia" w:ascii="宋体" w:eastAsia="宋体" w:cs="宋体"/>
          <w:color w:val="auto"/>
          <w:spacing w:val="3"/>
          <w:sz w:val="24"/>
          <w:szCs w:val="24"/>
          <w:highlight w:val="none"/>
          <w:u w:val="single" w:color="auto"/>
        </w:rPr>
        <w:t xml:space="preserve">   </w:t>
      </w:r>
      <w:r>
        <w:rPr>
          <w:rFonts w:hint="eastAsia" w:ascii="宋体" w:eastAsia="宋体" w:cs="宋体"/>
          <w:color w:val="auto"/>
          <w:spacing w:val="3"/>
          <w:sz w:val="24"/>
          <w:szCs w:val="24"/>
          <w:highlight w:val="none"/>
        </w:rPr>
        <w:t>份，采购单位、中标(成交)供应商</w:t>
      </w:r>
      <w:r>
        <w:rPr>
          <w:rFonts w:hint="eastAsia" w:ascii="宋体" w:eastAsia="宋体" w:cs="宋体"/>
          <w:color w:val="auto"/>
          <w:spacing w:val="14"/>
          <w:sz w:val="24"/>
          <w:szCs w:val="24"/>
          <w:highlight w:val="none"/>
        </w:rPr>
        <w:t>各</w:t>
      </w:r>
      <w:r>
        <w:rPr>
          <w:rFonts w:hint="eastAsia" w:ascii="宋体" w:eastAsia="宋体" w:cs="宋体"/>
          <w:color w:val="auto"/>
          <w:spacing w:val="9"/>
          <w:sz w:val="24"/>
          <w:szCs w:val="24"/>
          <w:highlight w:val="none"/>
        </w:rPr>
        <w:t>执</w:t>
      </w:r>
      <w:r>
        <w:rPr>
          <w:rFonts w:hint="eastAsia" w:ascii="宋体" w:eastAsia="宋体" w:cs="宋体"/>
          <w:color w:val="auto"/>
          <w:spacing w:val="9"/>
          <w:sz w:val="24"/>
          <w:szCs w:val="24"/>
          <w:highlight w:val="none"/>
          <w:lang w:eastAsia="zh-CN"/>
        </w:rPr>
        <w:t>二</w:t>
      </w:r>
      <w:r>
        <w:rPr>
          <w:rFonts w:hint="eastAsia" w:ascii="宋体" w:eastAsia="宋体" w:cs="宋体"/>
          <w:color w:val="auto"/>
          <w:spacing w:val="9"/>
          <w:sz w:val="24"/>
          <w:szCs w:val="24"/>
          <w:highlight w:val="none"/>
        </w:rPr>
        <w:t>份。合同文本保存期限为从采购结束之日起至少保存十五年。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8"/>
          <w:sz w:val="24"/>
          <w:szCs w:val="24"/>
          <w:highlight w:val="none"/>
        </w:rPr>
        <w:t>十三、合同附</w:t>
      </w:r>
      <w:r>
        <w:rPr>
          <w:rFonts w:hint="eastAsia" w:ascii="宋体" w:eastAsia="宋体" w:cs="宋体"/>
          <w:b/>
          <w:bCs/>
          <w:color w:val="auto"/>
          <w:spacing w:val="7"/>
          <w:sz w:val="24"/>
          <w:szCs w:val="24"/>
          <w:highlight w:val="none"/>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4"/>
          <w:sz w:val="24"/>
          <w:szCs w:val="24"/>
          <w:highlight w:val="none"/>
        </w:rPr>
        <w:t>本</w:t>
      </w:r>
      <w:r>
        <w:rPr>
          <w:rFonts w:hint="eastAsia" w:ascii="宋体" w:eastAsia="宋体" w:cs="宋体"/>
          <w:color w:val="auto"/>
          <w:spacing w:val="13"/>
          <w:sz w:val="24"/>
          <w:szCs w:val="24"/>
          <w:highlight w:val="none"/>
        </w:rPr>
        <w:t>合</w:t>
      </w:r>
      <w:r>
        <w:rPr>
          <w:rFonts w:hint="eastAsia" w:ascii="宋体" w:eastAsia="宋体" w:cs="宋体"/>
          <w:color w:val="auto"/>
          <w:spacing w:val="7"/>
          <w:sz w:val="24"/>
          <w:szCs w:val="24"/>
          <w:highlight w:val="none"/>
        </w:rPr>
        <w:t>同所附下列文件是构成本合同不可分割的部分，与本合同具有同等</w:t>
      </w:r>
      <w:r>
        <w:rPr>
          <w:rFonts w:hint="eastAsia" w:ascii="宋体" w:eastAsia="宋体" w:cs="宋体"/>
          <w:color w:val="auto"/>
          <w:spacing w:val="6"/>
          <w:sz w:val="24"/>
          <w:szCs w:val="24"/>
          <w:highlight w:val="none"/>
        </w:rPr>
        <w:t>法</w:t>
      </w:r>
      <w:r>
        <w:rPr>
          <w:rFonts w:hint="eastAsia" w:ascii="宋体" w:eastAsia="宋体" w:cs="宋体"/>
          <w:color w:val="auto"/>
          <w:spacing w:val="5"/>
          <w:sz w:val="24"/>
          <w:szCs w:val="24"/>
          <w:highlight w:val="none"/>
        </w:rPr>
        <w:t>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2"/>
          <w:sz w:val="24"/>
          <w:szCs w:val="24"/>
          <w:highlight w:val="none"/>
        </w:rPr>
        <w:t>1</w:t>
      </w:r>
      <w:r>
        <w:rPr>
          <w:rFonts w:hint="eastAsia" w:ascii="宋体" w:eastAsia="宋体" w:cs="宋体"/>
          <w:color w:val="auto"/>
          <w:spacing w:val="6"/>
          <w:sz w:val="24"/>
          <w:szCs w:val="24"/>
          <w:highlight w:val="none"/>
        </w:rPr>
        <w:t>、服务清单(双方应盖章确认)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8"/>
          <w:sz w:val="24"/>
          <w:szCs w:val="24"/>
          <w:highlight w:val="none"/>
        </w:rPr>
        <w:t>2</w:t>
      </w:r>
      <w:r>
        <w:rPr>
          <w:rFonts w:hint="eastAsia" w:ascii="宋体" w:eastAsia="宋体" w:cs="宋体"/>
          <w:color w:val="auto"/>
          <w:spacing w:val="7"/>
          <w:sz w:val="24"/>
          <w:szCs w:val="24"/>
          <w:highlight w:val="none"/>
        </w:rPr>
        <w:t>、乙方出具的报价单(函)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4"/>
          <w:sz w:val="24"/>
          <w:szCs w:val="24"/>
          <w:highlight w:val="none"/>
        </w:rPr>
        <w:t>3、</w:t>
      </w:r>
      <w:r>
        <w:rPr>
          <w:rFonts w:hint="eastAsia" w:ascii="宋体" w:eastAsia="宋体" w:cs="宋体"/>
          <w:color w:val="auto"/>
          <w:spacing w:val="8"/>
          <w:sz w:val="24"/>
          <w:szCs w:val="24"/>
          <w:highlight w:val="none"/>
        </w:rPr>
        <w:t>中</w:t>
      </w:r>
      <w:r>
        <w:rPr>
          <w:rFonts w:hint="eastAsia" w:ascii="宋体" w:eastAsia="宋体" w:cs="宋体"/>
          <w:color w:val="auto"/>
          <w:spacing w:val="7"/>
          <w:sz w:val="24"/>
          <w:szCs w:val="24"/>
          <w:highlight w:val="none"/>
        </w:rPr>
        <w:t>标(成交)结果公告及中标(成交)通知书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8"/>
          <w:sz w:val="24"/>
          <w:szCs w:val="24"/>
          <w:highlight w:val="none"/>
        </w:rPr>
        <w:t>4、甲方招标(磋商、谈判)文</w:t>
      </w:r>
      <w:r>
        <w:rPr>
          <w:rFonts w:hint="eastAsia" w:ascii="宋体" w:eastAsia="宋体" w:cs="宋体"/>
          <w:color w:val="auto"/>
          <w:spacing w:val="4"/>
          <w:sz w:val="24"/>
          <w:szCs w:val="24"/>
          <w:highlight w:val="none"/>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7"/>
          <w:sz w:val="24"/>
          <w:szCs w:val="24"/>
          <w:highlight w:val="none"/>
        </w:rPr>
        <w:t>5、乙方投标(响应)文</w:t>
      </w:r>
      <w:r>
        <w:rPr>
          <w:rFonts w:hint="eastAsia" w:ascii="宋体" w:eastAsia="宋体" w:cs="宋体"/>
          <w:color w:val="auto"/>
          <w:spacing w:val="6"/>
          <w:sz w:val="24"/>
          <w:szCs w:val="24"/>
          <w:highlight w:val="none"/>
        </w:rPr>
        <w:t>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13"/>
          <w:sz w:val="24"/>
          <w:szCs w:val="24"/>
          <w:highlight w:val="none"/>
        </w:rPr>
        <w:t>6</w:t>
      </w:r>
      <w:r>
        <w:rPr>
          <w:rFonts w:hint="eastAsia" w:ascii="宋体" w:eastAsia="宋体" w:cs="宋体"/>
          <w:color w:val="auto"/>
          <w:spacing w:val="8"/>
          <w:sz w:val="24"/>
          <w:szCs w:val="24"/>
          <w:highlight w:val="none"/>
        </w:rPr>
        <w:t>、甲乙双方商定的其他文件</w:t>
      </w:r>
      <w:r>
        <w:rPr>
          <w:rFonts w:hint="eastAsia" w:ascii="宋体" w:eastAsia="宋体" w:cs="宋体"/>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5"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16"/>
          <w:sz w:val="24"/>
          <w:szCs w:val="24"/>
          <w:highlight w:val="none"/>
        </w:rPr>
        <w:t>十</w:t>
      </w:r>
      <w:r>
        <w:rPr>
          <w:rFonts w:hint="eastAsia" w:ascii="宋体" w:eastAsia="宋体" w:cs="宋体"/>
          <w:b/>
          <w:bCs/>
          <w:color w:val="auto"/>
          <w:spacing w:val="8"/>
          <w:sz w:val="24"/>
          <w:szCs w:val="24"/>
          <w:highlight w:val="none"/>
        </w:rPr>
        <w:t>四、双方约定的其他事宜</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7" w:firstLineChars="200"/>
        <w:textAlignment w:val="baseline"/>
        <w:rPr>
          <w:rFonts w:hint="eastAsia" w:ascii="宋体" w:eastAsia="宋体" w:cs="宋体"/>
          <w:b/>
          <w:bCs/>
          <w:color w:val="auto"/>
          <w:sz w:val="24"/>
          <w:szCs w:val="24"/>
          <w:highlight w:val="none"/>
        </w:rPr>
      </w:pPr>
      <w:r>
        <w:rPr>
          <w:rFonts w:hint="eastAsia" w:ascii="宋体" w:eastAsia="宋体" w:cs="宋体"/>
          <w:b/>
          <w:bCs/>
          <w:color w:val="auto"/>
          <w:spacing w:val="14"/>
          <w:sz w:val="24"/>
          <w:szCs w:val="24"/>
          <w:highlight w:val="none"/>
        </w:rPr>
        <w:t>十</w:t>
      </w:r>
      <w:r>
        <w:rPr>
          <w:rFonts w:hint="eastAsia" w:ascii="宋体" w:eastAsia="宋体" w:cs="宋体"/>
          <w:b/>
          <w:bCs/>
          <w:color w:val="auto"/>
          <w:spacing w:val="8"/>
          <w:sz w:val="24"/>
          <w:szCs w:val="24"/>
          <w:highlight w:val="none"/>
        </w:rPr>
        <w:t>五</w:t>
      </w:r>
      <w:r>
        <w:rPr>
          <w:rFonts w:hint="eastAsia" w:ascii="宋体" w:eastAsia="宋体" w:cs="宋体"/>
          <w:b/>
          <w:bCs/>
          <w:color w:val="auto"/>
          <w:spacing w:val="7"/>
          <w:sz w:val="24"/>
          <w:szCs w:val="24"/>
          <w:highlight w:val="none"/>
        </w:rPr>
        <w:t>、合同未尽事宜，双方另行签订补充协议，补充协议是合同的组成</w:t>
      </w:r>
      <w:r>
        <w:rPr>
          <w:rFonts w:hint="eastAsia" w:ascii="宋体" w:eastAsia="宋体" w:cs="宋体"/>
          <w:b/>
          <w:bCs/>
          <w:color w:val="auto"/>
          <w:sz w:val="24"/>
          <w:szCs w:val="24"/>
          <w:highlight w:val="none"/>
        </w:rPr>
        <w:t>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9" w:firstLineChars="200"/>
        <w:textAlignment w:val="baseline"/>
        <w:rPr>
          <w:rFonts w:hint="eastAsia" w:ascii="宋体" w:eastAsia="宋体" w:cs="宋体"/>
          <w:color w:val="auto"/>
          <w:sz w:val="24"/>
          <w:szCs w:val="24"/>
          <w:highlight w:val="none"/>
        </w:rPr>
      </w:pPr>
      <w:r>
        <w:rPr>
          <w:rFonts w:hint="eastAsia" w:ascii="宋体" w:eastAsia="宋体" w:cs="宋体"/>
          <w:b/>
          <w:bCs/>
          <w:color w:val="auto"/>
          <w:spacing w:val="12"/>
          <w:sz w:val="24"/>
          <w:szCs w:val="24"/>
          <w:highlight w:val="none"/>
        </w:rPr>
        <w:t>十</w:t>
      </w:r>
      <w:r>
        <w:rPr>
          <w:rFonts w:hint="eastAsia" w:ascii="宋体" w:eastAsia="宋体" w:cs="宋体"/>
          <w:b/>
          <w:bCs/>
          <w:color w:val="auto"/>
          <w:spacing w:val="8"/>
          <w:sz w:val="24"/>
          <w:szCs w:val="24"/>
          <w:highlight w:val="none"/>
        </w:rPr>
        <w:t>六、本合同由甲乙双方盖章生效。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4"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4"/>
          <w:sz w:val="24"/>
          <w:szCs w:val="24"/>
          <w:highlight w:val="none"/>
        </w:rPr>
        <w:t xml:space="preserve">甲方名称：(章)  </w:t>
      </w:r>
      <w:r>
        <w:rPr>
          <w:rFonts w:hint="eastAsia" w:ascii="宋体" w:eastAsia="宋体" w:cs="宋体"/>
          <w:color w:val="auto"/>
          <w:spacing w:val="-2"/>
          <w:sz w:val="24"/>
          <w:szCs w:val="24"/>
          <w:highlight w:val="none"/>
        </w:rPr>
        <w:t xml:space="preserve">          </w:t>
      </w:r>
      <w:r>
        <w:rPr>
          <w:rFonts w:hint="eastAsia" w:ascii="宋体" w:eastAsia="宋体" w:cs="宋体"/>
          <w:color w:val="auto"/>
          <w:spacing w:val="-2"/>
          <w:sz w:val="24"/>
          <w:szCs w:val="24"/>
          <w:highlight w:val="none"/>
          <w:lang w:val="en-US" w:eastAsia="zh-CN"/>
        </w:rPr>
        <w:t xml:space="preserve">          </w:t>
      </w:r>
      <w:r>
        <w:rPr>
          <w:rFonts w:hint="eastAsia" w:ascii="宋体" w:eastAsia="宋体" w:cs="宋体"/>
          <w:color w:val="auto"/>
          <w:spacing w:val="-2"/>
          <w:sz w:val="24"/>
          <w:szCs w:val="24"/>
          <w:highlight w:val="none"/>
        </w:rPr>
        <w:t xml:space="preserve">    乙方名称：(章)</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textAlignment w:val="baseline"/>
        <w:rPr>
          <w:rFonts w:hint="eastAsia" w:ascii="宋体" w:eastAsia="宋体" w:cs="宋体"/>
          <w:color w:val="auto"/>
          <w:sz w:val="24"/>
          <w:szCs w:val="24"/>
          <w:highlight w:val="none"/>
        </w:rPr>
      </w:pPr>
      <w:r>
        <w:rPr>
          <w:rFonts w:hint="eastAsia" w:ascii="宋体" w:eastAsia="宋体" w:cs="宋体"/>
          <w:color w:val="auto"/>
          <w:spacing w:val="2"/>
          <w:sz w:val="24"/>
          <w:szCs w:val="24"/>
          <w:highlight w:val="none"/>
        </w:rPr>
        <w:t>甲方法定代表人或负责人：(签字)         乙方法定代表人</w:t>
      </w:r>
      <w:r>
        <w:rPr>
          <w:rFonts w:hint="eastAsia" w:ascii="宋体" w:eastAsia="宋体" w:cs="宋体"/>
          <w:color w:val="auto"/>
          <w:spacing w:val="1"/>
          <w:sz w:val="24"/>
          <w:szCs w:val="24"/>
          <w:highlight w:val="none"/>
        </w:rPr>
        <w:t>或负责人：(签字)</w:t>
      </w:r>
    </w:p>
    <w:p>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512" w:firstLineChars="600"/>
        <w:textAlignment w:val="baseline"/>
        <w:rPr>
          <w:rFonts w:ascii="宋体" w:eastAsia="宋体" w:cs="宋体"/>
          <w:color w:val="auto"/>
          <w:sz w:val="23"/>
          <w:szCs w:val="23"/>
          <w:highlight w:val="none"/>
        </w:rPr>
      </w:pPr>
      <w:r>
        <w:rPr>
          <w:rFonts w:hint="eastAsia" w:ascii="宋体" w:eastAsia="宋体" w:cs="宋体"/>
          <w:color w:val="auto"/>
          <w:spacing w:val="6"/>
          <w:sz w:val="24"/>
          <w:szCs w:val="24"/>
          <w:highlight w:val="none"/>
        </w:rPr>
        <w:t xml:space="preserve">年    月    </w:t>
      </w:r>
      <w:r>
        <w:rPr>
          <w:rFonts w:hint="eastAsia" w:ascii="宋体" w:eastAsia="宋体" w:cs="宋体"/>
          <w:color w:val="auto"/>
          <w:spacing w:val="5"/>
          <w:sz w:val="24"/>
          <w:szCs w:val="24"/>
          <w:highlight w:val="none"/>
        </w:rPr>
        <w:t>日</w:t>
      </w:r>
      <w:r>
        <w:rPr>
          <w:rFonts w:hint="eastAsia" w:ascii="宋体" w:eastAsia="宋体" w:cs="宋体"/>
          <w:color w:val="auto"/>
          <w:spacing w:val="3"/>
          <w:sz w:val="24"/>
          <w:szCs w:val="24"/>
          <w:highlight w:val="none"/>
        </w:rPr>
        <w:t xml:space="preserve">                        年    月    日</w:t>
      </w:r>
    </w:p>
    <w:p>
      <w:pPr>
        <w:rPr>
          <w:color w:val="auto"/>
          <w:highlight w:val="none"/>
        </w:rPr>
        <w:sectPr>
          <w:footerReference r:id="rId8" w:type="default"/>
          <w:pgSz w:w="11906" w:h="16839"/>
          <w:pgMar w:top="1440" w:right="1080" w:bottom="1440" w:left="1080" w:header="0" w:footer="1540" w:gutter="0"/>
          <w:cols w:space="720" w:num="1"/>
          <w:docGrid w:linePitch="312" w:charSpace="0"/>
        </w:sect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1" w:firstLineChars="200"/>
        <w:textAlignment w:val="baseline"/>
        <w:outlineLvl w:val="1"/>
        <w:rPr>
          <w:rFonts w:hint="eastAsia" w:ascii="宋体" w:eastAsia="宋体" w:cs="宋体"/>
          <w:color w:val="auto"/>
          <w:sz w:val="24"/>
          <w:szCs w:val="24"/>
          <w:highlight w:val="none"/>
        </w:rPr>
      </w:pPr>
      <w:r>
        <w:rPr>
          <w:rFonts w:hint="eastAsia" w:ascii="宋体" w:eastAsia="宋体" w:cs="宋体"/>
          <w:b/>
          <w:bCs/>
          <w:color w:val="auto"/>
          <w:sz w:val="24"/>
          <w:szCs w:val="24"/>
          <w:highlight w:val="none"/>
        </w:rPr>
        <w:t>二</w:t>
      </w:r>
      <w:r>
        <w:rPr>
          <w:rFonts w:hint="eastAsia" w:ascii="宋体" w:eastAsia="宋体" w:cs="宋体"/>
          <w:b/>
          <w:bCs/>
          <w:color w:val="auto"/>
          <w:sz w:val="24"/>
          <w:szCs w:val="24"/>
          <w:highlight w:val="none"/>
          <w:lang w:eastAsia="zh-CN"/>
        </w:rPr>
        <w:t>、</w:t>
      </w:r>
      <w:r>
        <w:rPr>
          <w:rFonts w:hint="eastAsia" w:ascii="宋体" w:eastAsia="宋体" w:cs="宋体"/>
          <w:b/>
          <w:bCs/>
          <w:color w:val="auto"/>
          <w:sz w:val="24"/>
          <w:szCs w:val="24"/>
          <w:highlight w:val="none"/>
        </w:rPr>
        <w:t>验收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rPr>
        <w:t>严格按照采购合同开展履约验收。采购人或者采购代理机构应当成立验收小组,按照采购合同的约定对供应商履约情况进行验收。验收时,应当按照采购合同的约定对每一项技术、服务、安全标准的履约情况进行确认</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验收结束后,应当出具验收书（参考格式附后）,列明各项标准的验收情况及项目总体评价</w:t>
      </w:r>
      <w:r>
        <w:rPr>
          <w:rFonts w:hint="eastAsia" w:ascii="宋体" w:eastAsia="宋体" w:cs="宋体"/>
          <w:color w:val="auto"/>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sectPr>
          <w:footerReference r:id="rId9" w:type="default"/>
          <w:pgSz w:w="11906" w:h="16839"/>
          <w:pgMar w:top="1440" w:right="1080" w:bottom="1440" w:left="1080" w:header="0" w:footer="1539" w:gutter="0"/>
          <w:cols w:space="720" w:num="1"/>
          <w:docGrid w:linePitch="312" w:charSpace="0"/>
        </w:sect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sectPr>
          <w:footerReference r:id="rId10" w:type="default"/>
          <w:type w:val="continuous"/>
          <w:pgSz w:w="11906" w:h="16839"/>
          <w:pgMar w:top="1440" w:right="1080" w:bottom="1440" w:left="1080" w:header="0" w:footer="1539" w:gutter="0"/>
          <w:cols w:equalWidth="0" w:num="2">
            <w:col w:w="4833" w:space="100"/>
            <w:col w:w="4813"/>
          </w:cols>
          <w:docGrid w:linePitch="312" w:charSpace="0"/>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color w:val="auto"/>
          <w:sz w:val="24"/>
          <w:szCs w:val="24"/>
          <w:highlight w:val="none"/>
        </w:rPr>
      </w:pPr>
      <w:r>
        <w:rPr>
          <w:rFonts w:hint="eastAsia" w:ascii="宋体" w:eastAsia="宋体" w:cs="宋体"/>
          <w:b/>
          <w:bCs/>
          <w:color w:val="auto"/>
          <w:sz w:val="24"/>
          <w:szCs w:val="24"/>
          <w:highlight w:val="none"/>
        </w:rPr>
        <w:t>政府采购服务履约验收书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（参考格式）</w:t>
      </w:r>
    </w:p>
    <w:tbl>
      <w:tblPr>
        <w:tblStyle w:val="18"/>
        <w:tblW w:w="91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5"/>
        <w:gridCol w:w="6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项目名称</w:t>
            </w:r>
          </w:p>
        </w:tc>
        <w:tc>
          <w:tcPr>
            <w:tcW w:w="6474" w:type="dxa"/>
            <w:vAlign w:val="center"/>
          </w:tcPr>
          <w:p>
            <w:pPr>
              <w:jc w:val="both"/>
              <w:rPr>
                <w:rFonts w:hint="eastAsia" w:asci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项目编号</w:t>
            </w:r>
          </w:p>
        </w:tc>
        <w:tc>
          <w:tcPr>
            <w:tcW w:w="6474" w:type="dxa"/>
            <w:vAlign w:val="center"/>
          </w:tcPr>
          <w:p>
            <w:pPr>
              <w:jc w:val="both"/>
              <w:rPr>
                <w:rFonts w:hint="eastAsia" w:asci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采 购 人</w:t>
            </w:r>
          </w:p>
        </w:tc>
        <w:tc>
          <w:tcPr>
            <w:tcW w:w="6474" w:type="dxa"/>
            <w:vAlign w:val="center"/>
          </w:tcPr>
          <w:p>
            <w:pPr>
              <w:jc w:val="both"/>
              <w:rPr>
                <w:rFonts w:hint="eastAsia" w:asci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使 用 人</w:t>
            </w:r>
          </w:p>
        </w:tc>
        <w:tc>
          <w:tcPr>
            <w:tcW w:w="6474" w:type="dxa"/>
            <w:vAlign w:val="center"/>
          </w:tcPr>
          <w:p>
            <w:pPr>
              <w:jc w:val="both"/>
              <w:rPr>
                <w:rFonts w:hint="eastAsia" w:asci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供 应 商</w:t>
            </w:r>
          </w:p>
        </w:tc>
        <w:tc>
          <w:tcPr>
            <w:tcW w:w="6474" w:type="dxa"/>
            <w:vAlign w:val="center"/>
          </w:tcPr>
          <w:p>
            <w:pPr>
              <w:jc w:val="both"/>
              <w:rPr>
                <w:rFonts w:hint="eastAsia" w:ascii="宋体" w:eastAsia="宋体" w:cs="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验收依据</w:t>
            </w:r>
          </w:p>
        </w:tc>
        <w:tc>
          <w:tcPr>
            <w:tcW w:w="6474" w:type="dxa"/>
            <w:vAlign w:val="center"/>
          </w:tcPr>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1.政府采购合同（合同名称及编号）</w:t>
            </w:r>
          </w:p>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2.中标（成交）公告或中标（成交）通知书</w:t>
            </w:r>
          </w:p>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3.招标（磋商、谈判）文件</w:t>
            </w:r>
          </w:p>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4.投标（响应）文件</w:t>
            </w:r>
          </w:p>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5.供应商的承诺、声明或保证（如有）</w:t>
            </w:r>
          </w:p>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注：验收依据可根据项目具体情况适当增加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供应商对履约情况的总结及提供的相关证明材料</w:t>
            </w:r>
          </w:p>
        </w:tc>
        <w:tc>
          <w:tcPr>
            <w:tcW w:w="6474" w:type="dxa"/>
            <w:vAlign w:val="center"/>
          </w:tcPr>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注：供应商根据采购合同的约定，对履约情况（包括但不限于采购合同中约定的服务内容、服务要求、服务质量、人员配置、服务成果、服务成果的交付等）进行总 结，并提供相应的履约证明材料作为附件。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采购人（使用人）对履约情况的确认</w:t>
            </w:r>
          </w:p>
        </w:tc>
        <w:tc>
          <w:tcPr>
            <w:tcW w:w="6474" w:type="dxa"/>
            <w:vAlign w:val="center"/>
          </w:tcPr>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注：采购人或使用人根据采购合同约定，对供应商履约情况进行逐一确认。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验收人员名单及组成</w:t>
            </w:r>
          </w:p>
        </w:tc>
        <w:tc>
          <w:tcPr>
            <w:tcW w:w="6474" w:type="dxa"/>
            <w:vAlign w:val="center"/>
          </w:tcPr>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采购人代表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2725" w:type="dxa"/>
            <w:vAlign w:val="center"/>
          </w:tcPr>
          <w:p>
            <w:pPr>
              <w:ind w:left="0" w:right="0" w:firstLine="0"/>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验收评价及结论</w:t>
            </w:r>
          </w:p>
        </w:tc>
        <w:tc>
          <w:tcPr>
            <w:tcW w:w="6474" w:type="dxa"/>
            <w:vAlign w:val="center"/>
          </w:tcPr>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评价：</w:t>
            </w:r>
          </w:p>
          <w:p>
            <w:pPr>
              <w:jc w:val="both"/>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结论：☐通过 </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xml:space="preserve"> ☐不通过，具体说明：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2725"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验收人员签字</w:t>
            </w:r>
          </w:p>
        </w:tc>
        <w:tc>
          <w:tcPr>
            <w:tcW w:w="647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firstLine="2160" w:firstLineChars="900"/>
              <w:jc w:val="right"/>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年 </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xml:space="preserve"> 月  </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jc w:val="center"/>
        </w:trPr>
        <w:tc>
          <w:tcPr>
            <w:tcW w:w="2725"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采购人确认意见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（采购人委托代理机构验收时适用）</w:t>
            </w:r>
          </w:p>
        </w:tc>
        <w:tc>
          <w:tcPr>
            <w:tcW w:w="647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 同意验收结论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 不同意验收结论。具体说明：</w:t>
            </w:r>
          </w:p>
          <w:p>
            <w:pPr>
              <w:keepNext w:val="0"/>
              <w:keepLines w:val="0"/>
              <w:pageBreakBefore w:val="0"/>
              <w:widowControl/>
              <w:kinsoku/>
              <w:wordWrap/>
              <w:overflowPunct/>
              <w:topLinePunct w:val="0"/>
              <w:autoSpaceDE w:val="0"/>
              <w:autoSpaceDN w:val="0"/>
              <w:bidi w:val="0"/>
              <w:adjustRightInd w:val="0"/>
              <w:snapToGrid w:val="0"/>
              <w:spacing w:line="360" w:lineRule="auto"/>
              <w:ind w:firstLine="960" w:firstLineChars="4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年 </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xml:space="preserve"> 月  </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725"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备注</w:t>
            </w:r>
          </w:p>
        </w:tc>
        <w:tc>
          <w:tcPr>
            <w:tcW w:w="647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eastAsia="宋体" w:cs="宋体"/>
                <w:color w:val="auto"/>
                <w:sz w:val="24"/>
                <w:szCs w:val="24"/>
                <w:highlight w:val="none"/>
              </w:rPr>
            </w:pPr>
          </w:p>
        </w:tc>
      </w:tr>
    </w:tbl>
    <w:p>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firstLine="480" w:firstLineChars="200"/>
        <w:textAlignment w:val="baseline"/>
        <w:rPr>
          <w:rFonts w:hint="eastAsia" w:ascii="宋体" w:eastAsia="宋体" w:cs="宋体"/>
          <w:b/>
          <w:bCs/>
          <w:color w:val="auto"/>
          <w:sz w:val="28"/>
          <w:szCs w:val="28"/>
          <w:lang w:eastAsia="zh-CN"/>
        </w:rPr>
      </w:pPr>
      <w:r>
        <w:rPr>
          <w:rFonts w:hint="eastAsia" w:ascii="宋体" w:eastAsia="宋体" w:cs="宋体"/>
          <w:color w:val="auto"/>
          <w:sz w:val="24"/>
          <w:szCs w:val="24"/>
          <w:highlight w:val="none"/>
        </w:rPr>
        <w:t>采购人代表签字：</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xml:space="preserve">年 </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 xml:space="preserve"> 月  </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日</w:t>
      </w:r>
      <w:r>
        <w:rPr>
          <w:rFonts w:hint="eastAsia" w:ascii="宋体" w:eastAsia="宋体" w:cs="宋体"/>
          <w:b/>
          <w:bCs/>
          <w:color w:val="auto"/>
          <w:sz w:val="28"/>
          <w:szCs w:val="28"/>
          <w:lang w:eastAsia="zh-CN"/>
        </w:rPr>
        <w:br w:type="page"/>
      </w:r>
    </w:p>
    <w:p>
      <w:pPr>
        <w:kinsoku/>
        <w:spacing w:line="360" w:lineRule="auto"/>
        <w:ind w:left="0" w:leftChars="0" w:right="0" w:rightChars="0" w:firstLine="0" w:firstLineChars="0"/>
        <w:jc w:val="center"/>
        <w:outlineLvl w:val="0"/>
        <w:rPr>
          <w:rFonts w:ascii="宋体" w:eastAsia="宋体" w:cs="宋体"/>
          <w:color w:val="auto"/>
          <w:sz w:val="24"/>
          <w:szCs w:val="24"/>
          <w:lang w:eastAsia="zh-CN"/>
        </w:rPr>
      </w:pPr>
      <w:r>
        <w:rPr>
          <w:rFonts w:hint="eastAsia" w:ascii="宋体" w:eastAsia="宋体" w:cs="宋体"/>
          <w:b/>
          <w:bCs/>
          <w:color w:val="auto"/>
          <w:sz w:val="28"/>
          <w:szCs w:val="28"/>
          <w:lang w:eastAsia="zh-CN"/>
        </w:rPr>
        <w:t>第七章  响应文件格式与要求</w:t>
      </w:r>
    </w:p>
    <w:p>
      <w:pPr>
        <w:kinsoku/>
        <w:spacing w:line="360" w:lineRule="auto"/>
        <w:ind w:left="0" w:leftChars="0" w:right="0" w:rightChars="0" w:firstLine="480" w:firstLineChars="200"/>
        <w:jc w:val="both"/>
        <w:rPr>
          <w:rFonts w:ascii="宋体" w:eastAsia="宋体" w:cs="宋体"/>
          <w:color w:val="auto"/>
          <w:sz w:val="24"/>
          <w:szCs w:val="24"/>
          <w:lang w:eastAsia="zh-CN"/>
        </w:rPr>
      </w:pPr>
      <w:r>
        <w:rPr>
          <w:rFonts w:hint="eastAsia" w:ascii="宋体" w:eastAsia="宋体" w:cs="宋体"/>
          <w:color w:val="auto"/>
          <w:sz w:val="24"/>
          <w:szCs w:val="24"/>
          <w:lang w:eastAsia="zh-CN"/>
        </w:rPr>
        <w:t>供应商按照以下格式编制响应文件。</w:t>
      </w:r>
    </w:p>
    <w:p>
      <w:pPr>
        <w:kinsoku/>
        <w:spacing w:line="360" w:lineRule="auto"/>
        <w:ind w:firstLine="480" w:firstLineChars="200"/>
        <w:rPr>
          <w:rFonts w:ascii="宋体" w:eastAsia="宋体" w:cs="宋体"/>
          <w:color w:val="auto"/>
          <w:sz w:val="24"/>
          <w:szCs w:val="24"/>
          <w:lang w:eastAsia="zh-CN"/>
        </w:rPr>
        <w:sectPr>
          <w:footerReference r:id="rId11"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560" w:firstLineChars="200"/>
        <w:rPr>
          <w:rFonts w:ascii="宋体" w:eastAsia="宋体" w:cs="宋体"/>
          <w:color w:val="auto"/>
          <w:sz w:val="28"/>
          <w:szCs w:val="28"/>
          <w:lang w:eastAsia="zh-CN"/>
        </w:rPr>
      </w:pPr>
      <w:r>
        <w:rPr>
          <w:rFonts w:hint="eastAsia" w:ascii="宋体" w:eastAsia="宋体" w:cs="宋体"/>
          <w:color w:val="auto"/>
          <w:sz w:val="28"/>
          <w:szCs w:val="28"/>
          <w:lang w:eastAsia="zh-CN"/>
        </w:rPr>
        <w:t>响应文件封面格式：</w:t>
      </w:r>
    </w:p>
    <w:p>
      <w:pPr>
        <w:kinsoku/>
        <w:spacing w:line="360" w:lineRule="auto"/>
        <w:ind w:firstLine="722" w:firstLineChars="200"/>
        <w:jc w:val="center"/>
        <w:rPr>
          <w:rFonts w:ascii="宋体" w:eastAsia="宋体" w:cs="宋体"/>
          <w:b/>
          <w:bCs/>
          <w:color w:val="auto"/>
          <w:sz w:val="36"/>
          <w:szCs w:val="36"/>
          <w:lang w:eastAsia="zh-CN"/>
        </w:rPr>
      </w:pPr>
    </w:p>
    <w:p>
      <w:pPr>
        <w:kinsoku/>
        <w:spacing w:line="360" w:lineRule="auto"/>
        <w:ind w:firstLine="722" w:firstLineChars="200"/>
        <w:jc w:val="center"/>
        <w:rPr>
          <w:rFonts w:ascii="宋体" w:eastAsia="宋体" w:cs="宋体"/>
          <w:b/>
          <w:bCs/>
          <w:color w:val="auto"/>
          <w:sz w:val="36"/>
          <w:szCs w:val="36"/>
          <w:lang w:eastAsia="zh-CN"/>
        </w:rPr>
      </w:pPr>
    </w:p>
    <w:p>
      <w:pPr>
        <w:kinsoku/>
        <w:spacing w:line="360" w:lineRule="auto"/>
        <w:ind w:firstLine="722" w:firstLineChars="200"/>
        <w:jc w:val="center"/>
        <w:rPr>
          <w:rFonts w:ascii="宋体" w:eastAsia="宋体" w:cs="宋体"/>
          <w:b/>
          <w:bCs/>
          <w:color w:val="auto"/>
          <w:sz w:val="36"/>
          <w:szCs w:val="36"/>
          <w:lang w:eastAsia="zh-CN"/>
        </w:rPr>
      </w:pPr>
    </w:p>
    <w:p>
      <w:pPr>
        <w:kinsoku/>
        <w:spacing w:line="360" w:lineRule="auto"/>
        <w:ind w:left="0" w:leftChars="0" w:right="0" w:rightChars="0" w:firstLine="0" w:firstLineChars="0"/>
        <w:jc w:val="center"/>
        <w:rPr>
          <w:rFonts w:ascii="宋体" w:eastAsia="宋体" w:cs="宋体"/>
          <w:b/>
          <w:bCs/>
          <w:color w:val="auto"/>
          <w:sz w:val="36"/>
          <w:szCs w:val="36"/>
          <w:lang w:eastAsia="zh-CN"/>
        </w:rPr>
      </w:pPr>
      <w:r>
        <w:rPr>
          <w:rFonts w:hint="eastAsia" w:ascii="宋体" w:eastAsia="宋体" w:cs="宋体"/>
          <w:b/>
          <w:bCs/>
          <w:color w:val="auto"/>
          <w:sz w:val="36"/>
          <w:szCs w:val="36"/>
          <w:lang w:eastAsia="zh-CN"/>
        </w:rPr>
        <w:t>（项目名称）</w:t>
      </w:r>
    </w:p>
    <w:p>
      <w:pPr>
        <w:kinsoku/>
        <w:spacing w:line="360" w:lineRule="auto"/>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b/>
          <w:bCs/>
          <w:color w:val="auto"/>
          <w:sz w:val="36"/>
          <w:szCs w:val="36"/>
          <w:lang w:eastAsia="zh-CN"/>
        </w:rPr>
        <w:t>响应文件</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项目编号：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包    号：第    包（项目划分采购包时使用）</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jc w:val="center"/>
        <w:rPr>
          <w:rFonts w:ascii="宋体" w:eastAsia="宋体" w:cs="宋体"/>
          <w:color w:val="auto"/>
          <w:sz w:val="24"/>
          <w:szCs w:val="24"/>
          <w:lang w:eastAsia="zh-CN"/>
        </w:rPr>
      </w:pPr>
      <w:r>
        <w:rPr>
          <w:rFonts w:hint="eastAsia" w:ascii="宋体" w:eastAsia="宋体" w:cs="宋体"/>
          <w:color w:val="auto"/>
          <w:sz w:val="24"/>
          <w:szCs w:val="24"/>
          <w:lang w:eastAsia="zh-CN"/>
        </w:rPr>
        <w:t>（供应商名称）（盖章）</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jc w:val="center"/>
        <w:rPr>
          <w:rFonts w:ascii="宋体" w:eastAsia="宋体" w:cs="宋体"/>
          <w:color w:val="auto"/>
          <w:sz w:val="24"/>
          <w:szCs w:val="24"/>
          <w:lang w:eastAsia="zh-CN"/>
        </w:rPr>
      </w:pPr>
      <w:r>
        <w:rPr>
          <w:rFonts w:hint="eastAsia" w:ascii="宋体" w:eastAsia="宋体" w:cs="宋体"/>
          <w:color w:val="auto"/>
          <w:sz w:val="24"/>
          <w:szCs w:val="24"/>
          <w:lang w:eastAsia="zh-CN"/>
        </w:rPr>
        <w:t>年   月   日</w:t>
      </w:r>
    </w:p>
    <w:p>
      <w:pPr>
        <w:kinsoku/>
        <w:spacing w:line="360" w:lineRule="auto"/>
        <w:ind w:firstLine="480" w:firstLineChars="200"/>
        <w:rPr>
          <w:rFonts w:ascii="宋体" w:eastAsia="宋体" w:cs="宋体"/>
          <w:color w:val="auto"/>
          <w:sz w:val="24"/>
          <w:szCs w:val="24"/>
          <w:lang w:eastAsia="zh-CN"/>
        </w:rPr>
        <w:sectPr>
          <w:footerReference r:id="rId12"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响应文件目录格式：</w:t>
      </w:r>
    </w:p>
    <w:p>
      <w:pPr>
        <w:kinsoku/>
        <w:spacing w:line="360" w:lineRule="auto"/>
        <w:ind w:firstLine="480" w:firstLineChars="200"/>
        <w:jc w:val="center"/>
        <w:rPr>
          <w:rFonts w:ascii="宋体" w:eastAsia="宋体" w:cs="宋体"/>
          <w:color w:val="auto"/>
          <w:sz w:val="24"/>
          <w:szCs w:val="24"/>
          <w:lang w:eastAsia="zh-CN"/>
        </w:rPr>
      </w:pPr>
      <w:r>
        <w:rPr>
          <w:rFonts w:hint="eastAsia" w:ascii="宋体" w:eastAsia="宋体" w:cs="宋体"/>
          <w:color w:val="auto"/>
          <w:sz w:val="24"/>
          <w:szCs w:val="24"/>
          <w:lang w:eastAsia="zh-CN"/>
        </w:rPr>
        <w:t>目  录</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一、响应承诺书</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二、首轮报价表</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三、分项报价表</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四、授权委托书</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五、缴纳磋商保证金证明材料</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六、供应商基本情况表</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七、具有独立承担民事责任的能力的证明材料</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八、具有良好的商业信誉和健全的财务会计制度的相关材料</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九、依法缴纳税收和社会保障资金的良好记录的相关材料</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十、具有履行合同所必需的设备和专业技术能力的相关材料</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十一、参加政府采购活动前三年内在经营活动中没有重大违法记录的书面声明</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十二、联合体协议书</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十三、中小企业声明函</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十四、监狱企业证明文件</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十五、残疾人福利性单位声明函</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十六、主要商务要求承诺书</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十七、技术偏离表</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十八、项目组成人员一览表</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十九、项目实施方案、质量保证及售后服务承诺等</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二十、供应商业绩情况表</w:t>
      </w:r>
    </w:p>
    <w:p>
      <w:pPr>
        <w:kinsoku/>
        <w:spacing w:line="360" w:lineRule="auto"/>
        <w:ind w:firstLine="440" w:firstLineChars="200"/>
        <w:rPr>
          <w:rFonts w:ascii="宋体" w:eastAsia="宋体" w:cs="宋体"/>
          <w:color w:val="auto"/>
          <w:sz w:val="22"/>
          <w:szCs w:val="22"/>
          <w:lang w:eastAsia="zh-CN"/>
        </w:rPr>
      </w:pPr>
      <w:r>
        <w:rPr>
          <w:rFonts w:hint="eastAsia" w:ascii="宋体" w:eastAsia="宋体" w:cs="宋体"/>
          <w:color w:val="auto"/>
          <w:sz w:val="22"/>
          <w:szCs w:val="22"/>
          <w:lang w:eastAsia="zh-CN"/>
        </w:rPr>
        <w:t>二十一、其他证明材料</w:t>
      </w:r>
    </w:p>
    <w:p>
      <w:pPr>
        <w:kinsoku/>
        <w:spacing w:line="360" w:lineRule="auto"/>
        <w:ind w:firstLine="440" w:firstLineChars="200"/>
        <w:rPr>
          <w:rFonts w:ascii="宋体" w:eastAsia="宋体" w:cs="宋体"/>
          <w:color w:val="auto"/>
          <w:sz w:val="22"/>
          <w:szCs w:val="22"/>
          <w:lang w:eastAsia="zh-CN"/>
        </w:rPr>
      </w:pPr>
    </w:p>
    <w:p>
      <w:pPr>
        <w:kinsoku/>
        <w:spacing w:line="360" w:lineRule="auto"/>
        <w:ind w:firstLine="480" w:firstLineChars="200"/>
        <w:rPr>
          <w:rFonts w:ascii="宋体" w:eastAsia="宋体" w:cs="宋体"/>
          <w:color w:val="auto"/>
          <w:sz w:val="24"/>
          <w:szCs w:val="24"/>
          <w:lang w:eastAsia="zh-CN"/>
        </w:rPr>
        <w:sectPr>
          <w:footerReference r:id="rId13"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b w:val="0"/>
          <w:bCs w:val="0"/>
          <w:color w:val="auto"/>
          <w:sz w:val="24"/>
          <w:szCs w:val="24"/>
          <w:lang w:eastAsia="zh-CN"/>
        </w:rPr>
      </w:pPr>
      <w:r>
        <w:rPr>
          <w:rFonts w:hint="eastAsia" w:ascii="宋体" w:eastAsia="宋体" w:cs="宋体"/>
          <w:b w:val="0"/>
          <w:bCs w:val="0"/>
          <w:color w:val="auto"/>
          <w:sz w:val="24"/>
          <w:szCs w:val="24"/>
          <w:lang w:eastAsia="zh-CN"/>
        </w:rPr>
        <w:t>响应文件正文格式：</w:t>
      </w: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一、响应承诺书</w:t>
      </w:r>
    </w:p>
    <w:p>
      <w:pPr>
        <w:kinsoku/>
        <w:spacing w:line="440" w:lineRule="exact"/>
        <w:rPr>
          <w:rFonts w:ascii="宋体" w:eastAsia="宋体" w:cs="宋体"/>
          <w:color w:val="auto"/>
          <w:sz w:val="24"/>
          <w:szCs w:val="24"/>
          <w:lang w:eastAsia="zh-CN"/>
        </w:rPr>
      </w:pPr>
      <w:r>
        <w:rPr>
          <w:rFonts w:hint="eastAsia" w:ascii="宋体" w:eastAsia="宋体" w:cs="宋体"/>
          <w:color w:val="auto"/>
          <w:sz w:val="24"/>
          <w:szCs w:val="24"/>
          <w:lang w:eastAsia="zh-CN"/>
        </w:rPr>
        <w:t>致：</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（采购单位名称和采购代理机构名称）</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你方组织的</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（项目名称）的采购，项目编号：</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，我方自愿参与，并就有关事项郑重承诺如下：</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一、我方完全理解并接受该项目磋商文件的所有要求。</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二、我方严格遵守《中华人民共和国政府采购法》《中华人民共和国民法典》及相关法律、法规的规定，如有违反，承担相应的法律责任。</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三、我方在报价表中的报价为响应总报价。</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四、我方同意提供贵方要求的与磋商有关的任何数据和资料。</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五、我方将按照磋商文件、响应文件等要求，签订并严格执行政府采购合同。</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六、我方响应报价已包含应向知识产权所有权人支付的所有相关税费，并保证采购人在中国使用我方提供的货物时，如有第三方提出侵犯其知识产权主张的，责任由我方承担。</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七、我方承诺未为本项目提供整体设计、规范编制或者项目管理、监理、检测等服务。</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八、我方提供的响应文件内容全部真实有效，如有虚假或隐瞒，我方愿意承担一切法律责任。</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九、若我方成交，愿意按有关规定及磋商文件要求缴纳代理服务费。若采购人支付代理服务费，则此条不适用。</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详细地址：</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邮政编码：</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电    话：</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电子邮箱：</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供应商开户银行：</w:t>
      </w:r>
    </w:p>
    <w:p>
      <w:pPr>
        <w:kinsoku/>
        <w:spacing w:line="44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账号/行号：</w:t>
      </w:r>
    </w:p>
    <w:p>
      <w:pPr>
        <w:kinsoku/>
        <w:spacing w:line="440" w:lineRule="exact"/>
        <w:ind w:firstLine="4080" w:firstLineChars="1700"/>
        <w:rPr>
          <w:rFonts w:ascii="宋体" w:eastAsia="宋体" w:cs="宋体"/>
          <w:color w:val="auto"/>
          <w:sz w:val="24"/>
          <w:szCs w:val="24"/>
          <w:lang w:eastAsia="zh-CN"/>
        </w:rPr>
      </w:pPr>
      <w:r>
        <w:rPr>
          <w:rFonts w:hint="eastAsia" w:ascii="宋体" w:eastAsia="宋体" w:cs="宋体"/>
          <w:color w:val="auto"/>
          <w:sz w:val="24"/>
          <w:szCs w:val="24"/>
          <w:lang w:eastAsia="zh-CN"/>
        </w:rPr>
        <w:t>供应商名称（盖章）：</w:t>
      </w:r>
    </w:p>
    <w:p>
      <w:pPr>
        <w:kinsoku/>
        <w:spacing w:line="440" w:lineRule="exact"/>
        <w:ind w:firstLine="4080" w:firstLineChars="1700"/>
        <w:rPr>
          <w:rFonts w:ascii="宋体" w:eastAsia="宋体" w:cs="宋体"/>
          <w:color w:val="auto"/>
          <w:sz w:val="24"/>
          <w:szCs w:val="24"/>
          <w:lang w:eastAsia="zh-CN"/>
        </w:rPr>
      </w:pPr>
      <w:r>
        <w:rPr>
          <w:rFonts w:hint="eastAsia" w:ascii="宋体" w:eastAsia="宋体" w:cs="宋体"/>
          <w:color w:val="auto"/>
          <w:sz w:val="24"/>
          <w:szCs w:val="24"/>
          <w:lang w:eastAsia="zh-CN"/>
        </w:rPr>
        <w:t>法定代表人或授权委托人（</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/盖章</w:t>
      </w:r>
      <w:r>
        <w:rPr>
          <w:rFonts w:hint="eastAsia" w:ascii="宋体" w:eastAsia="宋体" w:cs="宋体"/>
          <w:color w:val="auto"/>
          <w:sz w:val="24"/>
          <w:szCs w:val="24"/>
          <w:lang w:eastAsia="zh-CN"/>
        </w:rPr>
        <w:t>）：</w:t>
      </w:r>
    </w:p>
    <w:p>
      <w:pPr>
        <w:kinsoku/>
        <w:spacing w:line="440" w:lineRule="exact"/>
        <w:ind w:firstLine="480" w:firstLineChars="200"/>
        <w:jc w:val="right"/>
        <w:rPr>
          <w:rFonts w:ascii="宋体" w:eastAsia="宋体" w:cs="宋体"/>
          <w:color w:val="auto"/>
          <w:sz w:val="24"/>
          <w:szCs w:val="24"/>
          <w:lang w:eastAsia="zh-CN"/>
        </w:rPr>
      </w:pPr>
      <w:r>
        <w:rPr>
          <w:rFonts w:hint="eastAsia" w:ascii="宋体" w:eastAsia="宋体" w:cs="宋体"/>
          <w:color w:val="auto"/>
          <w:sz w:val="24"/>
          <w:szCs w:val="24"/>
          <w:lang w:eastAsia="zh-CN"/>
        </w:rPr>
        <w:t>年    月    日</w:t>
      </w:r>
    </w:p>
    <w:p>
      <w:pPr>
        <w:kinsoku/>
        <w:spacing w:line="440" w:lineRule="exact"/>
        <w:ind w:firstLine="480" w:firstLineChars="200"/>
        <w:rPr>
          <w:rFonts w:ascii="宋体" w:eastAsia="宋体" w:cs="宋体"/>
          <w:color w:val="auto"/>
          <w:sz w:val="24"/>
          <w:szCs w:val="24"/>
          <w:lang w:eastAsia="zh-CN"/>
        </w:rPr>
        <w:sectPr>
          <w:footerReference r:id="rId14"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二、首轮报价表</w:t>
      </w:r>
    </w:p>
    <w:p>
      <w:pPr>
        <w:kinsoku/>
        <w:spacing w:line="360" w:lineRule="auto"/>
        <w:ind w:firstLine="480" w:firstLineChars="200"/>
        <w:jc w:val="center"/>
        <w:rPr>
          <w:rFonts w:ascii="宋体" w:eastAsia="宋体" w:cs="宋体"/>
          <w:color w:val="auto"/>
          <w:sz w:val="24"/>
          <w:szCs w:val="24"/>
          <w:lang w:eastAsia="zh-CN"/>
        </w:rPr>
      </w:pPr>
    </w:p>
    <w:p>
      <w:pPr>
        <w:kinsoku/>
        <w:spacing w:line="360" w:lineRule="auto"/>
        <w:ind w:left="0" w:leftChars="0" w:right="0" w:rightChars="0" w:firstLine="0" w:firstLineChars="0"/>
        <w:jc w:val="center"/>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项目编号：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项目名称：</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供应商名称：</w:t>
      </w:r>
    </w:p>
    <w:tbl>
      <w:tblPr>
        <w:tblStyle w:val="18"/>
        <w:tblW w:w="94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723"/>
        <w:gridCol w:w="2243"/>
        <w:gridCol w:w="1763"/>
        <w:gridCol w:w="1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800" w:type="dxa"/>
            <w:vAlign w:val="center"/>
          </w:tcPr>
          <w:p>
            <w:pPr>
              <w:jc w:val="center"/>
              <w:rPr>
                <w:rFonts w:ascii="宋体" w:eastAsia="宋体" w:cs="宋体"/>
                <w:color w:val="auto"/>
                <w:sz w:val="24"/>
                <w:szCs w:val="24"/>
              </w:rPr>
            </w:pPr>
            <w:r>
              <w:rPr>
                <w:rFonts w:hint="eastAsia" w:ascii="宋体" w:eastAsia="宋体" w:cs="宋体"/>
                <w:color w:val="auto"/>
                <w:sz w:val="24"/>
                <w:szCs w:val="24"/>
              </w:rPr>
              <w:t>序号</w:t>
            </w:r>
          </w:p>
        </w:tc>
        <w:tc>
          <w:tcPr>
            <w:tcW w:w="2723" w:type="dxa"/>
            <w:vAlign w:val="center"/>
          </w:tcPr>
          <w:p>
            <w:pPr>
              <w:jc w:val="center"/>
              <w:rPr>
                <w:rFonts w:ascii="宋体" w:eastAsia="宋体" w:cs="宋体"/>
                <w:color w:val="auto"/>
                <w:sz w:val="24"/>
                <w:szCs w:val="24"/>
              </w:rPr>
            </w:pPr>
            <w:r>
              <w:rPr>
                <w:rFonts w:hint="eastAsia" w:ascii="宋体" w:eastAsia="宋体" w:cs="宋体"/>
                <w:color w:val="auto"/>
                <w:sz w:val="24"/>
                <w:szCs w:val="24"/>
              </w:rPr>
              <w:t>采购项目名称/包名称</w:t>
            </w:r>
          </w:p>
        </w:tc>
        <w:tc>
          <w:tcPr>
            <w:tcW w:w="2243" w:type="dxa"/>
            <w:vAlign w:val="center"/>
          </w:tcPr>
          <w:p>
            <w:pPr>
              <w:jc w:val="center"/>
              <w:rPr>
                <w:rFonts w:ascii="宋体" w:eastAsia="宋体" w:cs="宋体"/>
                <w:color w:val="auto"/>
                <w:sz w:val="24"/>
                <w:szCs w:val="24"/>
              </w:rPr>
            </w:pPr>
            <w:r>
              <w:rPr>
                <w:rFonts w:hint="eastAsia" w:ascii="宋体" w:eastAsia="宋体" w:cs="宋体"/>
                <w:color w:val="auto"/>
                <w:sz w:val="24"/>
                <w:szCs w:val="24"/>
              </w:rPr>
              <w:t>总报价（元）</w:t>
            </w:r>
          </w:p>
        </w:tc>
        <w:tc>
          <w:tcPr>
            <w:tcW w:w="1763" w:type="dxa"/>
            <w:vAlign w:val="center"/>
          </w:tcPr>
          <w:p>
            <w:pPr>
              <w:jc w:val="center"/>
              <w:rPr>
                <w:rFonts w:hint="eastAsia" w:ascii="宋体" w:eastAsia="宋体" w:cs="宋体"/>
                <w:color w:val="auto"/>
                <w:sz w:val="24"/>
                <w:szCs w:val="24"/>
                <w:lang w:eastAsia="zh-CN"/>
              </w:rPr>
            </w:pPr>
            <w:r>
              <w:rPr>
                <w:rFonts w:hint="eastAsia" w:ascii="宋体" w:eastAsia="宋体" w:cs="宋体"/>
                <w:color w:val="auto"/>
                <w:sz w:val="24"/>
                <w:szCs w:val="24"/>
                <w:lang w:eastAsia="zh-CN"/>
              </w:rPr>
              <w:t>交货或</w:t>
            </w:r>
            <w:r>
              <w:rPr>
                <w:rFonts w:hint="eastAsia" w:ascii="宋体" w:eastAsia="宋体" w:cs="宋体"/>
                <w:color w:val="auto"/>
                <w:sz w:val="24"/>
                <w:szCs w:val="24"/>
              </w:rPr>
              <w:t>服务</w:t>
            </w:r>
            <w:r>
              <w:rPr>
                <w:rFonts w:hint="eastAsia" w:ascii="宋体" w:eastAsia="宋体" w:cs="宋体"/>
                <w:color w:val="auto"/>
                <w:sz w:val="24"/>
                <w:szCs w:val="24"/>
                <w:lang w:eastAsia="zh-CN"/>
              </w:rPr>
              <w:t>期限</w:t>
            </w:r>
          </w:p>
        </w:tc>
        <w:tc>
          <w:tcPr>
            <w:tcW w:w="1929" w:type="dxa"/>
            <w:vAlign w:val="center"/>
          </w:tcPr>
          <w:p>
            <w:pPr>
              <w:jc w:val="center"/>
              <w:rPr>
                <w:rFonts w:ascii="宋体" w:eastAsia="宋体" w:cs="宋体"/>
                <w:color w:val="auto"/>
                <w:sz w:val="24"/>
                <w:szCs w:val="24"/>
              </w:rPr>
            </w:pPr>
            <w:r>
              <w:rPr>
                <w:rFonts w:hint="eastAsia" w:ascii="宋体" w:eastAsia="宋体" w:cs="宋体"/>
                <w:color w:val="auto"/>
                <w:sz w:val="24"/>
                <w:szCs w:val="24"/>
                <w:lang w:eastAsia="zh-CN"/>
              </w:rPr>
              <w:t>交货或</w:t>
            </w:r>
            <w:r>
              <w:rPr>
                <w:rFonts w:hint="eastAsia" w:ascii="宋体" w:eastAsia="宋体" w:cs="宋体"/>
                <w:color w:val="auto"/>
                <w:sz w:val="24"/>
                <w:szCs w:val="24"/>
              </w:rPr>
              <w:t>服务地点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800" w:type="dxa"/>
            <w:vAlign w:val="center"/>
          </w:tcPr>
          <w:p>
            <w:pPr>
              <w:jc w:val="center"/>
              <w:rPr>
                <w:rFonts w:ascii="宋体" w:eastAsia="宋体" w:cs="宋体"/>
                <w:color w:val="auto"/>
                <w:sz w:val="24"/>
                <w:szCs w:val="24"/>
              </w:rPr>
            </w:pPr>
            <w:r>
              <w:rPr>
                <w:rFonts w:hint="eastAsia" w:ascii="宋体" w:eastAsia="宋体" w:cs="宋体"/>
                <w:color w:val="auto"/>
                <w:sz w:val="24"/>
                <w:szCs w:val="24"/>
              </w:rPr>
              <w:t>1</w:t>
            </w:r>
          </w:p>
        </w:tc>
        <w:tc>
          <w:tcPr>
            <w:tcW w:w="2723" w:type="dxa"/>
            <w:vAlign w:val="center"/>
          </w:tcPr>
          <w:p>
            <w:pPr>
              <w:jc w:val="center"/>
              <w:rPr>
                <w:rFonts w:ascii="宋体" w:eastAsia="宋体" w:cs="宋体"/>
                <w:color w:val="auto"/>
                <w:sz w:val="24"/>
                <w:szCs w:val="24"/>
              </w:rPr>
            </w:pPr>
          </w:p>
        </w:tc>
        <w:tc>
          <w:tcPr>
            <w:tcW w:w="2243" w:type="dxa"/>
            <w:vAlign w:val="center"/>
          </w:tcPr>
          <w:p>
            <w:pPr>
              <w:jc w:val="center"/>
              <w:rPr>
                <w:rFonts w:ascii="宋体" w:eastAsia="宋体" w:cs="宋体"/>
                <w:color w:val="auto"/>
                <w:sz w:val="24"/>
                <w:szCs w:val="24"/>
              </w:rPr>
            </w:pPr>
          </w:p>
        </w:tc>
        <w:tc>
          <w:tcPr>
            <w:tcW w:w="1763" w:type="dxa"/>
            <w:vAlign w:val="center"/>
          </w:tcPr>
          <w:p>
            <w:pPr>
              <w:jc w:val="center"/>
              <w:rPr>
                <w:rFonts w:ascii="宋体" w:eastAsia="宋体" w:cs="宋体"/>
                <w:color w:val="auto"/>
                <w:sz w:val="24"/>
                <w:szCs w:val="24"/>
              </w:rPr>
            </w:pPr>
          </w:p>
        </w:tc>
        <w:tc>
          <w:tcPr>
            <w:tcW w:w="1929" w:type="dxa"/>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800" w:type="dxa"/>
            <w:vAlign w:val="center"/>
          </w:tcPr>
          <w:p>
            <w:pPr>
              <w:jc w:val="center"/>
              <w:rPr>
                <w:rFonts w:ascii="宋体" w:eastAsia="宋体" w:cs="宋体"/>
                <w:color w:val="auto"/>
                <w:sz w:val="24"/>
                <w:szCs w:val="24"/>
              </w:rPr>
            </w:pPr>
            <w:r>
              <w:rPr>
                <w:rFonts w:hint="eastAsia" w:ascii="宋体" w:eastAsia="宋体" w:cs="宋体"/>
                <w:color w:val="auto"/>
                <w:sz w:val="24"/>
                <w:szCs w:val="24"/>
              </w:rPr>
              <w:t>2</w:t>
            </w:r>
          </w:p>
        </w:tc>
        <w:tc>
          <w:tcPr>
            <w:tcW w:w="2723" w:type="dxa"/>
            <w:vAlign w:val="center"/>
          </w:tcPr>
          <w:p>
            <w:pPr>
              <w:jc w:val="center"/>
              <w:rPr>
                <w:rFonts w:ascii="宋体" w:eastAsia="宋体" w:cs="宋体"/>
                <w:color w:val="auto"/>
                <w:sz w:val="24"/>
                <w:szCs w:val="24"/>
              </w:rPr>
            </w:pPr>
          </w:p>
        </w:tc>
        <w:tc>
          <w:tcPr>
            <w:tcW w:w="2243" w:type="dxa"/>
            <w:vAlign w:val="center"/>
          </w:tcPr>
          <w:p>
            <w:pPr>
              <w:jc w:val="center"/>
              <w:rPr>
                <w:rFonts w:ascii="宋体" w:eastAsia="宋体" w:cs="宋体"/>
                <w:color w:val="auto"/>
                <w:sz w:val="24"/>
                <w:szCs w:val="24"/>
              </w:rPr>
            </w:pPr>
          </w:p>
        </w:tc>
        <w:tc>
          <w:tcPr>
            <w:tcW w:w="1763" w:type="dxa"/>
            <w:vAlign w:val="center"/>
          </w:tcPr>
          <w:p>
            <w:pPr>
              <w:jc w:val="center"/>
              <w:rPr>
                <w:rFonts w:ascii="宋体" w:eastAsia="宋体" w:cs="宋体"/>
                <w:color w:val="auto"/>
                <w:sz w:val="24"/>
                <w:szCs w:val="24"/>
              </w:rPr>
            </w:pPr>
          </w:p>
        </w:tc>
        <w:tc>
          <w:tcPr>
            <w:tcW w:w="1929" w:type="dxa"/>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800" w:type="dxa"/>
            <w:vAlign w:val="center"/>
          </w:tcPr>
          <w:p>
            <w:pPr>
              <w:jc w:val="center"/>
              <w:rPr>
                <w:rFonts w:ascii="宋体" w:eastAsia="宋体" w:cs="宋体"/>
                <w:color w:val="auto"/>
                <w:sz w:val="24"/>
                <w:szCs w:val="24"/>
              </w:rPr>
            </w:pPr>
            <w:r>
              <w:rPr>
                <w:rFonts w:hint="eastAsia" w:ascii="宋体" w:eastAsia="宋体" w:cs="宋体"/>
                <w:color w:val="auto"/>
                <w:sz w:val="24"/>
                <w:szCs w:val="24"/>
              </w:rPr>
              <w:t>…</w:t>
            </w:r>
          </w:p>
        </w:tc>
        <w:tc>
          <w:tcPr>
            <w:tcW w:w="2723" w:type="dxa"/>
            <w:vAlign w:val="center"/>
          </w:tcPr>
          <w:p>
            <w:pPr>
              <w:jc w:val="center"/>
              <w:rPr>
                <w:rFonts w:ascii="宋体" w:eastAsia="宋体" w:cs="宋体"/>
                <w:color w:val="auto"/>
                <w:sz w:val="24"/>
                <w:szCs w:val="24"/>
              </w:rPr>
            </w:pPr>
          </w:p>
        </w:tc>
        <w:tc>
          <w:tcPr>
            <w:tcW w:w="2243" w:type="dxa"/>
            <w:vAlign w:val="center"/>
          </w:tcPr>
          <w:p>
            <w:pPr>
              <w:jc w:val="center"/>
              <w:rPr>
                <w:rFonts w:ascii="宋体" w:eastAsia="宋体" w:cs="宋体"/>
                <w:color w:val="auto"/>
                <w:sz w:val="24"/>
                <w:szCs w:val="24"/>
              </w:rPr>
            </w:pPr>
          </w:p>
        </w:tc>
        <w:tc>
          <w:tcPr>
            <w:tcW w:w="1763" w:type="dxa"/>
            <w:vAlign w:val="center"/>
          </w:tcPr>
          <w:p>
            <w:pPr>
              <w:jc w:val="center"/>
              <w:rPr>
                <w:rFonts w:ascii="宋体" w:eastAsia="宋体" w:cs="宋体"/>
                <w:color w:val="auto"/>
                <w:sz w:val="24"/>
                <w:szCs w:val="24"/>
              </w:rPr>
            </w:pPr>
          </w:p>
        </w:tc>
        <w:tc>
          <w:tcPr>
            <w:tcW w:w="1929" w:type="dxa"/>
            <w:vAlign w:val="center"/>
          </w:tcPr>
          <w:p>
            <w:pPr>
              <w:jc w:val="center"/>
              <w:rPr>
                <w:rFonts w:ascii="宋体" w:eastAsia="宋体" w:cs="宋体"/>
                <w:color w:val="auto"/>
                <w:sz w:val="24"/>
                <w:szCs w:val="24"/>
              </w:rPr>
            </w:pPr>
          </w:p>
        </w:tc>
      </w:tr>
    </w:tbl>
    <w:p>
      <w:pPr>
        <w:kinsoku/>
        <w:spacing w:before="240" w:beforeLines="100" w:line="360" w:lineRule="auto"/>
        <w:ind w:firstLine="5880" w:firstLineChars="2450"/>
        <w:rPr>
          <w:rFonts w:ascii="宋体" w:eastAsia="宋体" w:cs="宋体"/>
          <w:color w:val="auto"/>
          <w:sz w:val="24"/>
          <w:szCs w:val="24"/>
        </w:rPr>
      </w:pPr>
      <w:r>
        <w:rPr>
          <w:rFonts w:hint="eastAsia" w:ascii="宋体" w:eastAsia="宋体" w:cs="宋体"/>
          <w:color w:val="auto"/>
          <w:sz w:val="24"/>
          <w:szCs w:val="24"/>
        </w:rPr>
        <w:t xml:space="preserve">供应商（盖章）：          </w:t>
      </w:r>
    </w:p>
    <w:p>
      <w:pPr>
        <w:kinsoku/>
        <w:spacing w:line="360" w:lineRule="auto"/>
        <w:ind w:firstLine="5880" w:firstLineChars="2450"/>
        <w:rPr>
          <w:rFonts w:ascii="宋体" w:eastAsia="宋体" w:cs="宋体"/>
          <w:color w:val="auto"/>
          <w:sz w:val="24"/>
          <w:szCs w:val="24"/>
        </w:rPr>
      </w:pPr>
      <w:r>
        <w:rPr>
          <w:rFonts w:hint="eastAsia" w:ascii="宋体" w:eastAsia="宋体" w:cs="宋体"/>
          <w:color w:val="auto"/>
          <w:sz w:val="24"/>
          <w:szCs w:val="24"/>
        </w:rPr>
        <w:t>日期：</w:t>
      </w:r>
    </w:p>
    <w:p>
      <w:pPr>
        <w:rPr>
          <w:rFonts w:hint="eastAsia" w:ascii="宋体" w:eastAsia="宋体" w:cs="宋体"/>
          <w:color w:val="auto"/>
          <w:sz w:val="24"/>
          <w:szCs w:val="24"/>
        </w:rPr>
      </w:pPr>
    </w:p>
    <w:p>
      <w:pPr>
        <w:rPr>
          <w:rFonts w:hint="eastAsia" w:ascii="宋体" w:eastAsia="宋体" w:cs="宋体"/>
          <w:color w:val="auto"/>
          <w:sz w:val="24"/>
          <w:szCs w:val="24"/>
        </w:rPr>
      </w:pPr>
    </w:p>
    <w:p>
      <w:pPr>
        <w:rPr>
          <w:rFonts w:hint="eastAsia" w:ascii="宋体" w:eastAsia="宋体" w:cs="宋体"/>
          <w:color w:val="auto"/>
          <w:sz w:val="24"/>
          <w:szCs w:val="24"/>
        </w:rPr>
      </w:pPr>
    </w:p>
    <w:p>
      <w:pPr>
        <w:rPr>
          <w:rFonts w:ascii="宋体" w:eastAsia="宋体" w:cs="宋体"/>
          <w:color w:val="auto"/>
          <w:sz w:val="24"/>
          <w:szCs w:val="24"/>
        </w:rPr>
      </w:pPr>
      <w:r>
        <w:rPr>
          <w:rFonts w:hint="eastAsia" w:ascii="宋体" w:eastAsia="宋体" w:cs="宋体"/>
          <w:color w:val="auto"/>
          <w:sz w:val="24"/>
          <w:szCs w:val="24"/>
        </w:rPr>
        <w:br w:type="page"/>
      </w:r>
    </w:p>
    <w:p>
      <w:pPr>
        <w:kinsoku/>
        <w:spacing w:line="360" w:lineRule="auto"/>
        <w:ind w:left="0" w:leftChars="0" w:right="0" w:rightChars="0" w:firstLine="0" w:firstLineChars="0"/>
        <w:jc w:val="center"/>
        <w:outlineLvl w:val="1"/>
        <w:rPr>
          <w:rFonts w:ascii="宋体" w:eastAsia="宋体" w:cs="宋体"/>
          <w:color w:val="auto"/>
          <w:sz w:val="24"/>
          <w:szCs w:val="24"/>
        </w:rPr>
      </w:pPr>
      <w:r>
        <w:rPr>
          <w:rFonts w:hint="eastAsia" w:ascii="宋体" w:eastAsia="宋体" w:cs="宋体"/>
          <w:b/>
          <w:bCs/>
          <w:color w:val="auto"/>
          <w:sz w:val="28"/>
          <w:szCs w:val="28"/>
          <w:lang w:eastAsia="zh-CN"/>
        </w:rPr>
        <w:t>三、</w:t>
      </w:r>
      <w:r>
        <w:rPr>
          <w:rFonts w:hint="eastAsia" w:ascii="宋体" w:eastAsia="宋体" w:cs="宋体"/>
          <w:b/>
          <w:bCs/>
          <w:color w:val="auto"/>
          <w:sz w:val="28"/>
          <w:szCs w:val="28"/>
        </w:rPr>
        <w:t>分项报价表</w:t>
      </w:r>
    </w:p>
    <w:p>
      <w:pPr>
        <w:kinsoku/>
        <w:spacing w:line="360" w:lineRule="auto"/>
        <w:ind w:firstLine="480" w:firstLineChars="200"/>
        <w:rPr>
          <w:rFonts w:hint="eastAsia" w:ascii="宋体" w:eastAsia="宋体" w:cs="宋体"/>
          <w:color w:val="auto"/>
          <w:sz w:val="24"/>
          <w:szCs w:val="24"/>
        </w:rPr>
      </w:pPr>
    </w:p>
    <w:p>
      <w:pPr>
        <w:kinsoku/>
        <w:spacing w:line="360" w:lineRule="auto"/>
        <w:ind w:firstLine="480" w:firstLineChars="200"/>
        <w:rPr>
          <w:rFonts w:hint="eastAsia" w:ascii="宋体" w:eastAsia="宋体" w:cs="宋体"/>
          <w:color w:val="auto"/>
          <w:sz w:val="24"/>
          <w:szCs w:val="24"/>
        </w:rPr>
      </w:pPr>
    </w:p>
    <w:p>
      <w:pPr>
        <w:kinsoku/>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rPr>
        <w:t>项目编号：</w:t>
      </w:r>
    </w:p>
    <w:p>
      <w:pPr>
        <w:kinsoku/>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rPr>
        <w:t>项目名称：</w:t>
      </w:r>
    </w:p>
    <w:p>
      <w:pPr>
        <w:kinsoku/>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rPr>
        <w:t>包号：</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供应商名称：                                货币及单位：人民币/元</w:t>
      </w:r>
    </w:p>
    <w:tbl>
      <w:tblPr>
        <w:tblStyle w:val="34"/>
        <w:tblW w:w="93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551"/>
        <w:gridCol w:w="1296"/>
        <w:gridCol w:w="1058"/>
        <w:gridCol w:w="1020"/>
        <w:gridCol w:w="1323"/>
        <w:gridCol w:w="810"/>
        <w:gridCol w:w="810"/>
        <w:gridCol w:w="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7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551"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服务名称</w:t>
            </w:r>
          </w:p>
        </w:tc>
        <w:tc>
          <w:tcPr>
            <w:tcW w:w="12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服务范围</w:t>
            </w:r>
          </w:p>
        </w:tc>
        <w:tc>
          <w:tcPr>
            <w:tcW w:w="1058"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服务要求</w:t>
            </w:r>
          </w:p>
        </w:tc>
        <w:tc>
          <w:tcPr>
            <w:tcW w:w="1020"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w:t>
            </w:r>
            <w:r>
              <w:rPr>
                <w:rFonts w:hint="eastAsia" w:ascii="宋体" w:hAnsi="宋体" w:eastAsia="宋体" w:cs="宋体"/>
                <w:color w:val="auto"/>
                <w:sz w:val="24"/>
                <w:szCs w:val="24"/>
                <w:lang w:eastAsia="zh-CN"/>
              </w:rPr>
              <w:t>期限</w:t>
            </w:r>
          </w:p>
        </w:tc>
        <w:tc>
          <w:tcPr>
            <w:tcW w:w="132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服务标准</w:t>
            </w:r>
          </w:p>
        </w:tc>
        <w:tc>
          <w:tcPr>
            <w:tcW w:w="810"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810"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809"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7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551" w:type="dxa"/>
            <w:vAlign w:val="center"/>
          </w:tcPr>
          <w:p>
            <w:pPr>
              <w:jc w:val="center"/>
              <w:rPr>
                <w:rFonts w:ascii="宋体" w:hAnsi="宋体" w:eastAsia="宋体" w:cs="宋体"/>
                <w:color w:val="auto"/>
                <w:sz w:val="24"/>
                <w:szCs w:val="24"/>
              </w:rPr>
            </w:pPr>
          </w:p>
        </w:tc>
        <w:tc>
          <w:tcPr>
            <w:tcW w:w="1296" w:type="dxa"/>
            <w:vAlign w:val="center"/>
          </w:tcPr>
          <w:p>
            <w:pPr>
              <w:jc w:val="center"/>
              <w:rPr>
                <w:rFonts w:ascii="宋体" w:hAnsi="宋体" w:eastAsia="宋体" w:cs="宋体"/>
                <w:color w:val="auto"/>
                <w:sz w:val="24"/>
                <w:szCs w:val="24"/>
              </w:rPr>
            </w:pPr>
          </w:p>
        </w:tc>
        <w:tc>
          <w:tcPr>
            <w:tcW w:w="1058" w:type="dxa"/>
            <w:vAlign w:val="center"/>
          </w:tcPr>
          <w:p>
            <w:pPr>
              <w:jc w:val="center"/>
              <w:rPr>
                <w:rFonts w:ascii="宋体" w:hAnsi="宋体" w:eastAsia="宋体" w:cs="宋体"/>
                <w:color w:val="auto"/>
                <w:sz w:val="24"/>
                <w:szCs w:val="24"/>
              </w:rPr>
            </w:pPr>
          </w:p>
        </w:tc>
        <w:tc>
          <w:tcPr>
            <w:tcW w:w="1020" w:type="dxa"/>
            <w:vAlign w:val="center"/>
          </w:tcPr>
          <w:p>
            <w:pPr>
              <w:jc w:val="center"/>
              <w:rPr>
                <w:rFonts w:ascii="宋体" w:hAnsi="宋体" w:eastAsia="宋体" w:cs="宋体"/>
                <w:color w:val="auto"/>
                <w:sz w:val="24"/>
                <w:szCs w:val="24"/>
              </w:rPr>
            </w:pPr>
          </w:p>
        </w:tc>
        <w:tc>
          <w:tcPr>
            <w:tcW w:w="1323" w:type="dxa"/>
            <w:vAlign w:val="center"/>
          </w:tcPr>
          <w:p>
            <w:pPr>
              <w:jc w:val="center"/>
              <w:rPr>
                <w:rFonts w:ascii="宋体" w:hAnsi="宋体" w:eastAsia="宋体" w:cs="宋体"/>
                <w:color w:val="auto"/>
                <w:sz w:val="24"/>
                <w:szCs w:val="24"/>
              </w:rPr>
            </w:pPr>
          </w:p>
        </w:tc>
        <w:tc>
          <w:tcPr>
            <w:tcW w:w="810" w:type="dxa"/>
            <w:vAlign w:val="center"/>
          </w:tcPr>
          <w:p>
            <w:pPr>
              <w:jc w:val="center"/>
              <w:rPr>
                <w:rFonts w:ascii="宋体" w:hAnsi="宋体" w:eastAsia="宋体" w:cs="宋体"/>
                <w:color w:val="auto"/>
                <w:sz w:val="24"/>
                <w:szCs w:val="24"/>
              </w:rPr>
            </w:pPr>
          </w:p>
        </w:tc>
        <w:tc>
          <w:tcPr>
            <w:tcW w:w="810" w:type="dxa"/>
            <w:vAlign w:val="center"/>
          </w:tcPr>
          <w:p>
            <w:pPr>
              <w:jc w:val="center"/>
              <w:rPr>
                <w:rFonts w:ascii="宋体" w:hAnsi="宋体" w:eastAsia="宋体" w:cs="宋体"/>
                <w:color w:val="auto"/>
                <w:sz w:val="24"/>
                <w:szCs w:val="24"/>
              </w:rPr>
            </w:pPr>
          </w:p>
        </w:tc>
        <w:tc>
          <w:tcPr>
            <w:tcW w:w="809" w:type="dxa"/>
            <w:vAlign w:val="center"/>
          </w:tcPr>
          <w:p>
            <w:pPr>
              <w:jc w:val="center"/>
              <w:rPr>
                <w:rFonts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7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551" w:type="dxa"/>
            <w:vAlign w:val="center"/>
          </w:tcPr>
          <w:p>
            <w:pPr>
              <w:jc w:val="center"/>
              <w:rPr>
                <w:rFonts w:ascii="宋体" w:hAnsi="宋体" w:eastAsia="宋体" w:cs="宋体"/>
                <w:color w:val="auto"/>
                <w:sz w:val="24"/>
                <w:szCs w:val="24"/>
              </w:rPr>
            </w:pPr>
          </w:p>
        </w:tc>
        <w:tc>
          <w:tcPr>
            <w:tcW w:w="1296" w:type="dxa"/>
            <w:vAlign w:val="center"/>
          </w:tcPr>
          <w:p>
            <w:pPr>
              <w:jc w:val="center"/>
              <w:rPr>
                <w:rFonts w:ascii="宋体" w:hAnsi="宋体" w:eastAsia="宋体" w:cs="宋体"/>
                <w:color w:val="auto"/>
                <w:sz w:val="24"/>
                <w:szCs w:val="24"/>
              </w:rPr>
            </w:pPr>
          </w:p>
        </w:tc>
        <w:tc>
          <w:tcPr>
            <w:tcW w:w="1058" w:type="dxa"/>
            <w:vAlign w:val="center"/>
          </w:tcPr>
          <w:p>
            <w:pPr>
              <w:jc w:val="center"/>
              <w:rPr>
                <w:rFonts w:ascii="宋体" w:hAnsi="宋体" w:eastAsia="宋体" w:cs="宋体"/>
                <w:color w:val="auto"/>
                <w:sz w:val="24"/>
                <w:szCs w:val="24"/>
              </w:rPr>
            </w:pPr>
          </w:p>
        </w:tc>
        <w:tc>
          <w:tcPr>
            <w:tcW w:w="1020" w:type="dxa"/>
            <w:vAlign w:val="center"/>
          </w:tcPr>
          <w:p>
            <w:pPr>
              <w:jc w:val="center"/>
              <w:rPr>
                <w:rFonts w:ascii="宋体" w:hAnsi="宋体" w:eastAsia="宋体" w:cs="宋体"/>
                <w:color w:val="auto"/>
                <w:sz w:val="24"/>
                <w:szCs w:val="24"/>
              </w:rPr>
            </w:pPr>
          </w:p>
        </w:tc>
        <w:tc>
          <w:tcPr>
            <w:tcW w:w="1323" w:type="dxa"/>
            <w:vAlign w:val="center"/>
          </w:tcPr>
          <w:p>
            <w:pPr>
              <w:jc w:val="center"/>
              <w:rPr>
                <w:rFonts w:ascii="宋体" w:hAnsi="宋体" w:eastAsia="宋体" w:cs="宋体"/>
                <w:color w:val="auto"/>
                <w:sz w:val="24"/>
                <w:szCs w:val="24"/>
              </w:rPr>
            </w:pPr>
          </w:p>
        </w:tc>
        <w:tc>
          <w:tcPr>
            <w:tcW w:w="810" w:type="dxa"/>
            <w:vAlign w:val="center"/>
          </w:tcPr>
          <w:p>
            <w:pPr>
              <w:jc w:val="center"/>
              <w:rPr>
                <w:rFonts w:ascii="宋体" w:hAnsi="宋体" w:eastAsia="宋体" w:cs="宋体"/>
                <w:color w:val="auto"/>
                <w:sz w:val="24"/>
                <w:szCs w:val="24"/>
              </w:rPr>
            </w:pPr>
          </w:p>
        </w:tc>
        <w:tc>
          <w:tcPr>
            <w:tcW w:w="810" w:type="dxa"/>
            <w:vAlign w:val="center"/>
          </w:tcPr>
          <w:p>
            <w:pPr>
              <w:jc w:val="center"/>
              <w:rPr>
                <w:rFonts w:ascii="宋体" w:hAnsi="宋体" w:eastAsia="宋体" w:cs="宋体"/>
                <w:color w:val="auto"/>
                <w:sz w:val="24"/>
                <w:szCs w:val="24"/>
              </w:rPr>
            </w:pPr>
          </w:p>
        </w:tc>
        <w:tc>
          <w:tcPr>
            <w:tcW w:w="809" w:type="dxa"/>
            <w:vAlign w:val="center"/>
          </w:tcPr>
          <w:p>
            <w:pPr>
              <w:jc w:val="center"/>
              <w:rPr>
                <w:rFonts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551" w:type="dxa"/>
            <w:vAlign w:val="center"/>
          </w:tcPr>
          <w:p>
            <w:pPr>
              <w:jc w:val="center"/>
              <w:rPr>
                <w:rFonts w:ascii="宋体" w:hAnsi="宋体" w:eastAsia="宋体" w:cs="宋体"/>
                <w:color w:val="auto"/>
                <w:sz w:val="24"/>
                <w:szCs w:val="24"/>
              </w:rPr>
            </w:pPr>
          </w:p>
        </w:tc>
        <w:tc>
          <w:tcPr>
            <w:tcW w:w="1296" w:type="dxa"/>
            <w:vAlign w:val="center"/>
          </w:tcPr>
          <w:p>
            <w:pPr>
              <w:jc w:val="center"/>
              <w:rPr>
                <w:rFonts w:ascii="宋体" w:hAnsi="宋体" w:eastAsia="宋体" w:cs="宋体"/>
                <w:color w:val="auto"/>
                <w:sz w:val="24"/>
                <w:szCs w:val="24"/>
              </w:rPr>
            </w:pPr>
          </w:p>
        </w:tc>
        <w:tc>
          <w:tcPr>
            <w:tcW w:w="1058" w:type="dxa"/>
            <w:vAlign w:val="center"/>
          </w:tcPr>
          <w:p>
            <w:pPr>
              <w:jc w:val="center"/>
              <w:rPr>
                <w:rFonts w:ascii="宋体" w:hAnsi="宋体" w:eastAsia="宋体" w:cs="宋体"/>
                <w:color w:val="auto"/>
                <w:sz w:val="24"/>
                <w:szCs w:val="24"/>
              </w:rPr>
            </w:pPr>
          </w:p>
        </w:tc>
        <w:tc>
          <w:tcPr>
            <w:tcW w:w="1020" w:type="dxa"/>
            <w:vAlign w:val="center"/>
          </w:tcPr>
          <w:p>
            <w:pPr>
              <w:jc w:val="center"/>
              <w:rPr>
                <w:rFonts w:ascii="宋体" w:hAnsi="宋体" w:eastAsia="宋体" w:cs="宋体"/>
                <w:color w:val="auto"/>
                <w:sz w:val="24"/>
                <w:szCs w:val="24"/>
              </w:rPr>
            </w:pPr>
          </w:p>
        </w:tc>
        <w:tc>
          <w:tcPr>
            <w:tcW w:w="1323" w:type="dxa"/>
            <w:vAlign w:val="center"/>
          </w:tcPr>
          <w:p>
            <w:pPr>
              <w:jc w:val="center"/>
              <w:rPr>
                <w:rFonts w:ascii="宋体" w:hAnsi="宋体" w:eastAsia="宋体" w:cs="宋体"/>
                <w:color w:val="auto"/>
                <w:sz w:val="24"/>
                <w:szCs w:val="24"/>
              </w:rPr>
            </w:pPr>
          </w:p>
        </w:tc>
        <w:tc>
          <w:tcPr>
            <w:tcW w:w="810" w:type="dxa"/>
            <w:vAlign w:val="center"/>
          </w:tcPr>
          <w:p>
            <w:pPr>
              <w:jc w:val="center"/>
              <w:rPr>
                <w:rFonts w:ascii="宋体" w:hAnsi="宋体" w:eastAsia="宋体" w:cs="宋体"/>
                <w:color w:val="auto"/>
                <w:sz w:val="24"/>
                <w:szCs w:val="24"/>
              </w:rPr>
            </w:pPr>
          </w:p>
        </w:tc>
        <w:tc>
          <w:tcPr>
            <w:tcW w:w="810" w:type="dxa"/>
            <w:vAlign w:val="center"/>
          </w:tcPr>
          <w:p>
            <w:pPr>
              <w:jc w:val="center"/>
              <w:rPr>
                <w:rFonts w:ascii="宋体" w:hAnsi="宋体" w:eastAsia="宋体" w:cs="宋体"/>
                <w:color w:val="auto"/>
                <w:sz w:val="24"/>
                <w:szCs w:val="24"/>
              </w:rPr>
            </w:pPr>
          </w:p>
        </w:tc>
        <w:tc>
          <w:tcPr>
            <w:tcW w:w="809" w:type="dxa"/>
            <w:vAlign w:val="center"/>
          </w:tcPr>
          <w:p>
            <w:pPr>
              <w:jc w:val="center"/>
              <w:rPr>
                <w:rFonts w:ascii="宋体" w:hAnsi="宋体" w:eastAsia="宋体" w:cs="宋体"/>
                <w:color w:val="auto"/>
                <w:sz w:val="24"/>
                <w:szCs w:val="24"/>
              </w:rPr>
            </w:pPr>
          </w:p>
        </w:tc>
      </w:tr>
    </w:tbl>
    <w:p>
      <w:pPr>
        <w:kinsoku/>
        <w:spacing w:before="240" w:beforeLines="100" w:line="360" w:lineRule="auto"/>
        <w:jc w:val="center"/>
        <w:rPr>
          <w:rFonts w:ascii="宋体" w:eastAsia="宋体" w:cs="宋体"/>
          <w:color w:val="auto"/>
          <w:sz w:val="24"/>
          <w:szCs w:val="24"/>
        </w:rPr>
      </w:pPr>
    </w:p>
    <w:p>
      <w:pPr>
        <w:kinsoku/>
        <w:spacing w:before="240" w:beforeLines="100" w:line="360" w:lineRule="auto"/>
        <w:ind w:firstLine="5880" w:firstLineChars="2450"/>
        <w:rPr>
          <w:rFonts w:ascii="宋体" w:eastAsia="宋体" w:cs="宋体"/>
          <w:color w:val="auto"/>
          <w:sz w:val="24"/>
          <w:szCs w:val="24"/>
        </w:rPr>
      </w:pPr>
      <w:r>
        <w:rPr>
          <w:rFonts w:hint="eastAsia" w:ascii="宋体" w:eastAsia="宋体" w:cs="宋体"/>
          <w:color w:val="auto"/>
          <w:sz w:val="24"/>
          <w:szCs w:val="24"/>
        </w:rPr>
        <w:t xml:space="preserve">供应商（盖章）：          </w:t>
      </w:r>
    </w:p>
    <w:p>
      <w:pPr>
        <w:kinsoku/>
        <w:spacing w:line="360" w:lineRule="auto"/>
        <w:ind w:firstLine="5880" w:firstLineChars="2450"/>
        <w:rPr>
          <w:rFonts w:ascii="宋体" w:eastAsia="宋体" w:cs="宋体"/>
          <w:color w:val="auto"/>
          <w:sz w:val="24"/>
          <w:szCs w:val="24"/>
        </w:rPr>
      </w:pPr>
      <w:r>
        <w:rPr>
          <w:rFonts w:hint="eastAsia" w:ascii="宋体" w:eastAsia="宋体" w:cs="宋体"/>
          <w:color w:val="auto"/>
          <w:sz w:val="24"/>
          <w:szCs w:val="24"/>
        </w:rPr>
        <w:t>日期：</w:t>
      </w:r>
    </w:p>
    <w:p>
      <w:pPr>
        <w:kinsoku/>
        <w:spacing w:line="360" w:lineRule="auto"/>
        <w:ind w:firstLine="480" w:firstLineChars="200"/>
        <w:rPr>
          <w:rFonts w:hint="eastAsia" w:ascii="宋体" w:eastAsia="宋体" w:cs="宋体"/>
          <w:color w:val="auto"/>
          <w:sz w:val="24"/>
          <w:szCs w:val="24"/>
        </w:rPr>
      </w:pPr>
    </w:p>
    <w:p>
      <w:pPr>
        <w:kinsoku/>
        <w:spacing w:line="360" w:lineRule="auto"/>
        <w:ind w:firstLine="480" w:firstLineChars="200"/>
        <w:rPr>
          <w:rFonts w:ascii="宋体" w:eastAsia="宋体" w:cs="宋体"/>
          <w:color w:val="auto"/>
          <w:sz w:val="24"/>
          <w:szCs w:val="24"/>
        </w:rPr>
      </w:pPr>
    </w:p>
    <w:p>
      <w:pPr>
        <w:kinsoku/>
        <w:spacing w:line="360" w:lineRule="auto"/>
        <w:ind w:firstLine="480" w:firstLineChars="200"/>
        <w:rPr>
          <w:rFonts w:hint="eastAsia" w:ascii="宋体" w:eastAsia="宋体" w:cs="宋体"/>
          <w:color w:val="auto"/>
          <w:sz w:val="24"/>
          <w:szCs w:val="24"/>
        </w:rPr>
      </w:pPr>
      <w:r>
        <w:rPr>
          <w:rFonts w:hint="eastAsia" w:ascii="宋体" w:eastAsia="宋体" w:cs="宋体"/>
          <w:color w:val="auto"/>
          <w:sz w:val="24"/>
          <w:szCs w:val="24"/>
        </w:rPr>
        <w:t>说明：</w:t>
      </w:r>
    </w:p>
    <w:p>
      <w:pPr>
        <w:kinsoku/>
        <w:spacing w:line="360" w:lineRule="auto"/>
        <w:ind w:firstLine="480" w:firstLineChars="200"/>
        <w:rPr>
          <w:rFonts w:hint="eastAsia" w:ascii="宋体" w:eastAsia="宋体" w:cs="宋体"/>
          <w:color w:val="auto"/>
          <w:sz w:val="24"/>
          <w:szCs w:val="24"/>
        </w:rPr>
      </w:pPr>
      <w:r>
        <w:rPr>
          <w:rFonts w:hint="eastAsia" w:ascii="宋体" w:eastAsia="宋体" w:cs="宋体"/>
          <w:color w:val="auto"/>
          <w:sz w:val="24"/>
          <w:szCs w:val="24"/>
        </w:rPr>
        <w:t>1.</w:t>
      </w:r>
      <w:r>
        <w:rPr>
          <w:rFonts w:hint="eastAsia" w:ascii="宋体" w:eastAsia="宋体" w:cs="宋体"/>
          <w:color w:val="auto"/>
          <w:sz w:val="24"/>
          <w:szCs w:val="24"/>
          <w:lang w:eastAsia="zh-CN"/>
        </w:rPr>
        <w:t>“服务名称”可填写标的名称；</w:t>
      </w:r>
    </w:p>
    <w:p>
      <w:pPr>
        <w:kinsoku/>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rPr>
        <w:t>2.“</w:t>
      </w:r>
      <w:r>
        <w:rPr>
          <w:rFonts w:hint="eastAsia" w:ascii="宋体" w:hAnsi="宋体" w:eastAsia="宋体" w:cs="宋体"/>
          <w:color w:val="auto"/>
          <w:sz w:val="24"/>
          <w:szCs w:val="24"/>
        </w:rPr>
        <w:t>服务范围</w:t>
      </w:r>
      <w:r>
        <w:rPr>
          <w:rFonts w:hint="eastAsia" w:ascii="宋体" w:eastAsia="宋体" w:cs="宋体"/>
          <w:color w:val="auto"/>
          <w:sz w:val="24"/>
          <w:szCs w:val="24"/>
        </w:rPr>
        <w:t>”</w:t>
      </w:r>
      <w:r>
        <w:rPr>
          <w:rFonts w:hint="eastAsia" w:ascii="宋体" w:eastAsia="宋体" w:cs="宋体"/>
          <w:color w:val="auto"/>
          <w:sz w:val="24"/>
          <w:szCs w:val="24"/>
          <w:lang w:eastAsia="zh-CN"/>
        </w:rPr>
        <w:t>、“服务要求”、“</w:t>
      </w:r>
      <w:r>
        <w:rPr>
          <w:rFonts w:hint="eastAsia" w:ascii="宋体" w:hAnsi="宋体" w:eastAsia="宋体" w:cs="宋体"/>
          <w:color w:val="auto"/>
          <w:sz w:val="24"/>
          <w:szCs w:val="24"/>
        </w:rPr>
        <w:t>服务标准</w:t>
      </w:r>
      <w:r>
        <w:rPr>
          <w:rFonts w:hint="eastAsia" w:ascii="宋体" w:eastAsia="宋体" w:cs="宋体"/>
          <w:color w:val="auto"/>
          <w:sz w:val="24"/>
          <w:szCs w:val="24"/>
          <w:lang w:eastAsia="zh-CN"/>
        </w:rPr>
        <w:t>”可</w:t>
      </w:r>
      <w:r>
        <w:rPr>
          <w:rFonts w:hint="eastAsia" w:ascii="宋体" w:eastAsia="宋体" w:cs="宋体"/>
          <w:color w:val="auto"/>
          <w:sz w:val="24"/>
          <w:szCs w:val="24"/>
        </w:rPr>
        <w:t>填写“响应</w:t>
      </w:r>
      <w:r>
        <w:rPr>
          <w:rFonts w:hint="eastAsia" w:ascii="宋体" w:eastAsia="宋体" w:cs="宋体"/>
          <w:color w:val="auto"/>
          <w:sz w:val="24"/>
          <w:szCs w:val="24"/>
          <w:lang w:eastAsia="zh-CN"/>
        </w:rPr>
        <w:t>采购文件要求</w:t>
      </w:r>
      <w:r>
        <w:rPr>
          <w:rFonts w:hint="eastAsia" w:ascii="宋体" w:eastAsia="宋体" w:cs="宋体"/>
          <w:color w:val="auto"/>
          <w:sz w:val="24"/>
          <w:szCs w:val="24"/>
        </w:rPr>
        <w:t>”</w:t>
      </w:r>
      <w:r>
        <w:rPr>
          <w:rFonts w:hint="eastAsia" w:ascii="宋体" w:eastAsia="宋体" w:cs="宋体"/>
          <w:color w:val="auto"/>
          <w:sz w:val="24"/>
          <w:szCs w:val="24"/>
          <w:lang w:eastAsia="zh-CN"/>
        </w:rPr>
        <w:t>。</w:t>
      </w:r>
    </w:p>
    <w:p>
      <w:pPr>
        <w:kinsoku/>
        <w:spacing w:line="360" w:lineRule="auto"/>
        <w:ind w:firstLine="480" w:firstLineChars="200"/>
        <w:rPr>
          <w:rFonts w:ascii="宋体" w:eastAsia="宋体" w:cs="宋体"/>
          <w:color w:val="auto"/>
          <w:sz w:val="24"/>
          <w:szCs w:val="24"/>
        </w:rPr>
      </w:pPr>
    </w:p>
    <w:p>
      <w:pPr>
        <w:kinsoku/>
        <w:spacing w:line="360" w:lineRule="auto"/>
        <w:ind w:firstLine="480" w:firstLineChars="200"/>
        <w:rPr>
          <w:rFonts w:ascii="宋体" w:eastAsia="宋体" w:cs="宋体"/>
          <w:color w:val="auto"/>
          <w:sz w:val="24"/>
          <w:szCs w:val="24"/>
        </w:rPr>
      </w:pPr>
    </w:p>
    <w:p>
      <w:pPr>
        <w:rPr>
          <w:rFonts w:ascii="宋体" w:eastAsia="宋体" w:cs="宋体"/>
          <w:color w:val="auto"/>
          <w:sz w:val="24"/>
          <w:szCs w:val="24"/>
        </w:rPr>
      </w:pPr>
      <w:r>
        <w:rPr>
          <w:rFonts w:hint="eastAsia" w:ascii="宋体" w:eastAsia="宋体" w:cs="宋体"/>
          <w:color w:val="auto"/>
          <w:sz w:val="24"/>
          <w:szCs w:val="24"/>
        </w:rPr>
        <w:br w:type="page"/>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（以下格式文件由供应商根据需要选用）</w:t>
      </w:r>
    </w:p>
    <w:p>
      <w:pPr>
        <w:kinsoku/>
        <w:spacing w:line="360" w:lineRule="auto"/>
        <w:ind w:left="0" w:leftChars="0" w:right="0" w:rightChars="0" w:firstLine="0" w:firstLineChars="0"/>
        <w:jc w:val="center"/>
        <w:outlineLvl w:val="1"/>
        <w:rPr>
          <w:rFonts w:ascii="宋体" w:eastAsia="宋体" w:cs="宋体"/>
          <w:b/>
          <w:bCs/>
          <w:color w:val="auto"/>
          <w:sz w:val="28"/>
          <w:szCs w:val="28"/>
          <w:lang w:eastAsia="zh-CN"/>
        </w:rPr>
      </w:pPr>
      <w:r>
        <w:rPr>
          <w:rFonts w:hint="eastAsia" w:ascii="宋体" w:eastAsia="宋体" w:cs="宋体"/>
          <w:b/>
          <w:bCs/>
          <w:color w:val="auto"/>
          <w:sz w:val="28"/>
          <w:szCs w:val="28"/>
          <w:lang w:eastAsia="zh-CN"/>
        </w:rPr>
        <w:t>四、授权委托书</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本人</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（姓名）系</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（供应商名称）的法定代表人，现委托</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u w:val="single"/>
          <w:lang w:val="en-US" w:eastAsia="zh-CN"/>
        </w:rPr>
        <w:t xml:space="preserve">  </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（姓名）为我方代理人，参加</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（项目名称）的采购，项目编号：</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。代理人根据授权，以我方名义签署、澄清确认、递交、撤回、修改磋商项目响应文件、签订合同和处理有关事宜，其法律后果由我方承担。委托期限：</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代理人无转委托权。</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  应  商（盖章）：</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u w:val="single"/>
          <w:lang w:val="en-US" w:eastAsia="zh-CN"/>
        </w:rPr>
        <w:t xml:space="preserve">     </w:t>
      </w:r>
      <w:r>
        <w:rPr>
          <w:rFonts w:hint="eastAsia" w:ascii="宋体" w:eastAsia="宋体" w:cs="宋体"/>
          <w:color w:val="auto"/>
          <w:sz w:val="24"/>
          <w:szCs w:val="24"/>
          <w:u w:val="single"/>
          <w:lang w:eastAsia="zh-CN"/>
        </w:rPr>
        <w:t xml:space="preserve">               </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法定代表人（</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/盖章</w:t>
      </w:r>
      <w:r>
        <w:rPr>
          <w:rFonts w:hint="eastAsia" w:ascii="宋体" w:eastAsia="宋体" w:cs="宋体"/>
          <w:color w:val="auto"/>
          <w:sz w:val="24"/>
          <w:szCs w:val="24"/>
          <w:lang w:eastAsia="zh-CN"/>
        </w:rPr>
        <w:t>）：</w:t>
      </w:r>
      <w:r>
        <w:rPr>
          <w:rFonts w:hint="eastAsia" w:ascii="宋体" w:eastAsia="宋体" w:cs="宋体"/>
          <w:color w:val="auto"/>
          <w:sz w:val="24"/>
          <w:szCs w:val="24"/>
          <w:u w:val="single"/>
          <w:lang w:eastAsia="zh-CN"/>
        </w:rPr>
        <w:t xml:space="preserve">                         </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授权委托人（</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/盖章</w:t>
      </w:r>
      <w:r>
        <w:rPr>
          <w:rFonts w:hint="eastAsia" w:ascii="宋体" w:eastAsia="宋体" w:cs="宋体"/>
          <w:color w:val="auto"/>
          <w:sz w:val="24"/>
          <w:szCs w:val="24"/>
          <w:lang w:eastAsia="zh-CN"/>
        </w:rPr>
        <w:t>）：</w:t>
      </w:r>
      <w:r>
        <w:rPr>
          <w:rFonts w:hint="eastAsia" w:ascii="宋体" w:eastAsia="宋体" w:cs="宋体"/>
          <w:color w:val="auto"/>
          <w:sz w:val="24"/>
          <w:szCs w:val="24"/>
          <w:u w:val="single"/>
          <w:lang w:eastAsia="zh-CN"/>
        </w:rPr>
        <w:t xml:space="preserve">                         </w:t>
      </w:r>
    </w:p>
    <w:p>
      <w:pPr>
        <w:kinsoku/>
        <w:spacing w:line="360" w:lineRule="auto"/>
        <w:ind w:firstLine="480" w:firstLineChars="200"/>
        <w:rPr>
          <w:rFonts w:ascii="宋体" w:eastAsia="宋体" w:cs="宋体"/>
          <w:color w:val="auto"/>
          <w:sz w:val="24"/>
          <w:szCs w:val="24"/>
          <w:lang w:eastAsia="zh-CN"/>
        </w:rPr>
      </w:pPr>
    </w:p>
    <w:tbl>
      <w:tblPr>
        <w:tblStyle w:val="18"/>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5" w:hRule="atLeast"/>
          <w:jc w:val="center"/>
        </w:trPr>
        <w:tc>
          <w:tcPr>
            <w:tcW w:w="4523" w:type="dxa"/>
            <w:shd w:val="clear" w:color="auto" w:fill="auto"/>
            <w:vAlign w:val="center"/>
          </w:tcPr>
          <w:p>
            <w:pPr>
              <w:kinsoku/>
              <w:spacing w:line="360" w:lineRule="auto"/>
              <w:jc w:val="center"/>
              <w:rPr>
                <w:rFonts w:ascii="宋体" w:eastAsia="宋体" w:cs="宋体"/>
                <w:color w:val="auto"/>
                <w:sz w:val="24"/>
                <w:szCs w:val="24"/>
                <w:lang w:eastAsia="zh-CN"/>
              </w:rPr>
            </w:pPr>
            <w:r>
              <w:rPr>
                <w:rFonts w:hint="eastAsia" w:ascii="宋体" w:eastAsia="宋体" w:cs="宋体"/>
                <w:color w:val="auto"/>
                <w:sz w:val="24"/>
                <w:szCs w:val="24"/>
                <w:lang w:eastAsia="zh-CN"/>
              </w:rPr>
              <w:t>法定代表人身份证扫描件正面</w:t>
            </w:r>
          </w:p>
        </w:tc>
        <w:tc>
          <w:tcPr>
            <w:tcW w:w="4436" w:type="dxa"/>
            <w:shd w:val="clear" w:color="auto" w:fill="auto"/>
            <w:vAlign w:val="center"/>
          </w:tcPr>
          <w:p>
            <w:pPr>
              <w:kinsoku/>
              <w:spacing w:line="360" w:lineRule="auto"/>
              <w:jc w:val="center"/>
              <w:rPr>
                <w:rFonts w:ascii="宋体" w:eastAsia="宋体" w:cs="宋体"/>
                <w:color w:val="auto"/>
                <w:sz w:val="24"/>
                <w:szCs w:val="24"/>
                <w:lang w:eastAsia="zh-CN"/>
              </w:rPr>
            </w:pPr>
            <w:r>
              <w:rPr>
                <w:rFonts w:hint="eastAsia" w:ascii="宋体" w:eastAsia="宋体" w:cs="宋体"/>
                <w:color w:val="auto"/>
                <w:sz w:val="24"/>
                <w:szCs w:val="24"/>
                <w:lang w:eastAsia="zh-CN"/>
              </w:rPr>
              <w:t>法定代表人身份证扫描件反面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523" w:type="dxa"/>
            <w:shd w:val="clear" w:color="auto" w:fill="auto"/>
            <w:vAlign w:val="center"/>
          </w:tcPr>
          <w:p>
            <w:pPr>
              <w:kinsoku/>
              <w:spacing w:line="360" w:lineRule="auto"/>
              <w:jc w:val="center"/>
              <w:rPr>
                <w:rFonts w:ascii="宋体" w:eastAsia="宋体" w:cs="宋体"/>
                <w:color w:val="auto"/>
                <w:sz w:val="24"/>
                <w:szCs w:val="24"/>
                <w:lang w:eastAsia="zh-CN"/>
              </w:rPr>
            </w:pPr>
            <w:r>
              <w:rPr>
                <w:rFonts w:hint="eastAsia" w:ascii="宋体" w:eastAsia="宋体" w:cs="宋体"/>
                <w:color w:val="auto"/>
                <w:sz w:val="24"/>
                <w:szCs w:val="24"/>
                <w:lang w:eastAsia="zh-CN"/>
              </w:rPr>
              <w:t>授权委托人身份证扫描件正面</w:t>
            </w:r>
          </w:p>
        </w:tc>
        <w:tc>
          <w:tcPr>
            <w:tcW w:w="4436" w:type="dxa"/>
            <w:shd w:val="clear" w:color="auto" w:fill="auto"/>
            <w:vAlign w:val="center"/>
          </w:tcPr>
          <w:p>
            <w:pPr>
              <w:kinsoku/>
              <w:spacing w:line="360" w:lineRule="auto"/>
              <w:jc w:val="center"/>
              <w:rPr>
                <w:rFonts w:ascii="宋体" w:eastAsia="宋体" w:cs="宋体"/>
                <w:color w:val="auto"/>
                <w:sz w:val="24"/>
                <w:szCs w:val="24"/>
                <w:lang w:eastAsia="zh-CN"/>
              </w:rPr>
            </w:pPr>
            <w:r>
              <w:rPr>
                <w:rFonts w:hint="eastAsia" w:ascii="宋体" w:eastAsia="宋体" w:cs="宋体"/>
                <w:color w:val="auto"/>
                <w:sz w:val="24"/>
                <w:szCs w:val="24"/>
                <w:lang w:eastAsia="zh-CN"/>
              </w:rPr>
              <w:t>授权委托人身份证扫描件反面</w:t>
            </w:r>
          </w:p>
        </w:tc>
      </w:tr>
    </w:tbl>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jc w:val="right"/>
        <w:rPr>
          <w:rFonts w:ascii="宋体" w:eastAsia="宋体" w:cs="宋体"/>
          <w:color w:val="auto"/>
          <w:sz w:val="24"/>
          <w:szCs w:val="24"/>
          <w:lang w:eastAsia="zh-CN"/>
        </w:rPr>
      </w:pP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年</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月</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日</w:t>
      </w:r>
    </w:p>
    <w:p>
      <w:pPr>
        <w:kinsoku/>
        <w:spacing w:line="360" w:lineRule="auto"/>
        <w:ind w:firstLine="480" w:firstLineChars="200"/>
        <w:rPr>
          <w:rFonts w:ascii="宋体" w:eastAsia="宋体" w:cs="宋体"/>
          <w:color w:val="auto"/>
          <w:sz w:val="24"/>
          <w:szCs w:val="24"/>
          <w:lang w:eastAsia="zh-CN"/>
        </w:rPr>
        <w:sectPr>
          <w:footerReference r:id="rId15"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（以下格式文件由供应商根据需要选用）</w:t>
      </w: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五、缴纳磋商保证金证明材料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供应商应提供缴纳磋商保证金的证明材料原件扫描件。</w:t>
      </w:r>
    </w:p>
    <w:p>
      <w:pPr>
        <w:kinsoku/>
        <w:spacing w:line="360" w:lineRule="auto"/>
        <w:ind w:firstLine="480" w:firstLineChars="200"/>
        <w:rPr>
          <w:rFonts w:ascii="宋体" w:eastAsia="宋体" w:cs="宋体"/>
          <w:color w:val="auto"/>
          <w:sz w:val="24"/>
          <w:szCs w:val="24"/>
          <w:lang w:eastAsia="zh-CN"/>
        </w:rPr>
        <w:sectPr>
          <w:footerReference r:id="rId16"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left="0" w:leftChars="0" w:right="0" w:rightChars="0" w:firstLine="0" w:firstLineChars="0"/>
        <w:jc w:val="center"/>
        <w:outlineLvl w:val="1"/>
        <w:rPr>
          <w:rFonts w:ascii="宋体" w:eastAsia="宋体" w:cs="宋体"/>
          <w:color w:val="auto"/>
          <w:sz w:val="24"/>
          <w:szCs w:val="24"/>
        </w:rPr>
      </w:pPr>
      <w:r>
        <w:rPr>
          <w:rFonts w:hint="eastAsia" w:ascii="宋体" w:eastAsia="宋体" w:cs="宋体"/>
          <w:b/>
          <w:bCs/>
          <w:color w:val="auto"/>
          <w:sz w:val="28"/>
          <w:szCs w:val="28"/>
        </w:rPr>
        <w:t>六、供应商基本情况表</w:t>
      </w:r>
    </w:p>
    <w:tbl>
      <w:tblPr>
        <w:tblStyle w:val="18"/>
        <w:tblW w:w="87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6"/>
        <w:gridCol w:w="2192"/>
        <w:gridCol w:w="2192"/>
        <w:gridCol w:w="2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2196" w:type="dxa"/>
            <w:vAlign w:val="center"/>
          </w:tcPr>
          <w:p>
            <w:pPr>
              <w:jc w:val="center"/>
              <w:rPr>
                <w:rFonts w:ascii="宋体" w:eastAsia="宋体" w:cs="宋体"/>
                <w:color w:val="auto"/>
                <w:sz w:val="24"/>
                <w:szCs w:val="24"/>
              </w:rPr>
            </w:pPr>
            <w:r>
              <w:rPr>
                <w:rFonts w:hint="eastAsia" w:ascii="宋体" w:eastAsia="宋体" w:cs="宋体"/>
                <w:color w:val="auto"/>
                <w:sz w:val="24"/>
                <w:szCs w:val="24"/>
              </w:rPr>
              <w:t>供应商名称</w:t>
            </w:r>
          </w:p>
        </w:tc>
        <w:tc>
          <w:tcPr>
            <w:tcW w:w="2192" w:type="dxa"/>
            <w:vAlign w:val="center"/>
          </w:tcPr>
          <w:p>
            <w:pPr>
              <w:jc w:val="center"/>
              <w:rPr>
                <w:rFonts w:ascii="宋体" w:eastAsia="宋体" w:cs="宋体"/>
                <w:color w:val="auto"/>
                <w:sz w:val="24"/>
                <w:szCs w:val="24"/>
              </w:rPr>
            </w:pPr>
          </w:p>
        </w:tc>
        <w:tc>
          <w:tcPr>
            <w:tcW w:w="2192" w:type="dxa"/>
            <w:vAlign w:val="center"/>
          </w:tcPr>
          <w:p>
            <w:pPr>
              <w:jc w:val="center"/>
              <w:rPr>
                <w:rFonts w:ascii="宋体" w:eastAsia="宋体" w:cs="宋体"/>
                <w:color w:val="auto"/>
                <w:sz w:val="24"/>
                <w:szCs w:val="24"/>
              </w:rPr>
            </w:pPr>
            <w:r>
              <w:rPr>
                <w:rFonts w:hint="eastAsia" w:ascii="宋体" w:eastAsia="宋体" w:cs="宋体"/>
                <w:color w:val="auto"/>
                <w:sz w:val="24"/>
                <w:szCs w:val="24"/>
              </w:rPr>
              <w:t>注册资金</w:t>
            </w:r>
          </w:p>
        </w:tc>
        <w:tc>
          <w:tcPr>
            <w:tcW w:w="2198" w:type="dxa"/>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196" w:type="dxa"/>
            <w:vAlign w:val="center"/>
          </w:tcPr>
          <w:p>
            <w:pPr>
              <w:jc w:val="center"/>
              <w:rPr>
                <w:rFonts w:ascii="宋体" w:eastAsia="宋体" w:cs="宋体"/>
                <w:color w:val="auto"/>
                <w:sz w:val="24"/>
                <w:szCs w:val="24"/>
              </w:rPr>
            </w:pPr>
            <w:r>
              <w:rPr>
                <w:rFonts w:hint="eastAsia" w:ascii="宋体" w:eastAsia="宋体" w:cs="宋体"/>
                <w:color w:val="auto"/>
                <w:sz w:val="24"/>
                <w:szCs w:val="24"/>
              </w:rPr>
              <w:t>注册地</w:t>
            </w:r>
          </w:p>
        </w:tc>
        <w:tc>
          <w:tcPr>
            <w:tcW w:w="2192" w:type="dxa"/>
            <w:vAlign w:val="center"/>
          </w:tcPr>
          <w:p>
            <w:pPr>
              <w:jc w:val="center"/>
              <w:rPr>
                <w:rFonts w:ascii="宋体" w:eastAsia="宋体" w:cs="宋体"/>
                <w:color w:val="auto"/>
                <w:sz w:val="24"/>
                <w:szCs w:val="24"/>
              </w:rPr>
            </w:pPr>
          </w:p>
        </w:tc>
        <w:tc>
          <w:tcPr>
            <w:tcW w:w="2192" w:type="dxa"/>
            <w:vAlign w:val="center"/>
          </w:tcPr>
          <w:p>
            <w:pPr>
              <w:jc w:val="center"/>
              <w:rPr>
                <w:rFonts w:ascii="宋体" w:eastAsia="宋体" w:cs="宋体"/>
                <w:color w:val="auto"/>
                <w:sz w:val="24"/>
                <w:szCs w:val="24"/>
              </w:rPr>
            </w:pPr>
            <w:r>
              <w:rPr>
                <w:rFonts w:hint="eastAsia" w:ascii="宋体" w:eastAsia="宋体" w:cs="宋体"/>
                <w:color w:val="auto"/>
                <w:sz w:val="24"/>
                <w:szCs w:val="24"/>
              </w:rPr>
              <w:t>注册时间</w:t>
            </w:r>
          </w:p>
        </w:tc>
        <w:tc>
          <w:tcPr>
            <w:tcW w:w="2198" w:type="dxa"/>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196" w:type="dxa"/>
            <w:vAlign w:val="center"/>
          </w:tcPr>
          <w:p>
            <w:pPr>
              <w:jc w:val="center"/>
              <w:rPr>
                <w:rFonts w:ascii="宋体" w:eastAsia="宋体" w:cs="宋体"/>
                <w:color w:val="auto"/>
                <w:sz w:val="24"/>
                <w:szCs w:val="24"/>
              </w:rPr>
            </w:pPr>
            <w:r>
              <w:rPr>
                <w:rFonts w:hint="eastAsia" w:ascii="宋体" w:eastAsia="宋体" w:cs="宋体"/>
                <w:color w:val="auto"/>
                <w:sz w:val="24"/>
                <w:szCs w:val="24"/>
              </w:rPr>
              <w:t>法定代表人</w:t>
            </w:r>
          </w:p>
        </w:tc>
        <w:tc>
          <w:tcPr>
            <w:tcW w:w="2192" w:type="dxa"/>
            <w:vAlign w:val="center"/>
          </w:tcPr>
          <w:p>
            <w:pPr>
              <w:jc w:val="center"/>
              <w:rPr>
                <w:rFonts w:ascii="宋体" w:eastAsia="宋体" w:cs="宋体"/>
                <w:color w:val="auto"/>
                <w:sz w:val="24"/>
                <w:szCs w:val="24"/>
              </w:rPr>
            </w:pPr>
          </w:p>
        </w:tc>
        <w:tc>
          <w:tcPr>
            <w:tcW w:w="2192" w:type="dxa"/>
            <w:vAlign w:val="center"/>
          </w:tcPr>
          <w:p>
            <w:pPr>
              <w:jc w:val="center"/>
              <w:rPr>
                <w:rFonts w:ascii="宋体" w:eastAsia="宋体" w:cs="宋体"/>
                <w:color w:val="auto"/>
                <w:sz w:val="24"/>
                <w:szCs w:val="24"/>
              </w:rPr>
            </w:pPr>
            <w:r>
              <w:rPr>
                <w:rFonts w:hint="eastAsia" w:ascii="宋体" w:eastAsia="宋体" w:cs="宋体"/>
                <w:color w:val="auto"/>
                <w:sz w:val="24"/>
                <w:szCs w:val="24"/>
              </w:rPr>
              <w:t>联系电话</w:t>
            </w:r>
          </w:p>
        </w:tc>
        <w:tc>
          <w:tcPr>
            <w:tcW w:w="2198" w:type="dxa"/>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2196" w:type="dxa"/>
            <w:vAlign w:val="center"/>
          </w:tcPr>
          <w:p>
            <w:pPr>
              <w:jc w:val="center"/>
              <w:rPr>
                <w:rFonts w:ascii="宋体" w:eastAsia="宋体" w:cs="宋体"/>
                <w:color w:val="auto"/>
                <w:sz w:val="24"/>
                <w:szCs w:val="24"/>
              </w:rPr>
            </w:pPr>
            <w:r>
              <w:rPr>
                <w:rFonts w:hint="eastAsia" w:ascii="宋体" w:eastAsia="宋体" w:cs="宋体"/>
                <w:color w:val="auto"/>
                <w:sz w:val="24"/>
                <w:szCs w:val="24"/>
              </w:rPr>
              <w:t>技术负责人</w:t>
            </w:r>
          </w:p>
        </w:tc>
        <w:tc>
          <w:tcPr>
            <w:tcW w:w="2192" w:type="dxa"/>
            <w:vAlign w:val="center"/>
          </w:tcPr>
          <w:p>
            <w:pPr>
              <w:jc w:val="center"/>
              <w:rPr>
                <w:rFonts w:ascii="宋体" w:eastAsia="宋体" w:cs="宋体"/>
                <w:color w:val="auto"/>
                <w:sz w:val="24"/>
                <w:szCs w:val="24"/>
              </w:rPr>
            </w:pPr>
          </w:p>
        </w:tc>
        <w:tc>
          <w:tcPr>
            <w:tcW w:w="2192" w:type="dxa"/>
            <w:vAlign w:val="center"/>
          </w:tcPr>
          <w:p>
            <w:pPr>
              <w:jc w:val="center"/>
              <w:rPr>
                <w:rFonts w:ascii="宋体" w:eastAsia="宋体" w:cs="宋体"/>
                <w:color w:val="auto"/>
                <w:sz w:val="24"/>
                <w:szCs w:val="24"/>
              </w:rPr>
            </w:pPr>
            <w:r>
              <w:rPr>
                <w:rFonts w:hint="eastAsia" w:ascii="宋体" w:eastAsia="宋体" w:cs="宋体"/>
                <w:color w:val="auto"/>
                <w:sz w:val="24"/>
                <w:szCs w:val="24"/>
              </w:rPr>
              <w:t>联系电话</w:t>
            </w:r>
          </w:p>
        </w:tc>
        <w:tc>
          <w:tcPr>
            <w:tcW w:w="2198" w:type="dxa"/>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196" w:type="dxa"/>
            <w:vAlign w:val="center"/>
          </w:tcPr>
          <w:p>
            <w:pPr>
              <w:jc w:val="center"/>
              <w:rPr>
                <w:rFonts w:ascii="宋体" w:eastAsia="宋体" w:cs="宋体"/>
                <w:color w:val="auto"/>
                <w:sz w:val="24"/>
                <w:szCs w:val="24"/>
              </w:rPr>
            </w:pPr>
            <w:r>
              <w:rPr>
                <w:rFonts w:hint="eastAsia" w:ascii="宋体" w:eastAsia="宋体" w:cs="宋体"/>
                <w:color w:val="auto"/>
                <w:sz w:val="24"/>
                <w:szCs w:val="24"/>
              </w:rPr>
              <w:t>开户银行</w:t>
            </w:r>
          </w:p>
        </w:tc>
        <w:tc>
          <w:tcPr>
            <w:tcW w:w="6582" w:type="dxa"/>
            <w:gridSpan w:val="3"/>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2196" w:type="dxa"/>
            <w:vAlign w:val="center"/>
          </w:tcPr>
          <w:p>
            <w:pPr>
              <w:jc w:val="center"/>
              <w:rPr>
                <w:rFonts w:ascii="宋体" w:eastAsia="宋体" w:cs="宋体"/>
                <w:color w:val="auto"/>
                <w:sz w:val="24"/>
                <w:szCs w:val="24"/>
              </w:rPr>
            </w:pPr>
            <w:r>
              <w:rPr>
                <w:rFonts w:hint="eastAsia" w:ascii="宋体" w:eastAsia="宋体" w:cs="宋体"/>
                <w:color w:val="auto"/>
                <w:sz w:val="24"/>
                <w:szCs w:val="24"/>
              </w:rPr>
              <w:t>开户银行账号</w:t>
            </w:r>
          </w:p>
        </w:tc>
        <w:tc>
          <w:tcPr>
            <w:tcW w:w="6582" w:type="dxa"/>
            <w:gridSpan w:val="3"/>
            <w:vAlign w:val="center"/>
          </w:tcPr>
          <w:p>
            <w:pPr>
              <w:jc w:val="center"/>
              <w:rPr>
                <w:rFonts w:asci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8778" w:type="dxa"/>
            <w:gridSpan w:val="4"/>
            <w:vAlign w:val="center"/>
          </w:tcPr>
          <w:p>
            <w:pPr>
              <w:jc w:val="both"/>
              <w:rPr>
                <w:rFonts w:ascii="宋体" w:eastAsia="宋体" w:cs="宋体"/>
                <w:color w:val="auto"/>
                <w:sz w:val="24"/>
                <w:szCs w:val="24"/>
              </w:rPr>
            </w:pPr>
            <w:r>
              <w:rPr>
                <w:rFonts w:hint="eastAsia" w:ascii="宋体" w:eastAsia="宋体" w:cs="宋体"/>
                <w:color w:val="auto"/>
                <w:sz w:val="24"/>
                <w:szCs w:val="24"/>
              </w:rPr>
              <w:t>主营范围：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8778" w:type="dxa"/>
            <w:gridSpan w:val="4"/>
            <w:vAlign w:val="center"/>
          </w:tcPr>
          <w:p>
            <w:pPr>
              <w:jc w:val="both"/>
              <w:rPr>
                <w:rFonts w:ascii="宋体" w:eastAsia="宋体" w:cs="宋体"/>
                <w:color w:val="auto"/>
                <w:sz w:val="24"/>
                <w:szCs w:val="24"/>
              </w:rPr>
            </w:pPr>
            <w:r>
              <w:rPr>
                <w:rFonts w:hint="eastAsia" w:ascii="宋体" w:eastAsia="宋体" w:cs="宋体"/>
                <w:color w:val="auto"/>
                <w:sz w:val="24"/>
                <w:szCs w:val="24"/>
              </w:rPr>
              <w:t>企业资质：</w:t>
            </w:r>
          </w:p>
        </w:tc>
      </w:tr>
    </w:tbl>
    <w:p>
      <w:pPr>
        <w:kinsoku/>
        <w:spacing w:line="360" w:lineRule="auto"/>
        <w:ind w:firstLine="480" w:firstLineChars="200"/>
        <w:rPr>
          <w:rFonts w:ascii="宋体" w:eastAsia="宋体" w:cs="宋体"/>
          <w:color w:val="auto"/>
          <w:sz w:val="24"/>
          <w:szCs w:val="24"/>
        </w:rPr>
      </w:pPr>
    </w:p>
    <w:p>
      <w:pPr>
        <w:kinsoku/>
        <w:spacing w:line="360" w:lineRule="auto"/>
        <w:ind w:firstLine="480" w:firstLineChars="200"/>
        <w:rPr>
          <w:rFonts w:ascii="宋体" w:eastAsia="宋体" w:cs="宋体"/>
          <w:color w:val="auto"/>
          <w:sz w:val="24"/>
          <w:szCs w:val="24"/>
        </w:rPr>
        <w:sectPr>
          <w:footerReference r:id="rId17"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七、具有独立承担民事责任的能力的证明材料</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sectPr>
          <w:footerReference r:id="rId18" w:type="default"/>
          <w:pgSz w:w="11906" w:h="16838"/>
          <w:pgMar w:top="1440" w:right="1080" w:bottom="1440" w:left="1080" w:header="0" w:footer="850" w:gutter="0"/>
          <w:pgNumType w:fmt="decimal"/>
          <w:cols w:space="0" w:num="1"/>
          <w:rtlGutter w:val="0"/>
          <w:docGrid w:linePitch="312" w:charSpace="0"/>
        </w:sectPr>
      </w:pPr>
      <w:r>
        <w:rPr>
          <w:rFonts w:hint="eastAsia" w:ascii="宋体" w:eastAsia="宋体" w:cs="宋体"/>
          <w:color w:val="auto"/>
          <w:sz w:val="24"/>
          <w:szCs w:val="24"/>
          <w:lang w:eastAsia="zh-CN"/>
        </w:rPr>
        <w:t>供应商为法人或者其他组织的，提供营业执照等证明文件；供应商为自然人的，提供身份证明。</w:t>
      </w: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八、具有良好的商业信誉和健全的财务会计制度的相关材料</w:t>
      </w:r>
    </w:p>
    <w:p>
      <w:pPr>
        <w:kinsoku/>
        <w:spacing w:line="360" w:lineRule="auto"/>
        <w:ind w:firstLine="480" w:firstLineChars="200"/>
        <w:rPr>
          <w:rFonts w:ascii="宋体" w:eastAsia="宋体" w:cs="宋体"/>
          <w:color w:val="auto"/>
          <w:sz w:val="24"/>
          <w:szCs w:val="24"/>
          <w:lang w:eastAsia="zh-CN"/>
        </w:rPr>
      </w:pPr>
    </w:p>
    <w:p>
      <w:pPr>
        <w:kinsoku/>
        <w:spacing w:line="360" w:lineRule="auto"/>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供应商提供具有良好的商业信誉和健全的财务会计制度的相关材料。</w:t>
      </w:r>
    </w:p>
    <w:p>
      <w:pPr>
        <w:kinsoku/>
        <w:spacing w:line="360" w:lineRule="auto"/>
        <w:ind w:firstLine="480" w:firstLineChars="200"/>
        <w:rPr>
          <w:rFonts w:ascii="宋体" w:eastAsia="宋体" w:cs="宋体"/>
          <w:color w:val="auto"/>
          <w:sz w:val="24"/>
          <w:szCs w:val="24"/>
          <w:lang w:eastAsia="zh-CN"/>
        </w:rPr>
        <w:sectPr>
          <w:footerReference r:id="rId19"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九、依法缴纳税收和社会保障资金的良好记录的相关材料</w:t>
      </w:r>
    </w:p>
    <w:p>
      <w:pPr>
        <w:kinsoku/>
        <w:spacing w:line="360" w:lineRule="auto"/>
        <w:ind w:firstLine="480" w:firstLineChars="200"/>
        <w:rPr>
          <w:rFonts w:ascii="宋体" w:eastAsia="宋体" w:cs="宋体"/>
          <w:color w:val="auto"/>
          <w:sz w:val="24"/>
          <w:szCs w:val="24"/>
          <w:lang w:eastAsia="zh-CN"/>
        </w:rPr>
      </w:pPr>
    </w:p>
    <w:p>
      <w:pPr>
        <w:kinsoku/>
        <w:spacing w:line="360" w:lineRule="auto"/>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供应商提供依法缴纳税收和社会保障资金的相关材料。</w:t>
      </w:r>
    </w:p>
    <w:p>
      <w:pPr>
        <w:kinsoku/>
        <w:spacing w:line="360" w:lineRule="auto"/>
        <w:ind w:firstLine="480" w:firstLineChars="200"/>
        <w:rPr>
          <w:rFonts w:ascii="宋体" w:eastAsia="宋体" w:cs="宋体"/>
          <w:color w:val="auto"/>
          <w:sz w:val="24"/>
          <w:szCs w:val="24"/>
          <w:lang w:eastAsia="zh-CN"/>
        </w:rPr>
        <w:sectPr>
          <w:footerReference r:id="rId20"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十、具有履行合同所必需的设备和专业技术能力的相关材料</w:t>
      </w:r>
    </w:p>
    <w:p>
      <w:pPr>
        <w:kinsoku/>
        <w:spacing w:line="360" w:lineRule="auto"/>
        <w:ind w:firstLine="480" w:firstLineChars="200"/>
        <w:rPr>
          <w:rFonts w:ascii="宋体" w:eastAsia="宋体" w:cs="宋体"/>
          <w:color w:val="auto"/>
          <w:sz w:val="24"/>
          <w:szCs w:val="24"/>
          <w:lang w:eastAsia="zh-CN"/>
        </w:rPr>
      </w:pPr>
    </w:p>
    <w:p>
      <w:pPr>
        <w:kinsoku/>
        <w:spacing w:line="360" w:lineRule="auto"/>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供应商提供具有履行合同所必需的设备和专业技术能力的相关材料。</w:t>
      </w:r>
    </w:p>
    <w:p>
      <w:pPr>
        <w:kinsoku/>
        <w:spacing w:line="360" w:lineRule="auto"/>
        <w:ind w:firstLine="480" w:firstLineChars="200"/>
        <w:rPr>
          <w:rFonts w:ascii="宋体" w:eastAsia="宋体" w:cs="宋体"/>
          <w:color w:val="auto"/>
          <w:sz w:val="24"/>
          <w:szCs w:val="24"/>
          <w:lang w:eastAsia="zh-CN"/>
        </w:rPr>
        <w:sectPr>
          <w:footerReference r:id="rId21"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left="0" w:leftChars="0" w:right="0" w:rightChars="0" w:firstLine="0" w:firstLineChars="0"/>
        <w:jc w:val="center"/>
        <w:outlineLvl w:val="1"/>
        <w:rPr>
          <w:rFonts w:ascii="宋体" w:eastAsia="宋体" w:cs="宋体"/>
          <w:b/>
          <w:bCs/>
          <w:color w:val="auto"/>
          <w:sz w:val="28"/>
          <w:szCs w:val="28"/>
          <w:lang w:eastAsia="zh-CN"/>
        </w:rPr>
      </w:pPr>
      <w:r>
        <w:rPr>
          <w:rFonts w:hint="eastAsia" w:ascii="宋体" w:eastAsia="宋体" w:cs="宋体"/>
          <w:b/>
          <w:bCs/>
          <w:color w:val="auto"/>
          <w:sz w:val="28"/>
          <w:szCs w:val="28"/>
          <w:lang w:eastAsia="zh-CN"/>
        </w:rPr>
        <w:t>十一、参加政府采购活动前三年内在经营活动中没有重大违法记录的书面声明</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本公司（单位）自愿参加本次政府采购活动，</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（项目名称），项目编号：</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，严格遵守《中华人民共和国政府采购法》《中华人民共和国政府采购法实施条例》及相关法律、法规和规章制度，在参加此次政府采购活动前三年内，本公司在经营活动中无重大违法记录。</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特此声明</w:t>
      </w: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80" w:firstLineChars="200"/>
        <w:rPr>
          <w:rFonts w:ascii="宋体" w:eastAsia="宋体" w:cs="宋体"/>
          <w:color w:val="auto"/>
          <w:sz w:val="24"/>
          <w:szCs w:val="24"/>
          <w:lang w:eastAsia="zh-CN"/>
        </w:rPr>
      </w:pPr>
    </w:p>
    <w:p>
      <w:pPr>
        <w:kinsoku/>
        <w:spacing w:line="360" w:lineRule="auto"/>
        <w:ind w:firstLine="4560" w:firstLineChars="1900"/>
        <w:rPr>
          <w:rFonts w:ascii="宋体" w:eastAsia="宋体" w:cs="宋体"/>
          <w:color w:val="auto"/>
          <w:sz w:val="24"/>
          <w:szCs w:val="24"/>
          <w:lang w:eastAsia="zh-CN"/>
        </w:rPr>
      </w:pPr>
      <w:r>
        <w:rPr>
          <w:rFonts w:hint="eastAsia" w:ascii="宋体" w:eastAsia="宋体" w:cs="宋体"/>
          <w:color w:val="auto"/>
          <w:sz w:val="24"/>
          <w:szCs w:val="24"/>
          <w:lang w:eastAsia="zh-CN"/>
        </w:rPr>
        <w:t>供应商名称（盖章）：</w:t>
      </w:r>
    </w:p>
    <w:p>
      <w:pPr>
        <w:kinsoku/>
        <w:spacing w:line="360" w:lineRule="auto"/>
        <w:ind w:left="0" w:leftChars="0" w:firstLine="2520" w:firstLineChars="1050"/>
        <w:rPr>
          <w:rFonts w:ascii="宋体" w:eastAsia="宋体" w:cs="宋体"/>
          <w:color w:val="auto"/>
          <w:sz w:val="24"/>
          <w:szCs w:val="24"/>
          <w:lang w:eastAsia="zh-CN"/>
        </w:rPr>
      </w:pPr>
      <w:r>
        <w:rPr>
          <w:rFonts w:hint="eastAsia" w:ascii="宋体" w:eastAsia="宋体" w:cs="宋体"/>
          <w:color w:val="auto"/>
          <w:sz w:val="24"/>
          <w:szCs w:val="24"/>
          <w:lang w:eastAsia="zh-CN"/>
        </w:rPr>
        <w:t>法定代表人或授权委托人（签字</w:t>
      </w:r>
      <w:r>
        <w:rPr>
          <w:rFonts w:hint="eastAsia" w:ascii="宋体" w:eastAsia="宋体" w:cs="宋体"/>
          <w:color w:val="auto"/>
          <w:sz w:val="24"/>
          <w:szCs w:val="24"/>
          <w:lang w:val="en-US" w:eastAsia="zh-CN"/>
        </w:rPr>
        <w:t>/盖章</w:t>
      </w:r>
      <w:r>
        <w:rPr>
          <w:rFonts w:hint="eastAsia" w:ascii="宋体" w:eastAsia="宋体" w:cs="宋体"/>
          <w:color w:val="auto"/>
          <w:sz w:val="24"/>
          <w:szCs w:val="24"/>
          <w:lang w:eastAsia="zh-CN"/>
        </w:rPr>
        <w:t>）：</w:t>
      </w:r>
    </w:p>
    <w:p>
      <w:pPr>
        <w:kinsoku/>
        <w:spacing w:line="360" w:lineRule="auto"/>
        <w:ind w:firstLine="480" w:firstLineChars="200"/>
        <w:jc w:val="right"/>
        <w:rPr>
          <w:rFonts w:ascii="宋体" w:eastAsia="宋体" w:cs="宋体"/>
          <w:color w:val="auto"/>
          <w:sz w:val="24"/>
          <w:szCs w:val="24"/>
          <w:lang w:eastAsia="zh-CN"/>
        </w:rPr>
      </w:pPr>
      <w:r>
        <w:rPr>
          <w:rFonts w:hint="eastAsia" w:ascii="宋体" w:eastAsia="宋体" w:cs="宋体"/>
          <w:color w:val="auto"/>
          <w:sz w:val="24"/>
          <w:szCs w:val="24"/>
          <w:lang w:eastAsia="zh-CN"/>
        </w:rPr>
        <w:t>年    月    日</w:t>
      </w:r>
    </w:p>
    <w:p>
      <w:pPr>
        <w:kinsoku/>
        <w:spacing w:line="360" w:lineRule="auto"/>
        <w:ind w:firstLine="480" w:firstLineChars="200"/>
        <w:rPr>
          <w:rFonts w:ascii="宋体" w:eastAsia="宋体" w:cs="宋体"/>
          <w:color w:val="auto"/>
          <w:sz w:val="24"/>
          <w:szCs w:val="24"/>
          <w:lang w:eastAsia="zh-CN"/>
        </w:rPr>
        <w:sectPr>
          <w:footerReference r:id="rId22"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（以下格式文件由供应商根据需要选用）</w:t>
      </w: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十二、联合体协议书</w:t>
      </w:r>
    </w:p>
    <w:p>
      <w:pPr>
        <w:kinsoku/>
        <w:wordWrap w:val="0"/>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（所有成员单位名称）自愿组成一个联合体，以一个供应商的身份共同参加</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（项目名称）的采购，项目编：</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。联合体各方共同与采购人签订采购合同，就采购合同约定的事项对采购人承担连带责任。现就联合体参加采购事宜订立如下协议。</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（某成员单位名称）为联合体牵头人。</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2.联合体各成员单位授权牵头人代表联合体参加采购活动，提交和接收相关的资料，负责合同实施阶段的组织和协调工作，以及处理与本项目有关的事宜。</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3.联合体牵头人在本项目中签署的文件和处理的事宜，联合体各成员单位均予以承认。联合体各成员单位将严格按照磋商文件、响应文件和合同的要求全面履行义务，并向采购人承担连带责任。</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4.联合体各成员单位内部的职责分工如下：</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5.如要求缴纳保证金，以牵头人名义缴纳，对联合体各方均具有约束力。</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6.本协议书自签署之日起生效，合同履行完毕后自动失效。</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7.本协议书一式</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份，联合体各成员单位和采购人各执一份。</w:t>
      </w: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协议书由法定代表人签字的，应附法定代表人身份证明；由授权代表签字的，应附授权委托书。</w:t>
      </w:r>
    </w:p>
    <w:p>
      <w:pPr>
        <w:kinsoku/>
        <w:spacing w:line="480" w:lineRule="exact"/>
        <w:ind w:firstLine="480" w:firstLineChars="200"/>
        <w:rPr>
          <w:rFonts w:ascii="宋体" w:eastAsia="宋体" w:cs="宋体"/>
          <w:color w:val="auto"/>
          <w:sz w:val="24"/>
          <w:szCs w:val="24"/>
          <w:lang w:eastAsia="zh-CN"/>
        </w:rPr>
      </w:pPr>
    </w:p>
    <w:p>
      <w:pPr>
        <w:kinsoku/>
        <w:spacing w:line="480" w:lineRule="exact"/>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所有成员单位法定代表人或其授权代表（签字并盖章）：</w:t>
      </w:r>
    </w:p>
    <w:p>
      <w:pPr>
        <w:kinsoku/>
        <w:spacing w:line="480" w:lineRule="exact"/>
        <w:ind w:firstLine="480" w:firstLineChars="200"/>
        <w:jc w:val="right"/>
        <w:rPr>
          <w:rFonts w:ascii="宋体" w:eastAsia="宋体" w:cs="宋体"/>
          <w:color w:val="auto"/>
          <w:sz w:val="24"/>
          <w:szCs w:val="24"/>
          <w:lang w:eastAsia="zh-CN"/>
        </w:rPr>
      </w:pPr>
      <w:r>
        <w:rPr>
          <w:rFonts w:hint="eastAsia" w:ascii="宋体" w:eastAsia="宋体" w:cs="宋体"/>
          <w:color w:val="auto"/>
          <w:sz w:val="24"/>
          <w:szCs w:val="24"/>
          <w:lang w:eastAsia="zh-CN"/>
        </w:rPr>
        <w:t>年    月    日</w:t>
      </w:r>
    </w:p>
    <w:p>
      <w:pPr>
        <w:kinsoku/>
        <w:spacing w:line="360" w:lineRule="auto"/>
        <w:ind w:firstLine="480" w:firstLineChars="200"/>
        <w:rPr>
          <w:rFonts w:ascii="宋体" w:eastAsia="宋体" w:cs="宋体"/>
          <w:color w:val="auto"/>
          <w:sz w:val="24"/>
          <w:szCs w:val="24"/>
          <w:lang w:eastAsia="zh-CN"/>
        </w:rPr>
        <w:sectPr>
          <w:footerReference r:id="rId23" w:type="default"/>
          <w:pgSz w:w="11906" w:h="16838"/>
          <w:pgMar w:top="1440" w:right="1080" w:bottom="1440" w:left="1080" w:header="0" w:footer="850" w:gutter="0"/>
          <w:pgNumType w:fmt="decimal"/>
          <w:cols w:space="0" w:num="1"/>
          <w:rtlGutter w:val="0"/>
          <w:docGrid w:linePitch="312" w:charSpace="0"/>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宋体" w:eastAsia="宋体" w:cs="宋体"/>
          <w:b/>
          <w:bCs/>
          <w:color w:val="auto"/>
          <w:sz w:val="28"/>
          <w:szCs w:val="28"/>
          <w:lang w:eastAsia="zh-CN"/>
        </w:rPr>
      </w:pPr>
      <w:r>
        <w:rPr>
          <w:rFonts w:hint="eastAsia" w:ascii="宋体" w:eastAsia="宋体" w:cs="宋体"/>
          <w:sz w:val="24"/>
          <w:szCs w:val="24"/>
          <w:highlight w:val="none"/>
        </w:rPr>
        <w:t>（以下格式文件由供应商根据需要选用）</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1"/>
        <w:rPr>
          <w:rFonts w:hint="eastAsia" w:ascii="宋体" w:eastAsia="宋体" w:cs="宋体"/>
          <w:color w:val="auto"/>
          <w:sz w:val="24"/>
          <w:szCs w:val="24"/>
          <w:highlight w:val="none"/>
        </w:rPr>
      </w:pPr>
      <w:r>
        <w:rPr>
          <w:rFonts w:hint="eastAsia" w:ascii="宋体" w:eastAsia="宋体" w:cs="宋体"/>
          <w:b/>
          <w:bCs/>
          <w:color w:val="auto"/>
          <w:sz w:val="28"/>
          <w:szCs w:val="28"/>
          <w:lang w:eastAsia="zh-CN"/>
        </w:rPr>
        <w:t>十三、</w:t>
      </w:r>
      <w:r>
        <w:rPr>
          <w:rFonts w:hint="eastAsia" w:ascii="宋体" w:eastAsia="宋体" w:cs="宋体"/>
          <w:b/>
          <w:bCs/>
          <w:color w:val="auto"/>
          <w:sz w:val="28"/>
          <w:szCs w:val="28"/>
          <w:highlight w:val="none"/>
        </w:rPr>
        <w:t>中小企业声明函（工程、服务）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r>
        <w:rPr>
          <w:rFonts w:hint="eastAsia" w:ascii="宋体" w:eastAsia="宋体" w:cs="宋体"/>
          <w:color w:val="auto"/>
          <w:sz w:val="24"/>
          <w:szCs w:val="24"/>
          <w:highlight w:val="none"/>
          <w:u w:val="single"/>
        </w:rPr>
        <w:t>（标的名称）</w:t>
      </w:r>
      <w:r>
        <w:rPr>
          <w:rFonts w:hint="eastAsia" w:ascii="宋体" w:eastAsia="宋体" w:cs="宋体"/>
          <w:color w:val="auto"/>
          <w:sz w:val="24"/>
          <w:szCs w:val="24"/>
          <w:highlight w:val="none"/>
        </w:rPr>
        <w:t>，属于</w:t>
      </w:r>
      <w:r>
        <w:rPr>
          <w:rFonts w:hint="eastAsia" w:ascii="宋体" w:eastAsia="宋体" w:cs="宋体"/>
          <w:color w:val="auto"/>
          <w:sz w:val="24"/>
          <w:szCs w:val="24"/>
          <w:highlight w:val="none"/>
          <w:u w:val="single"/>
        </w:rPr>
        <w:t>（采购文件中明确的所属行业）</w:t>
      </w:r>
      <w:r>
        <w:rPr>
          <w:rFonts w:hint="eastAsia" w:ascii="宋体" w:eastAsia="宋体" w:cs="宋体"/>
          <w:color w:val="auto"/>
          <w:sz w:val="24"/>
          <w:szCs w:val="24"/>
          <w:highlight w:val="none"/>
        </w:rPr>
        <w:t>；承建（承接）企业为</w:t>
      </w:r>
      <w:r>
        <w:rPr>
          <w:rFonts w:hint="eastAsia" w:ascii="宋体" w:eastAsia="宋体" w:cs="宋体"/>
          <w:color w:val="auto"/>
          <w:sz w:val="24"/>
          <w:szCs w:val="24"/>
          <w:highlight w:val="none"/>
          <w:u w:val="single"/>
        </w:rPr>
        <w:t>（企业名称）</w:t>
      </w:r>
      <w:r>
        <w:rPr>
          <w:rFonts w:hint="eastAsia" w:ascii="宋体" w:eastAsia="宋体" w:cs="宋体"/>
          <w:color w:val="auto"/>
          <w:sz w:val="24"/>
          <w:szCs w:val="24"/>
          <w:highlight w:val="none"/>
        </w:rPr>
        <w:t>，从业人员</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人，营业收入为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万元，资产总额为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 xml:space="preserve">万元 </w:t>
      </w:r>
      <w:r>
        <w:rPr>
          <w:rFonts w:hint="eastAsia" w:ascii="宋体" w:eastAsia="宋体" w:cs="宋体"/>
          <w:color w:val="auto"/>
          <w:sz w:val="24"/>
          <w:szCs w:val="24"/>
          <w:highlight w:val="none"/>
          <w:vertAlign w:val="superscript"/>
        </w:rPr>
        <w:t>1</w:t>
      </w:r>
      <w:r>
        <w:rPr>
          <w:rFonts w:hint="eastAsia" w:ascii="宋体" w:eastAsia="宋体" w:cs="宋体"/>
          <w:color w:val="auto"/>
          <w:sz w:val="24"/>
          <w:szCs w:val="24"/>
          <w:highlight w:val="none"/>
        </w:rPr>
        <w:t xml:space="preserve"> ，属于（中型企业、小型企业、微型企业）；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2.</w:t>
      </w:r>
      <w:r>
        <w:rPr>
          <w:rFonts w:hint="eastAsia" w:ascii="宋体" w:eastAsia="宋体" w:cs="宋体"/>
          <w:color w:val="auto"/>
          <w:sz w:val="24"/>
          <w:szCs w:val="24"/>
          <w:highlight w:val="none"/>
          <w:u w:val="single"/>
        </w:rPr>
        <w:t>（标的名称）</w:t>
      </w:r>
      <w:r>
        <w:rPr>
          <w:rFonts w:hint="eastAsia" w:ascii="宋体" w:eastAsia="宋体" w:cs="宋体"/>
          <w:color w:val="auto"/>
          <w:sz w:val="24"/>
          <w:szCs w:val="24"/>
          <w:highlight w:val="none"/>
        </w:rPr>
        <w:t>，属于</w:t>
      </w:r>
      <w:r>
        <w:rPr>
          <w:rFonts w:hint="eastAsia" w:ascii="宋体" w:eastAsia="宋体" w:cs="宋体"/>
          <w:color w:val="auto"/>
          <w:sz w:val="24"/>
          <w:szCs w:val="24"/>
          <w:highlight w:val="none"/>
          <w:u w:val="single"/>
        </w:rPr>
        <w:t>（采购文件中明确的所属行业）</w:t>
      </w:r>
      <w:r>
        <w:rPr>
          <w:rFonts w:hint="eastAsia" w:ascii="宋体" w:eastAsia="宋体" w:cs="宋体"/>
          <w:color w:val="auto"/>
          <w:sz w:val="24"/>
          <w:szCs w:val="24"/>
          <w:highlight w:val="none"/>
        </w:rPr>
        <w:t>；承建（承接）企业为</w:t>
      </w:r>
      <w:r>
        <w:rPr>
          <w:rFonts w:hint="eastAsia" w:ascii="宋体" w:eastAsia="宋体" w:cs="宋体"/>
          <w:color w:val="auto"/>
          <w:sz w:val="24"/>
          <w:szCs w:val="24"/>
          <w:highlight w:val="none"/>
          <w:u w:val="single"/>
        </w:rPr>
        <w:t>（企业名称）</w:t>
      </w:r>
      <w:r>
        <w:rPr>
          <w:rFonts w:hint="eastAsia" w:ascii="宋体" w:eastAsia="宋体" w:cs="宋体"/>
          <w:color w:val="auto"/>
          <w:sz w:val="24"/>
          <w:szCs w:val="24"/>
          <w:highlight w:val="none"/>
        </w:rPr>
        <w:t>，从业人员</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人，营业收入为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万元，资产总额为</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万元，属于（中型企业、小型企业、微型企业）；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本企业对上述声明内容的真实性负责。如有虚假，将依法承担相应责任。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企业名称（盖章）：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日 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color w:val="auto"/>
          <w:sz w:val="24"/>
          <w:szCs w:val="24"/>
          <w:highlight w:val="none"/>
          <w:vertAlign w:val="superscript"/>
        </w:rPr>
      </w:pPr>
    </w:p>
    <w:p>
      <w:pPr>
        <w:rPr>
          <w:rFonts w:hint="eastAsia" w:ascii="宋体" w:eastAsia="宋体" w:cs="宋体"/>
          <w:color w:val="auto"/>
          <w:sz w:val="20"/>
          <w:szCs w:val="20"/>
          <w:highlight w:val="none"/>
          <w:vertAlign w:val="superscript"/>
        </w:rPr>
      </w:pPr>
    </w:p>
    <w:p>
      <w:pPr>
        <w:rPr>
          <w:rFonts w:hint="eastAsia" w:ascii="宋体" w:eastAsia="宋体" w:cs="宋体"/>
          <w:color w:val="auto"/>
          <w:sz w:val="20"/>
          <w:szCs w:val="20"/>
          <w:highlight w:val="none"/>
          <w:vertAlign w:val="superscript"/>
        </w:rPr>
      </w:pPr>
    </w:p>
    <w:p>
      <w:pPr>
        <w:rPr>
          <w:rFonts w:hint="eastAsia" w:ascii="宋体" w:eastAsia="宋体" w:cs="宋体"/>
          <w:color w:val="auto"/>
          <w:sz w:val="20"/>
          <w:szCs w:val="20"/>
          <w:highlight w:val="none"/>
          <w:vertAlign w:val="superscript"/>
        </w:rPr>
      </w:pPr>
    </w:p>
    <w:p>
      <w:pPr>
        <w:rPr>
          <w:rFonts w:hint="eastAsia" w:ascii="宋体" w:eastAsia="宋体" w:cs="宋体"/>
          <w:color w:val="auto"/>
          <w:sz w:val="20"/>
          <w:szCs w:val="20"/>
          <w:highlight w:val="none"/>
          <w:vertAlign w:val="superscript"/>
        </w:rPr>
      </w:pPr>
    </w:p>
    <w:p>
      <w:pPr>
        <w:rPr>
          <w:rFonts w:hint="eastAsia" w:ascii="宋体" w:eastAsia="宋体" w:cs="宋体"/>
          <w:color w:val="auto"/>
          <w:sz w:val="20"/>
          <w:szCs w:val="20"/>
          <w:highlight w:val="none"/>
          <w:vertAlign w:val="superscript"/>
        </w:rPr>
      </w:pPr>
    </w:p>
    <w:p>
      <w:pPr>
        <w:rPr>
          <w:rFonts w:hint="eastAsia" w:ascii="宋体" w:eastAsia="宋体" w:cs="宋体"/>
          <w:color w:val="auto"/>
          <w:sz w:val="20"/>
          <w:szCs w:val="20"/>
          <w:highlight w:val="none"/>
          <w:vertAlign w:val="superscript"/>
        </w:rPr>
      </w:pPr>
    </w:p>
    <w:p>
      <w:pPr>
        <w:rPr>
          <w:rFonts w:hint="eastAsia" w:ascii="宋体" w:eastAsia="宋体" w:cs="宋体"/>
          <w:color w:val="auto"/>
          <w:sz w:val="20"/>
          <w:szCs w:val="20"/>
          <w:highlight w:val="none"/>
          <w:vertAlign w:val="superscript"/>
        </w:rPr>
      </w:pPr>
    </w:p>
    <w:p>
      <w:pPr>
        <w:kinsoku/>
        <w:spacing w:line="480" w:lineRule="auto"/>
        <w:ind w:left="0" w:leftChars="0" w:right="0" w:rightChars="0" w:firstLine="0" w:firstLineChars="0"/>
        <w:jc w:val="both"/>
        <w:outlineLvl w:val="9"/>
        <w:rPr>
          <w:rFonts w:hint="eastAsia" w:ascii="宋体" w:eastAsia="宋体" w:cs="宋体"/>
          <w:b/>
          <w:bCs/>
          <w:color w:val="auto"/>
          <w:sz w:val="24"/>
          <w:szCs w:val="24"/>
          <w:lang w:eastAsia="zh-CN"/>
        </w:rPr>
      </w:pPr>
      <w:r>
        <w:rPr>
          <w:rFonts w:hint="eastAsia" w:ascii="宋体" w:eastAsia="宋体" w:cs="宋体"/>
          <w:color w:val="auto"/>
          <w:sz w:val="20"/>
          <w:szCs w:val="20"/>
          <w:highlight w:val="none"/>
          <w:vertAlign w:val="superscript"/>
        </w:rPr>
        <w:t>1</w:t>
      </w:r>
      <w:r>
        <w:rPr>
          <w:rFonts w:hint="eastAsia" w:ascii="宋体" w:eastAsia="宋体" w:cs="宋体"/>
          <w:color w:val="auto"/>
          <w:sz w:val="20"/>
          <w:szCs w:val="20"/>
          <w:highlight w:val="none"/>
        </w:rPr>
        <w:t xml:space="preserve"> 从业人员、营业收入、资产总额填报上一年度数据，无上一年度数据的新成立企业可不填报</w:t>
      </w:r>
    </w:p>
    <w:p>
      <w:pPr>
        <w:rPr>
          <w:rFonts w:hint="eastAsia" w:ascii="宋体" w:eastAsia="宋体" w:cs="宋体"/>
          <w:b/>
          <w:bCs/>
          <w:color w:val="auto"/>
          <w:sz w:val="28"/>
          <w:szCs w:val="28"/>
          <w:lang w:eastAsia="zh-CN"/>
        </w:rPr>
      </w:pPr>
      <w:r>
        <w:rPr>
          <w:rFonts w:hint="eastAsia" w:ascii="宋体" w:eastAsia="宋体" w:cs="宋体"/>
          <w:b/>
          <w:bCs/>
          <w:color w:val="auto"/>
          <w:sz w:val="28"/>
          <w:szCs w:val="28"/>
          <w:lang w:eastAsia="zh-CN"/>
        </w:rPr>
        <w:br w:type="page"/>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（以下格式文件由供应商根据需要选用）</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1"/>
        <w:rPr>
          <w:rFonts w:hint="eastAsia" w:ascii="宋体" w:hAnsi="宋体" w:eastAsia="宋体" w:cs="宋体"/>
          <w:b/>
          <w:bCs/>
          <w:color w:val="auto"/>
          <w:kern w:val="0"/>
          <w:sz w:val="24"/>
          <w:szCs w:val="24"/>
        </w:rPr>
      </w:pPr>
      <w:r>
        <w:rPr>
          <w:rFonts w:hint="eastAsia" w:ascii="宋体" w:eastAsia="宋体" w:cs="宋体"/>
          <w:b/>
          <w:bCs/>
          <w:color w:val="auto"/>
          <w:sz w:val="28"/>
          <w:szCs w:val="28"/>
          <w:lang w:eastAsia="zh-CN"/>
        </w:rPr>
        <w:t>十四、监狱企业证明文件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提供由省级以上监狱管理局、戒毒管理局（含新疆生产建设兵团）出具的属于监狱企业的证明文件。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sectPr>
          <w:footerReference r:id="rId24" w:type="default"/>
          <w:pgSz w:w="11906" w:h="16838"/>
          <w:pgMar w:top="1440" w:right="1080" w:bottom="1440" w:left="1080" w:header="0" w:footer="850"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（以下格式文件由供应商根据需要选用）</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8"/>
          <w:szCs w:val="28"/>
        </w:rPr>
        <w:t>十五、残疾人福利性单位声明函</w:t>
      </w:r>
    </w:p>
    <w:p>
      <w:pPr>
        <w:keepNext w:val="0"/>
        <w:keepLines w:val="0"/>
        <w:pageBreakBefore w:val="0"/>
        <w:widowControl/>
        <w:kinsoku w:val="0"/>
        <w:wordWrap/>
        <w:overflowPunct/>
        <w:topLinePunct w:val="0"/>
        <w:autoSpaceDE w:val="0"/>
        <w:autoSpaceDN w:val="0"/>
        <w:bidi w:val="0"/>
        <w:adjustRightInd w:val="0"/>
        <w:snapToGrid w:val="0"/>
        <w:spacing w:before="111" w:line="360" w:lineRule="auto"/>
        <w:ind w:right="15" w:firstLine="544" w:firstLineChars="200"/>
        <w:jc w:val="left"/>
        <w:textAlignment w:val="baseline"/>
        <w:rPr>
          <w:rFonts w:hint="eastAsia" w:ascii="宋体" w:hAnsi="宋体" w:eastAsia="宋体" w:cs="宋体"/>
          <w:color w:val="auto"/>
          <w:kern w:val="0"/>
          <w:sz w:val="26"/>
          <w:szCs w:val="26"/>
        </w:rPr>
      </w:pPr>
      <w:r>
        <w:rPr>
          <w:rFonts w:hint="eastAsia" w:ascii="宋体" w:hAnsi="宋体" w:eastAsia="宋体" w:cs="宋体"/>
          <w:color w:val="auto"/>
          <w:spacing w:val="6"/>
          <w:kern w:val="0"/>
          <w:sz w:val="26"/>
          <w:szCs w:val="26"/>
        </w:rPr>
        <w:t>本单位郑重声</w:t>
      </w:r>
      <w:r>
        <w:rPr>
          <w:rFonts w:hint="eastAsia" w:ascii="宋体" w:hAnsi="宋体" w:eastAsia="宋体" w:cs="宋体"/>
          <w:color w:val="auto"/>
          <w:spacing w:val="4"/>
          <w:kern w:val="0"/>
          <w:sz w:val="26"/>
          <w:szCs w:val="26"/>
        </w:rPr>
        <w:t>明</w:t>
      </w:r>
      <w:r>
        <w:rPr>
          <w:rFonts w:hint="eastAsia" w:ascii="宋体" w:hAnsi="宋体" w:eastAsia="宋体" w:cs="宋体"/>
          <w:color w:val="auto"/>
          <w:spacing w:val="3"/>
          <w:kern w:val="0"/>
          <w:sz w:val="26"/>
          <w:szCs w:val="26"/>
        </w:rPr>
        <w:t>，根据《财政部 民政部 中国残疾人联合会关于</w:t>
      </w:r>
      <w:r>
        <w:rPr>
          <w:rFonts w:hint="eastAsia" w:ascii="宋体" w:hAnsi="宋体" w:eastAsia="宋体" w:cs="宋体"/>
          <w:color w:val="auto"/>
          <w:spacing w:val="2"/>
          <w:kern w:val="0"/>
          <w:sz w:val="26"/>
          <w:szCs w:val="26"/>
        </w:rPr>
        <w:t>促进残疾人就业</w:t>
      </w:r>
      <w:r>
        <w:rPr>
          <w:rFonts w:hint="eastAsia" w:ascii="宋体" w:hAnsi="宋体" w:eastAsia="宋体" w:cs="宋体"/>
          <w:color w:val="auto"/>
          <w:spacing w:val="1"/>
          <w:kern w:val="0"/>
          <w:sz w:val="26"/>
          <w:szCs w:val="26"/>
        </w:rPr>
        <w:t>政府采购政策的通知》(财库〔2017〕141号)的规</w:t>
      </w:r>
      <w:r>
        <w:rPr>
          <w:rFonts w:hint="eastAsia" w:ascii="宋体" w:hAnsi="宋体" w:eastAsia="宋体" w:cs="宋体"/>
          <w:color w:val="auto"/>
          <w:spacing w:val="9"/>
          <w:kern w:val="0"/>
          <w:sz w:val="26"/>
          <w:szCs w:val="26"/>
        </w:rPr>
        <w:t>定，本单位为符合条件的残疾人福利性单位，且本单位参加</w:t>
      </w:r>
      <w:r>
        <w:rPr>
          <w:rFonts w:hint="eastAsia" w:ascii="宋体" w:hAnsi="宋体" w:eastAsia="宋体" w:cs="宋体"/>
          <w:color w:val="auto"/>
          <w:spacing w:val="9"/>
          <w:kern w:val="0"/>
          <w:sz w:val="26"/>
          <w:szCs w:val="26"/>
          <w:u w:val="single"/>
          <w:lang w:val="en-US" w:eastAsia="zh-CN"/>
        </w:rPr>
        <w:t xml:space="preserve">    </w:t>
      </w:r>
      <w:r>
        <w:rPr>
          <w:rFonts w:hint="eastAsia" w:ascii="宋体" w:hAnsi="宋体" w:eastAsia="宋体" w:cs="宋体"/>
          <w:color w:val="auto"/>
          <w:spacing w:val="9"/>
          <w:kern w:val="0"/>
          <w:sz w:val="26"/>
          <w:szCs w:val="26"/>
        </w:rPr>
        <w:t>单</w:t>
      </w:r>
      <w:r>
        <w:rPr>
          <w:rFonts w:hint="eastAsia" w:ascii="宋体" w:hAnsi="宋体" w:eastAsia="宋体" w:cs="宋体"/>
          <w:color w:val="auto"/>
          <w:spacing w:val="2"/>
          <w:kern w:val="0"/>
          <w:sz w:val="26"/>
          <w:szCs w:val="26"/>
        </w:rPr>
        <w:t>位</w:t>
      </w:r>
      <w:r>
        <w:rPr>
          <w:rFonts w:hint="eastAsia" w:ascii="宋体" w:hAnsi="宋体" w:eastAsia="宋体" w:cs="宋体"/>
          <w:color w:val="auto"/>
          <w:spacing w:val="16"/>
          <w:kern w:val="0"/>
          <w:sz w:val="26"/>
          <w:szCs w:val="26"/>
        </w:rPr>
        <w:t>的</w:t>
      </w:r>
      <w:r>
        <w:rPr>
          <w:rFonts w:hint="eastAsia" w:ascii="宋体" w:hAnsi="宋体" w:eastAsia="宋体" w:cs="宋体"/>
          <w:color w:val="auto"/>
          <w:spacing w:val="8"/>
          <w:kern w:val="0"/>
          <w:sz w:val="26"/>
          <w:szCs w:val="26"/>
          <w:u w:val="single"/>
          <w:lang w:val="en-US" w:eastAsia="zh-CN"/>
        </w:rPr>
        <w:t xml:space="preserve">    </w:t>
      </w:r>
      <w:r>
        <w:rPr>
          <w:rFonts w:hint="eastAsia" w:ascii="宋体" w:hAnsi="宋体" w:eastAsia="宋体" w:cs="宋体"/>
          <w:color w:val="auto"/>
          <w:spacing w:val="8"/>
          <w:kern w:val="0"/>
          <w:sz w:val="26"/>
          <w:szCs w:val="26"/>
        </w:rPr>
        <w:t>项目采购活动提供本单位制造的货物(由本单位承担工程/提供</w:t>
      </w:r>
      <w:r>
        <w:rPr>
          <w:rFonts w:hint="eastAsia" w:ascii="宋体" w:hAnsi="宋体" w:eastAsia="宋体" w:cs="宋体"/>
          <w:color w:val="auto"/>
          <w:spacing w:val="17"/>
          <w:kern w:val="0"/>
          <w:sz w:val="26"/>
          <w:szCs w:val="26"/>
        </w:rPr>
        <w:t>服</w:t>
      </w:r>
      <w:r>
        <w:rPr>
          <w:rFonts w:hint="eastAsia" w:ascii="宋体" w:hAnsi="宋体" w:eastAsia="宋体" w:cs="宋体"/>
          <w:color w:val="auto"/>
          <w:spacing w:val="13"/>
          <w:kern w:val="0"/>
          <w:sz w:val="26"/>
          <w:szCs w:val="26"/>
        </w:rPr>
        <w:t>务)，或者提供其他残疾人福利性单位制造的货物(不包括使用非残</w:t>
      </w:r>
      <w:r>
        <w:rPr>
          <w:rFonts w:hint="eastAsia" w:ascii="宋体" w:hAnsi="宋体" w:eastAsia="宋体" w:cs="宋体"/>
          <w:color w:val="auto"/>
          <w:spacing w:val="12"/>
          <w:kern w:val="0"/>
          <w:sz w:val="26"/>
          <w:szCs w:val="26"/>
        </w:rPr>
        <w:t>疾</w:t>
      </w:r>
      <w:r>
        <w:rPr>
          <w:rFonts w:hint="eastAsia" w:ascii="宋体" w:hAnsi="宋体" w:eastAsia="宋体" w:cs="宋体"/>
          <w:color w:val="auto"/>
          <w:spacing w:val="9"/>
          <w:kern w:val="0"/>
          <w:sz w:val="26"/>
          <w:szCs w:val="26"/>
        </w:rPr>
        <w:t>人福利性单位注册商标的货物)。</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left"/>
        <w:textAlignment w:val="baseline"/>
        <w:rPr>
          <w:rFonts w:hint="eastAsia" w:ascii="宋体" w:hAnsi="宋体" w:eastAsia="宋体" w:cs="宋体"/>
          <w:color w:val="auto"/>
          <w:kern w:val="0"/>
          <w:sz w:val="26"/>
          <w:szCs w:val="26"/>
        </w:rPr>
      </w:pPr>
      <w:r>
        <w:rPr>
          <w:rFonts w:hint="eastAsia" w:ascii="宋体" w:hAnsi="宋体" w:eastAsia="宋体" w:cs="宋体"/>
          <w:color w:val="auto"/>
          <w:spacing w:val="10"/>
          <w:kern w:val="0"/>
          <w:sz w:val="26"/>
          <w:szCs w:val="26"/>
        </w:rPr>
        <w:t>本单位对</w:t>
      </w:r>
      <w:r>
        <w:rPr>
          <w:rFonts w:hint="eastAsia" w:ascii="宋体" w:hAnsi="宋体" w:eastAsia="宋体" w:cs="宋体"/>
          <w:color w:val="auto"/>
          <w:spacing w:val="5"/>
          <w:kern w:val="0"/>
          <w:sz w:val="26"/>
          <w:szCs w:val="26"/>
        </w:rPr>
        <w:t>上述声明的真实性负责。如有虚假，将依法承担相应责</w:t>
      </w:r>
      <w:r>
        <w:rPr>
          <w:rFonts w:hint="eastAsia" w:ascii="宋体" w:hAnsi="宋体" w:eastAsia="宋体" w:cs="宋体"/>
          <w:color w:val="auto"/>
          <w:spacing w:val="3"/>
          <w:kern w:val="0"/>
          <w:sz w:val="26"/>
          <w:szCs w:val="26"/>
        </w:rPr>
        <w:t>任</w:t>
      </w:r>
      <w:r>
        <w:rPr>
          <w:rFonts w:hint="eastAsia" w:ascii="宋体" w:hAnsi="宋体" w:eastAsia="宋体" w:cs="宋体"/>
          <w:color w:val="auto"/>
          <w:spacing w:val="2"/>
          <w:kern w:val="0"/>
          <w:sz w:val="26"/>
          <w:szCs w:val="26"/>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kern w:val="0"/>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kern w:val="0"/>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kern w:val="0"/>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kern w:val="0"/>
          <w:sz w:val="26"/>
          <w:szCs w:val="26"/>
        </w:rPr>
      </w:pPr>
    </w:p>
    <w:p>
      <w:pPr>
        <w:keepNext w:val="0"/>
        <w:keepLines w:val="0"/>
        <w:pageBreakBefore w:val="0"/>
        <w:widowControl/>
        <w:kinsoku w:val="0"/>
        <w:wordWrap/>
        <w:overflowPunct/>
        <w:topLinePunct w:val="0"/>
        <w:autoSpaceDE w:val="0"/>
        <w:autoSpaceDN w:val="0"/>
        <w:bidi w:val="0"/>
        <w:adjustRightInd w:val="0"/>
        <w:snapToGrid w:val="0"/>
        <w:spacing w:before="112" w:line="360" w:lineRule="auto"/>
        <w:ind w:left="3977"/>
        <w:jc w:val="left"/>
        <w:textAlignment w:val="baseline"/>
        <w:rPr>
          <w:rFonts w:hint="eastAsia" w:ascii="宋体" w:hAnsi="宋体" w:eastAsia="宋体" w:cs="宋体"/>
          <w:color w:val="auto"/>
          <w:kern w:val="0"/>
          <w:sz w:val="26"/>
          <w:szCs w:val="26"/>
        </w:rPr>
      </w:pPr>
      <w:r>
        <w:rPr>
          <w:rFonts w:hint="eastAsia" w:ascii="宋体" w:hAnsi="宋体" w:eastAsia="宋体" w:cs="宋体"/>
          <w:color w:val="auto"/>
          <w:spacing w:val="24"/>
          <w:kern w:val="0"/>
          <w:position w:val="24"/>
          <w:sz w:val="26"/>
          <w:szCs w:val="26"/>
        </w:rPr>
        <w:t>单</w:t>
      </w:r>
      <w:r>
        <w:rPr>
          <w:rFonts w:hint="eastAsia" w:ascii="宋体" w:hAnsi="宋体" w:eastAsia="宋体" w:cs="宋体"/>
          <w:color w:val="auto"/>
          <w:spacing w:val="17"/>
          <w:kern w:val="0"/>
          <w:position w:val="24"/>
          <w:sz w:val="26"/>
          <w:szCs w:val="26"/>
        </w:rPr>
        <w:t>位名称(盖章)：</w:t>
      </w:r>
    </w:p>
    <w:p>
      <w:pPr>
        <w:ind w:left="0" w:leftChars="0" w:firstLine="5257" w:firstLineChars="2120"/>
        <w:rPr>
          <w:rFonts w:hint="eastAsia" w:ascii="宋体" w:eastAsia="宋体" w:cs="宋体"/>
          <w:b/>
          <w:bCs/>
          <w:color w:val="auto"/>
          <w:sz w:val="28"/>
          <w:szCs w:val="28"/>
          <w:lang w:eastAsia="zh-CN"/>
        </w:rPr>
      </w:pPr>
      <w:r>
        <w:rPr>
          <w:rFonts w:hint="eastAsia" w:ascii="宋体" w:hAnsi="宋体" w:eastAsia="宋体" w:cs="宋体"/>
          <w:color w:val="auto"/>
          <w:spacing w:val="-6"/>
          <w:kern w:val="0"/>
          <w:sz w:val="26"/>
          <w:szCs w:val="26"/>
        </w:rPr>
        <w:t>日</w:t>
      </w:r>
      <w:r>
        <w:rPr>
          <w:rFonts w:hint="eastAsia" w:ascii="宋体" w:hAnsi="宋体" w:eastAsia="宋体" w:cs="宋体"/>
          <w:color w:val="auto"/>
          <w:spacing w:val="-4"/>
          <w:kern w:val="0"/>
          <w:sz w:val="26"/>
          <w:szCs w:val="26"/>
        </w:rPr>
        <w:t xml:space="preserve"> </w:t>
      </w:r>
      <w:r>
        <w:rPr>
          <w:rFonts w:hint="eastAsia" w:ascii="宋体" w:hAnsi="宋体" w:eastAsia="宋体" w:cs="宋体"/>
          <w:color w:val="auto"/>
          <w:spacing w:val="-3"/>
          <w:kern w:val="0"/>
          <w:sz w:val="26"/>
          <w:szCs w:val="26"/>
        </w:rPr>
        <w:t>期：</w:t>
      </w:r>
      <w:r>
        <w:rPr>
          <w:rFonts w:hint="eastAsia" w:ascii="宋体" w:eastAsia="宋体" w:cs="宋体"/>
          <w:b/>
          <w:bCs/>
          <w:color w:val="auto"/>
          <w:sz w:val="28"/>
          <w:szCs w:val="28"/>
          <w:lang w:eastAsia="zh-CN"/>
        </w:rPr>
        <w:br w:type="page"/>
      </w:r>
    </w:p>
    <w:p>
      <w:pPr>
        <w:kinsoku/>
        <w:spacing w:line="480" w:lineRule="auto"/>
        <w:ind w:left="0" w:leftChars="0" w:right="0" w:rightChars="0" w:firstLine="0" w:firstLineChars="0"/>
        <w:jc w:val="center"/>
        <w:outlineLvl w:val="1"/>
        <w:rPr>
          <w:rFonts w:ascii="宋体" w:eastAsia="宋体" w:cs="宋体"/>
          <w:b/>
          <w:bCs/>
          <w:color w:val="auto"/>
          <w:sz w:val="28"/>
          <w:szCs w:val="28"/>
          <w:lang w:eastAsia="zh-CN"/>
        </w:rPr>
      </w:pPr>
      <w:r>
        <w:rPr>
          <w:rFonts w:hint="eastAsia" w:ascii="宋体" w:eastAsia="宋体" w:cs="宋体"/>
          <w:b/>
          <w:bCs/>
          <w:color w:val="auto"/>
          <w:sz w:val="28"/>
          <w:szCs w:val="28"/>
          <w:lang w:eastAsia="zh-CN"/>
        </w:rPr>
        <w:t>十六、主要商务要求承诺书</w:t>
      </w:r>
    </w:p>
    <w:p>
      <w:pPr>
        <w:kinsoku/>
        <w:wordWrap w:val="0"/>
        <w:spacing w:line="48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我公司承诺可以完全满足</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(项目名称），项目编号：</w:t>
      </w:r>
      <w:r>
        <w:rPr>
          <w:rFonts w:hint="eastAsia" w:ascii="宋体" w:eastAsia="宋体" w:cs="宋体"/>
          <w:color w:val="auto"/>
          <w:sz w:val="24"/>
          <w:szCs w:val="24"/>
          <w:u w:val="single"/>
          <w:lang w:eastAsia="zh-CN"/>
        </w:rPr>
        <w:t xml:space="preserve">                </w:t>
      </w:r>
      <w:r>
        <w:rPr>
          <w:rFonts w:hint="eastAsia" w:ascii="宋体" w:eastAsia="宋体" w:cs="宋体"/>
          <w:color w:val="auto"/>
          <w:sz w:val="24"/>
          <w:szCs w:val="24"/>
          <w:lang w:eastAsia="zh-CN"/>
        </w:rPr>
        <w:t>磋商文件的所有主要商务条款要求，包括服务期限、服务地点、付款方式、验收要求、履约保证金等。若有不符合或未按承诺履行的，承担相应法律后果。</w:t>
      </w:r>
    </w:p>
    <w:p>
      <w:pPr>
        <w:kinsoku/>
        <w:spacing w:line="48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如有优于磋商文件主要商务要求的请在此承诺书中说明。</w:t>
      </w:r>
    </w:p>
    <w:p>
      <w:pPr>
        <w:kinsoku/>
        <w:spacing w:line="48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具体优于内容（如服务期限、地点，质保期等）。</w:t>
      </w:r>
    </w:p>
    <w:p>
      <w:pPr>
        <w:kinsoku/>
        <w:spacing w:line="48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特此承诺</w:t>
      </w:r>
    </w:p>
    <w:p>
      <w:pPr>
        <w:kinsoku/>
        <w:spacing w:line="360" w:lineRule="auto"/>
        <w:ind w:firstLine="4320" w:firstLineChars="1800"/>
        <w:rPr>
          <w:rFonts w:ascii="宋体" w:eastAsia="宋体" w:cs="宋体"/>
          <w:color w:val="auto"/>
          <w:sz w:val="24"/>
          <w:szCs w:val="24"/>
          <w:lang w:eastAsia="zh-CN"/>
        </w:rPr>
      </w:pPr>
      <w:r>
        <w:rPr>
          <w:rFonts w:hint="eastAsia" w:ascii="宋体" w:eastAsia="宋体" w:cs="宋体"/>
          <w:color w:val="auto"/>
          <w:sz w:val="24"/>
          <w:szCs w:val="24"/>
          <w:lang w:eastAsia="zh-CN"/>
        </w:rPr>
        <w:t>供应商名称（盖章）：</w:t>
      </w:r>
    </w:p>
    <w:p>
      <w:pPr>
        <w:kinsoku/>
        <w:spacing w:line="360" w:lineRule="auto"/>
        <w:ind w:firstLine="480" w:firstLineChars="200"/>
        <w:jc w:val="right"/>
        <w:rPr>
          <w:rFonts w:ascii="宋体" w:eastAsia="宋体" w:cs="宋体"/>
          <w:color w:val="auto"/>
          <w:sz w:val="24"/>
          <w:szCs w:val="24"/>
          <w:lang w:eastAsia="zh-CN"/>
        </w:rPr>
      </w:pPr>
      <w:r>
        <w:rPr>
          <w:rFonts w:hint="eastAsia" w:ascii="宋体" w:eastAsia="宋体" w:cs="宋体"/>
          <w:color w:val="auto"/>
          <w:sz w:val="24"/>
          <w:szCs w:val="24"/>
          <w:lang w:eastAsia="zh-CN"/>
        </w:rPr>
        <w:t>年   月   日</w:t>
      </w:r>
    </w:p>
    <w:p>
      <w:pPr>
        <w:kinsoku/>
        <w:spacing w:line="360" w:lineRule="auto"/>
        <w:ind w:firstLine="480" w:firstLineChars="200"/>
        <w:rPr>
          <w:rFonts w:ascii="宋体" w:eastAsia="宋体" w:cs="宋体"/>
          <w:color w:val="auto"/>
          <w:sz w:val="24"/>
          <w:szCs w:val="24"/>
          <w:lang w:eastAsia="zh-CN"/>
        </w:rPr>
        <w:sectPr>
          <w:footerReference r:id="rId25"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十七、技术偏离表</w:t>
      </w:r>
    </w:p>
    <w:tbl>
      <w:tblPr>
        <w:tblStyle w:val="18"/>
        <w:tblW w:w="94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307"/>
        <w:gridCol w:w="1044"/>
        <w:gridCol w:w="1239"/>
        <w:gridCol w:w="2611"/>
        <w:gridCol w:w="1467"/>
        <w:gridCol w:w="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815" w:type="dxa"/>
            <w:shd w:val="clear" w:color="auto" w:fill="auto"/>
            <w:vAlign w:val="center"/>
          </w:tcPr>
          <w:p>
            <w:pPr>
              <w:jc w:val="center"/>
              <w:rPr>
                <w:color w:val="auto"/>
              </w:rPr>
            </w:pPr>
            <w:r>
              <w:rPr>
                <w:rFonts w:hint="eastAsia"/>
                <w:color w:val="auto"/>
              </w:rPr>
              <w:t>序号</w:t>
            </w:r>
          </w:p>
        </w:tc>
        <w:tc>
          <w:tcPr>
            <w:tcW w:w="1307" w:type="dxa"/>
            <w:shd w:val="clear" w:color="auto" w:fill="auto"/>
            <w:vAlign w:val="center"/>
          </w:tcPr>
          <w:p>
            <w:pPr>
              <w:jc w:val="center"/>
              <w:rPr>
                <w:color w:val="auto"/>
              </w:rPr>
            </w:pPr>
            <w:r>
              <w:rPr>
                <w:rFonts w:hint="eastAsia"/>
                <w:color w:val="auto"/>
              </w:rPr>
              <w:t>标的名称</w:t>
            </w:r>
          </w:p>
        </w:tc>
        <w:tc>
          <w:tcPr>
            <w:tcW w:w="2283" w:type="dxa"/>
            <w:gridSpan w:val="2"/>
            <w:shd w:val="clear" w:color="auto" w:fill="auto"/>
            <w:vAlign w:val="center"/>
          </w:tcPr>
          <w:p>
            <w:pPr>
              <w:jc w:val="center"/>
              <w:rPr>
                <w:color w:val="auto"/>
              </w:rPr>
            </w:pPr>
            <w:r>
              <w:rPr>
                <w:rFonts w:hint="eastAsia"/>
                <w:color w:val="auto"/>
              </w:rPr>
              <w:t>技术要求</w:t>
            </w:r>
          </w:p>
        </w:tc>
        <w:tc>
          <w:tcPr>
            <w:tcW w:w="2611" w:type="dxa"/>
            <w:shd w:val="clear" w:color="auto" w:fill="auto"/>
            <w:vAlign w:val="center"/>
          </w:tcPr>
          <w:p>
            <w:pPr>
              <w:jc w:val="center"/>
              <w:rPr>
                <w:color w:val="auto"/>
              </w:rPr>
            </w:pPr>
            <w:r>
              <w:rPr>
                <w:rFonts w:hint="eastAsia"/>
                <w:color w:val="auto"/>
              </w:rPr>
              <w:t>响应内容</w:t>
            </w:r>
          </w:p>
        </w:tc>
        <w:tc>
          <w:tcPr>
            <w:tcW w:w="1467" w:type="dxa"/>
            <w:shd w:val="clear" w:color="auto" w:fill="auto"/>
            <w:vAlign w:val="center"/>
          </w:tcPr>
          <w:p>
            <w:pPr>
              <w:jc w:val="center"/>
              <w:rPr>
                <w:color w:val="auto"/>
              </w:rPr>
            </w:pPr>
            <w:r>
              <w:rPr>
                <w:rFonts w:hint="eastAsia"/>
                <w:color w:val="auto"/>
              </w:rPr>
              <w:t>偏离程度</w:t>
            </w:r>
          </w:p>
        </w:tc>
        <w:tc>
          <w:tcPr>
            <w:tcW w:w="934" w:type="dxa"/>
            <w:shd w:val="clear" w:color="auto" w:fill="auto"/>
            <w:vAlign w:val="center"/>
          </w:tcPr>
          <w:p>
            <w:pPr>
              <w:jc w:val="center"/>
              <w:rPr>
                <w:color w:val="auto"/>
              </w:rPr>
            </w:pPr>
            <w:r>
              <w:rPr>
                <w:rFonts w:hint="eastAsia"/>
                <w:color w:val="auto"/>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815" w:type="dxa"/>
            <w:vMerge w:val="restart"/>
            <w:tcBorders>
              <w:bottom w:val="nil"/>
            </w:tcBorders>
            <w:shd w:val="clear" w:color="auto" w:fill="auto"/>
            <w:vAlign w:val="center"/>
          </w:tcPr>
          <w:p>
            <w:pPr>
              <w:jc w:val="center"/>
              <w:rPr>
                <w:color w:val="auto"/>
              </w:rPr>
            </w:pPr>
            <w:r>
              <w:rPr>
                <w:rFonts w:hint="eastAsia"/>
                <w:color w:val="auto"/>
              </w:rPr>
              <w:t>1</w:t>
            </w:r>
          </w:p>
        </w:tc>
        <w:tc>
          <w:tcPr>
            <w:tcW w:w="1307" w:type="dxa"/>
            <w:vMerge w:val="restart"/>
            <w:tcBorders>
              <w:bottom w:val="nil"/>
            </w:tcBorders>
            <w:shd w:val="clear" w:color="auto" w:fill="auto"/>
            <w:vAlign w:val="center"/>
          </w:tcPr>
          <w:p>
            <w:pPr>
              <w:jc w:val="center"/>
              <w:rPr>
                <w:color w:val="auto"/>
              </w:rPr>
            </w:pPr>
          </w:p>
        </w:tc>
        <w:tc>
          <w:tcPr>
            <w:tcW w:w="1044" w:type="dxa"/>
            <w:shd w:val="clear" w:color="auto" w:fill="auto"/>
            <w:vAlign w:val="center"/>
          </w:tcPr>
          <w:p>
            <w:pPr>
              <w:jc w:val="center"/>
              <w:rPr>
                <w:color w:val="auto"/>
              </w:rPr>
            </w:pPr>
            <w:r>
              <w:rPr>
                <w:rFonts w:hint="eastAsia"/>
                <w:color w:val="auto"/>
              </w:rPr>
              <w:t>★</w:t>
            </w:r>
          </w:p>
        </w:tc>
        <w:tc>
          <w:tcPr>
            <w:tcW w:w="1239" w:type="dxa"/>
            <w:shd w:val="clear" w:color="auto" w:fill="auto"/>
            <w:vAlign w:val="center"/>
          </w:tcPr>
          <w:p>
            <w:pPr>
              <w:jc w:val="center"/>
              <w:rPr>
                <w:color w:val="auto"/>
              </w:rPr>
            </w:pPr>
            <w:r>
              <w:rPr>
                <w:rFonts w:hint="eastAsia"/>
                <w:color w:val="auto"/>
              </w:rPr>
              <w:t>1.1…</w:t>
            </w:r>
          </w:p>
        </w:tc>
        <w:tc>
          <w:tcPr>
            <w:tcW w:w="2611" w:type="dxa"/>
            <w:shd w:val="clear" w:color="auto" w:fill="auto"/>
            <w:vAlign w:val="center"/>
          </w:tcPr>
          <w:p>
            <w:pPr>
              <w:jc w:val="center"/>
              <w:rPr>
                <w:color w:val="auto"/>
              </w:rPr>
            </w:pPr>
          </w:p>
        </w:tc>
        <w:tc>
          <w:tcPr>
            <w:tcW w:w="1467" w:type="dxa"/>
            <w:shd w:val="clear" w:color="auto" w:fill="auto"/>
            <w:vAlign w:val="center"/>
          </w:tcPr>
          <w:p>
            <w:pPr>
              <w:jc w:val="center"/>
              <w:rPr>
                <w:color w:val="auto"/>
              </w:rPr>
            </w:pPr>
          </w:p>
        </w:tc>
        <w:tc>
          <w:tcPr>
            <w:tcW w:w="934" w:type="dxa"/>
            <w:shd w:val="clear" w:color="auto" w:fill="auto"/>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continue"/>
            <w:tcBorders>
              <w:top w:val="nil"/>
              <w:bottom w:val="nil"/>
            </w:tcBorders>
            <w:shd w:val="clear" w:color="auto" w:fill="auto"/>
            <w:vAlign w:val="center"/>
          </w:tcPr>
          <w:p>
            <w:pPr>
              <w:rPr>
                <w:color w:val="auto"/>
              </w:rPr>
            </w:pPr>
          </w:p>
        </w:tc>
        <w:tc>
          <w:tcPr>
            <w:tcW w:w="1307" w:type="dxa"/>
            <w:vMerge w:val="continue"/>
            <w:tcBorders>
              <w:top w:val="nil"/>
              <w:bottom w:val="nil"/>
            </w:tcBorders>
            <w:shd w:val="clear" w:color="auto" w:fill="auto"/>
            <w:vAlign w:val="center"/>
          </w:tcPr>
          <w:p>
            <w:pPr>
              <w:rPr>
                <w:color w:val="auto"/>
              </w:rPr>
            </w:pPr>
          </w:p>
        </w:tc>
        <w:tc>
          <w:tcPr>
            <w:tcW w:w="1044" w:type="dxa"/>
            <w:shd w:val="clear" w:color="auto" w:fill="auto"/>
            <w:vAlign w:val="center"/>
          </w:tcPr>
          <w:p>
            <w:pPr>
              <w:jc w:val="center"/>
              <w:rPr>
                <w:color w:val="auto"/>
              </w:rPr>
            </w:pPr>
          </w:p>
        </w:tc>
        <w:tc>
          <w:tcPr>
            <w:tcW w:w="1239" w:type="dxa"/>
            <w:shd w:val="clear" w:color="auto" w:fill="auto"/>
            <w:vAlign w:val="center"/>
          </w:tcPr>
          <w:p>
            <w:pPr>
              <w:jc w:val="center"/>
              <w:rPr>
                <w:color w:val="auto"/>
              </w:rPr>
            </w:pPr>
            <w:r>
              <w:rPr>
                <w:rFonts w:hint="eastAsia"/>
                <w:color w:val="auto"/>
              </w:rPr>
              <w:t>1.2…</w:t>
            </w:r>
          </w:p>
        </w:tc>
        <w:tc>
          <w:tcPr>
            <w:tcW w:w="2611" w:type="dxa"/>
            <w:shd w:val="clear" w:color="auto" w:fill="auto"/>
            <w:vAlign w:val="center"/>
          </w:tcPr>
          <w:p>
            <w:pPr>
              <w:jc w:val="center"/>
              <w:rPr>
                <w:color w:val="auto"/>
              </w:rPr>
            </w:pPr>
          </w:p>
        </w:tc>
        <w:tc>
          <w:tcPr>
            <w:tcW w:w="1467" w:type="dxa"/>
            <w:shd w:val="clear" w:color="auto" w:fill="auto"/>
            <w:vAlign w:val="center"/>
          </w:tcPr>
          <w:p>
            <w:pPr>
              <w:jc w:val="center"/>
              <w:rPr>
                <w:color w:val="auto"/>
              </w:rPr>
            </w:pPr>
          </w:p>
        </w:tc>
        <w:tc>
          <w:tcPr>
            <w:tcW w:w="934" w:type="dxa"/>
            <w:shd w:val="clear" w:color="auto" w:fill="auto"/>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continue"/>
            <w:tcBorders>
              <w:top w:val="nil"/>
            </w:tcBorders>
            <w:shd w:val="clear" w:color="auto" w:fill="auto"/>
            <w:vAlign w:val="center"/>
          </w:tcPr>
          <w:p>
            <w:pPr>
              <w:rPr>
                <w:color w:val="auto"/>
              </w:rPr>
            </w:pPr>
          </w:p>
        </w:tc>
        <w:tc>
          <w:tcPr>
            <w:tcW w:w="1307" w:type="dxa"/>
            <w:vMerge w:val="continue"/>
            <w:tcBorders>
              <w:top w:val="nil"/>
            </w:tcBorders>
            <w:shd w:val="clear" w:color="auto" w:fill="auto"/>
            <w:vAlign w:val="center"/>
          </w:tcPr>
          <w:p>
            <w:pPr>
              <w:rPr>
                <w:color w:val="auto"/>
              </w:rPr>
            </w:pPr>
          </w:p>
        </w:tc>
        <w:tc>
          <w:tcPr>
            <w:tcW w:w="1044" w:type="dxa"/>
            <w:shd w:val="clear" w:color="auto" w:fill="auto"/>
            <w:vAlign w:val="center"/>
          </w:tcPr>
          <w:p>
            <w:pPr>
              <w:jc w:val="center"/>
              <w:rPr>
                <w:color w:val="auto"/>
              </w:rPr>
            </w:pPr>
          </w:p>
        </w:tc>
        <w:tc>
          <w:tcPr>
            <w:tcW w:w="1239" w:type="dxa"/>
            <w:shd w:val="clear" w:color="auto" w:fill="auto"/>
            <w:vAlign w:val="center"/>
          </w:tcPr>
          <w:p>
            <w:pPr>
              <w:jc w:val="center"/>
              <w:rPr>
                <w:color w:val="auto"/>
              </w:rPr>
            </w:pPr>
            <w:r>
              <w:rPr>
                <w:rFonts w:hint="eastAsia"/>
                <w:color w:val="auto"/>
              </w:rPr>
              <w:t>…</w:t>
            </w:r>
          </w:p>
        </w:tc>
        <w:tc>
          <w:tcPr>
            <w:tcW w:w="2611" w:type="dxa"/>
            <w:shd w:val="clear" w:color="auto" w:fill="auto"/>
            <w:vAlign w:val="center"/>
          </w:tcPr>
          <w:p>
            <w:pPr>
              <w:jc w:val="center"/>
              <w:rPr>
                <w:color w:val="auto"/>
              </w:rPr>
            </w:pPr>
          </w:p>
        </w:tc>
        <w:tc>
          <w:tcPr>
            <w:tcW w:w="1467" w:type="dxa"/>
            <w:shd w:val="clear" w:color="auto" w:fill="auto"/>
            <w:vAlign w:val="center"/>
          </w:tcPr>
          <w:p>
            <w:pPr>
              <w:jc w:val="center"/>
              <w:rPr>
                <w:color w:val="auto"/>
              </w:rPr>
            </w:pPr>
          </w:p>
        </w:tc>
        <w:tc>
          <w:tcPr>
            <w:tcW w:w="934" w:type="dxa"/>
            <w:shd w:val="clear" w:color="auto" w:fill="auto"/>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restart"/>
            <w:tcBorders>
              <w:bottom w:val="nil"/>
            </w:tcBorders>
            <w:shd w:val="clear" w:color="auto" w:fill="auto"/>
            <w:vAlign w:val="center"/>
          </w:tcPr>
          <w:p>
            <w:pPr>
              <w:jc w:val="center"/>
              <w:rPr>
                <w:color w:val="auto"/>
              </w:rPr>
            </w:pPr>
            <w:r>
              <w:rPr>
                <w:rFonts w:hint="eastAsia"/>
                <w:color w:val="auto"/>
              </w:rPr>
              <w:t>2</w:t>
            </w:r>
          </w:p>
        </w:tc>
        <w:tc>
          <w:tcPr>
            <w:tcW w:w="1307" w:type="dxa"/>
            <w:vMerge w:val="restart"/>
            <w:tcBorders>
              <w:bottom w:val="nil"/>
            </w:tcBorders>
            <w:shd w:val="clear" w:color="auto" w:fill="auto"/>
            <w:vAlign w:val="center"/>
          </w:tcPr>
          <w:p>
            <w:pPr>
              <w:jc w:val="center"/>
              <w:rPr>
                <w:color w:val="auto"/>
              </w:rPr>
            </w:pPr>
          </w:p>
        </w:tc>
        <w:tc>
          <w:tcPr>
            <w:tcW w:w="1044" w:type="dxa"/>
            <w:shd w:val="clear" w:color="auto" w:fill="auto"/>
            <w:vAlign w:val="center"/>
          </w:tcPr>
          <w:p>
            <w:pPr>
              <w:jc w:val="center"/>
              <w:rPr>
                <w:color w:val="auto"/>
              </w:rPr>
            </w:pPr>
            <w:r>
              <w:rPr>
                <w:rFonts w:hint="eastAsia"/>
                <w:color w:val="auto"/>
              </w:rPr>
              <w:t>★</w:t>
            </w:r>
          </w:p>
        </w:tc>
        <w:tc>
          <w:tcPr>
            <w:tcW w:w="1239" w:type="dxa"/>
            <w:shd w:val="clear" w:color="auto" w:fill="auto"/>
            <w:vAlign w:val="center"/>
          </w:tcPr>
          <w:p>
            <w:pPr>
              <w:jc w:val="center"/>
              <w:rPr>
                <w:color w:val="auto"/>
              </w:rPr>
            </w:pPr>
            <w:r>
              <w:rPr>
                <w:rFonts w:hint="eastAsia"/>
                <w:color w:val="auto"/>
              </w:rPr>
              <w:t>2.1…</w:t>
            </w:r>
          </w:p>
        </w:tc>
        <w:tc>
          <w:tcPr>
            <w:tcW w:w="2611" w:type="dxa"/>
            <w:shd w:val="clear" w:color="auto" w:fill="auto"/>
            <w:vAlign w:val="center"/>
          </w:tcPr>
          <w:p>
            <w:pPr>
              <w:jc w:val="center"/>
              <w:rPr>
                <w:color w:val="auto"/>
              </w:rPr>
            </w:pPr>
          </w:p>
        </w:tc>
        <w:tc>
          <w:tcPr>
            <w:tcW w:w="1467" w:type="dxa"/>
            <w:shd w:val="clear" w:color="auto" w:fill="auto"/>
            <w:vAlign w:val="center"/>
          </w:tcPr>
          <w:p>
            <w:pPr>
              <w:jc w:val="center"/>
              <w:rPr>
                <w:color w:val="auto"/>
              </w:rPr>
            </w:pPr>
          </w:p>
        </w:tc>
        <w:tc>
          <w:tcPr>
            <w:tcW w:w="934" w:type="dxa"/>
            <w:shd w:val="clear" w:color="auto" w:fill="auto"/>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continue"/>
            <w:tcBorders>
              <w:top w:val="nil"/>
              <w:bottom w:val="nil"/>
            </w:tcBorders>
            <w:shd w:val="clear" w:color="auto" w:fill="auto"/>
            <w:vAlign w:val="center"/>
          </w:tcPr>
          <w:p>
            <w:pPr>
              <w:rPr>
                <w:color w:val="auto"/>
              </w:rPr>
            </w:pPr>
          </w:p>
        </w:tc>
        <w:tc>
          <w:tcPr>
            <w:tcW w:w="1307" w:type="dxa"/>
            <w:vMerge w:val="continue"/>
            <w:tcBorders>
              <w:top w:val="nil"/>
              <w:bottom w:val="nil"/>
            </w:tcBorders>
            <w:shd w:val="clear" w:color="auto" w:fill="auto"/>
            <w:vAlign w:val="center"/>
          </w:tcPr>
          <w:p>
            <w:pPr>
              <w:rPr>
                <w:color w:val="auto"/>
              </w:rPr>
            </w:pPr>
          </w:p>
        </w:tc>
        <w:tc>
          <w:tcPr>
            <w:tcW w:w="1044" w:type="dxa"/>
            <w:shd w:val="clear" w:color="auto" w:fill="auto"/>
            <w:vAlign w:val="center"/>
          </w:tcPr>
          <w:p>
            <w:pPr>
              <w:jc w:val="center"/>
              <w:rPr>
                <w:color w:val="auto"/>
              </w:rPr>
            </w:pPr>
          </w:p>
        </w:tc>
        <w:tc>
          <w:tcPr>
            <w:tcW w:w="1239" w:type="dxa"/>
            <w:shd w:val="clear" w:color="auto" w:fill="auto"/>
            <w:vAlign w:val="center"/>
          </w:tcPr>
          <w:p>
            <w:pPr>
              <w:jc w:val="center"/>
              <w:rPr>
                <w:color w:val="auto"/>
              </w:rPr>
            </w:pPr>
            <w:r>
              <w:rPr>
                <w:rFonts w:hint="eastAsia"/>
                <w:color w:val="auto"/>
              </w:rPr>
              <w:t>2.2…</w:t>
            </w:r>
          </w:p>
        </w:tc>
        <w:tc>
          <w:tcPr>
            <w:tcW w:w="2611" w:type="dxa"/>
            <w:shd w:val="clear" w:color="auto" w:fill="auto"/>
            <w:vAlign w:val="center"/>
          </w:tcPr>
          <w:p>
            <w:pPr>
              <w:jc w:val="center"/>
              <w:rPr>
                <w:color w:val="auto"/>
              </w:rPr>
            </w:pPr>
          </w:p>
        </w:tc>
        <w:tc>
          <w:tcPr>
            <w:tcW w:w="1467" w:type="dxa"/>
            <w:shd w:val="clear" w:color="auto" w:fill="auto"/>
            <w:vAlign w:val="center"/>
          </w:tcPr>
          <w:p>
            <w:pPr>
              <w:jc w:val="center"/>
              <w:rPr>
                <w:color w:val="auto"/>
              </w:rPr>
            </w:pPr>
          </w:p>
        </w:tc>
        <w:tc>
          <w:tcPr>
            <w:tcW w:w="934" w:type="dxa"/>
            <w:shd w:val="clear" w:color="auto" w:fill="auto"/>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815" w:type="dxa"/>
            <w:vMerge w:val="continue"/>
            <w:tcBorders>
              <w:top w:val="nil"/>
            </w:tcBorders>
            <w:shd w:val="clear" w:color="auto" w:fill="auto"/>
            <w:vAlign w:val="center"/>
          </w:tcPr>
          <w:p>
            <w:pPr>
              <w:rPr>
                <w:color w:val="auto"/>
              </w:rPr>
            </w:pPr>
          </w:p>
        </w:tc>
        <w:tc>
          <w:tcPr>
            <w:tcW w:w="1307" w:type="dxa"/>
            <w:vMerge w:val="continue"/>
            <w:tcBorders>
              <w:top w:val="nil"/>
            </w:tcBorders>
            <w:shd w:val="clear" w:color="auto" w:fill="auto"/>
            <w:vAlign w:val="center"/>
          </w:tcPr>
          <w:p>
            <w:pPr>
              <w:rPr>
                <w:color w:val="auto"/>
              </w:rPr>
            </w:pPr>
          </w:p>
        </w:tc>
        <w:tc>
          <w:tcPr>
            <w:tcW w:w="1044" w:type="dxa"/>
            <w:shd w:val="clear" w:color="auto" w:fill="auto"/>
            <w:vAlign w:val="center"/>
          </w:tcPr>
          <w:p>
            <w:pPr>
              <w:jc w:val="center"/>
              <w:rPr>
                <w:color w:val="auto"/>
              </w:rPr>
            </w:pPr>
          </w:p>
        </w:tc>
        <w:tc>
          <w:tcPr>
            <w:tcW w:w="1239" w:type="dxa"/>
            <w:shd w:val="clear" w:color="auto" w:fill="auto"/>
            <w:vAlign w:val="center"/>
          </w:tcPr>
          <w:p>
            <w:pPr>
              <w:jc w:val="center"/>
              <w:rPr>
                <w:color w:val="auto"/>
              </w:rPr>
            </w:pPr>
            <w:r>
              <w:rPr>
                <w:rFonts w:hint="eastAsia"/>
                <w:color w:val="auto"/>
              </w:rPr>
              <w:t>…</w:t>
            </w:r>
          </w:p>
        </w:tc>
        <w:tc>
          <w:tcPr>
            <w:tcW w:w="2611" w:type="dxa"/>
            <w:shd w:val="clear" w:color="auto" w:fill="auto"/>
            <w:vAlign w:val="center"/>
          </w:tcPr>
          <w:p>
            <w:pPr>
              <w:jc w:val="center"/>
              <w:rPr>
                <w:color w:val="auto"/>
              </w:rPr>
            </w:pPr>
          </w:p>
        </w:tc>
        <w:tc>
          <w:tcPr>
            <w:tcW w:w="1467" w:type="dxa"/>
            <w:shd w:val="clear" w:color="auto" w:fill="auto"/>
            <w:vAlign w:val="center"/>
          </w:tcPr>
          <w:p>
            <w:pPr>
              <w:jc w:val="center"/>
              <w:rPr>
                <w:color w:val="auto"/>
              </w:rPr>
            </w:pPr>
          </w:p>
        </w:tc>
        <w:tc>
          <w:tcPr>
            <w:tcW w:w="934" w:type="dxa"/>
            <w:shd w:val="clear" w:color="auto" w:fill="auto"/>
            <w:vAlign w:val="center"/>
          </w:tcPr>
          <w:p>
            <w:pPr>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815" w:type="dxa"/>
            <w:shd w:val="clear" w:color="auto" w:fill="auto"/>
            <w:vAlign w:val="center"/>
          </w:tcPr>
          <w:p>
            <w:pPr>
              <w:jc w:val="center"/>
              <w:rPr>
                <w:color w:val="auto"/>
              </w:rPr>
            </w:pPr>
          </w:p>
        </w:tc>
        <w:tc>
          <w:tcPr>
            <w:tcW w:w="1307" w:type="dxa"/>
            <w:shd w:val="clear" w:color="auto" w:fill="auto"/>
            <w:vAlign w:val="center"/>
          </w:tcPr>
          <w:p>
            <w:pPr>
              <w:jc w:val="center"/>
              <w:rPr>
                <w:color w:val="auto"/>
              </w:rPr>
            </w:pPr>
          </w:p>
        </w:tc>
        <w:tc>
          <w:tcPr>
            <w:tcW w:w="1044" w:type="dxa"/>
            <w:shd w:val="clear" w:color="auto" w:fill="auto"/>
            <w:vAlign w:val="center"/>
          </w:tcPr>
          <w:p>
            <w:pPr>
              <w:jc w:val="center"/>
              <w:rPr>
                <w:color w:val="auto"/>
              </w:rPr>
            </w:pPr>
          </w:p>
        </w:tc>
        <w:tc>
          <w:tcPr>
            <w:tcW w:w="1239" w:type="dxa"/>
            <w:shd w:val="clear" w:color="auto" w:fill="auto"/>
            <w:vAlign w:val="center"/>
          </w:tcPr>
          <w:p>
            <w:pPr>
              <w:jc w:val="center"/>
              <w:rPr>
                <w:color w:val="auto"/>
              </w:rPr>
            </w:pPr>
          </w:p>
        </w:tc>
        <w:tc>
          <w:tcPr>
            <w:tcW w:w="2611" w:type="dxa"/>
            <w:shd w:val="clear" w:color="auto" w:fill="auto"/>
            <w:vAlign w:val="center"/>
          </w:tcPr>
          <w:p>
            <w:pPr>
              <w:jc w:val="center"/>
              <w:rPr>
                <w:color w:val="auto"/>
              </w:rPr>
            </w:pPr>
          </w:p>
        </w:tc>
        <w:tc>
          <w:tcPr>
            <w:tcW w:w="1467" w:type="dxa"/>
            <w:shd w:val="clear" w:color="auto" w:fill="auto"/>
            <w:vAlign w:val="center"/>
          </w:tcPr>
          <w:p>
            <w:pPr>
              <w:jc w:val="center"/>
              <w:rPr>
                <w:color w:val="auto"/>
              </w:rPr>
            </w:pPr>
          </w:p>
        </w:tc>
        <w:tc>
          <w:tcPr>
            <w:tcW w:w="934" w:type="dxa"/>
            <w:shd w:val="clear" w:color="auto" w:fill="auto"/>
            <w:vAlign w:val="center"/>
          </w:tcPr>
          <w:p>
            <w:pPr>
              <w:jc w:val="center"/>
              <w:rPr>
                <w:color w:val="auto"/>
              </w:rPr>
            </w:pPr>
          </w:p>
        </w:tc>
      </w:tr>
    </w:tbl>
    <w:p>
      <w:pPr>
        <w:kinsoku/>
        <w:spacing w:before="240" w:beforeLines="100" w:line="360" w:lineRule="auto"/>
        <w:ind w:firstLine="480" w:firstLineChars="200"/>
        <w:rPr>
          <w:rFonts w:ascii="宋体" w:eastAsia="宋体" w:cs="宋体"/>
          <w:color w:val="auto"/>
          <w:sz w:val="24"/>
          <w:szCs w:val="24"/>
        </w:rPr>
      </w:pPr>
      <w:r>
        <w:rPr>
          <w:rFonts w:hint="eastAsia" w:ascii="宋体" w:eastAsia="宋体" w:cs="宋体"/>
          <w:color w:val="auto"/>
          <w:sz w:val="24"/>
          <w:szCs w:val="24"/>
        </w:rPr>
        <w:t>说明：</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1.“技术要求”栏应详细列明磋商文件中的技术要求。</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2.“响应内容”栏填写供应商对磋商文件提出的技术要求作出的明确响应，并列明具体响应数值或内容，只注明符合、满足等无具体内容表述的，将视为未实质性满足磋商文件要求。</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3.“偏离程度”栏填写满足、响应或正偏离、负偏离。</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4.“备注”栏填写偏离情况的具体说明。</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5.本表填写内容与分项报价明细表不一致的，以分项报价明细表内容为准。</w:t>
      </w:r>
    </w:p>
    <w:p>
      <w:pPr>
        <w:kinsoku/>
        <w:spacing w:line="360" w:lineRule="auto"/>
        <w:ind w:firstLine="480" w:firstLineChars="200"/>
        <w:rPr>
          <w:rFonts w:ascii="宋体" w:eastAsia="宋体" w:cs="宋体"/>
          <w:color w:val="auto"/>
          <w:sz w:val="24"/>
          <w:szCs w:val="24"/>
          <w:lang w:eastAsia="zh-CN"/>
        </w:rPr>
        <w:sectPr>
          <w:footerReference r:id="rId26"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（以下格式文件由供应商根据需要选用）</w:t>
      </w:r>
    </w:p>
    <w:p>
      <w:pPr>
        <w:kinsoku/>
        <w:spacing w:line="360" w:lineRule="auto"/>
        <w:ind w:left="0" w:leftChars="0" w:right="0" w:rightChars="0" w:firstLine="0" w:firstLineChars="0"/>
        <w:jc w:val="center"/>
        <w:outlineLvl w:val="1"/>
        <w:rPr>
          <w:rFonts w:ascii="宋体" w:eastAsia="宋体" w:cs="宋体"/>
          <w:b/>
          <w:bCs/>
          <w:color w:val="auto"/>
          <w:sz w:val="28"/>
          <w:szCs w:val="28"/>
          <w:lang w:eastAsia="zh-CN"/>
        </w:rPr>
      </w:pPr>
      <w:r>
        <w:rPr>
          <w:rFonts w:hint="eastAsia" w:ascii="宋体" w:eastAsia="宋体" w:cs="宋体"/>
          <w:b/>
          <w:bCs/>
          <w:color w:val="auto"/>
          <w:sz w:val="28"/>
          <w:szCs w:val="28"/>
          <w:lang w:eastAsia="zh-CN"/>
        </w:rPr>
        <w:t>十八、项目组成人员一览表</w:t>
      </w:r>
    </w:p>
    <w:tbl>
      <w:tblPr>
        <w:tblStyle w:val="18"/>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1066"/>
        <w:gridCol w:w="2233"/>
        <w:gridCol w:w="765"/>
        <w:gridCol w:w="2061"/>
        <w:gridCol w:w="1256"/>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1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序号</w:t>
            </w:r>
          </w:p>
        </w:tc>
        <w:tc>
          <w:tcPr>
            <w:tcW w:w="1066"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姓名</w:t>
            </w:r>
          </w:p>
        </w:tc>
        <w:tc>
          <w:tcPr>
            <w:tcW w:w="2233"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本项目拟任职务</w:t>
            </w:r>
          </w:p>
        </w:tc>
        <w:tc>
          <w:tcPr>
            <w:tcW w:w="765"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学历</w:t>
            </w:r>
          </w:p>
        </w:tc>
        <w:tc>
          <w:tcPr>
            <w:tcW w:w="2061"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职称或执业资格</w:t>
            </w:r>
          </w:p>
        </w:tc>
        <w:tc>
          <w:tcPr>
            <w:tcW w:w="1256"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身份证号</w:t>
            </w:r>
          </w:p>
        </w:tc>
        <w:tc>
          <w:tcPr>
            <w:tcW w:w="125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1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1</w:t>
            </w:r>
          </w:p>
        </w:tc>
        <w:tc>
          <w:tcPr>
            <w:tcW w:w="1066" w:type="dxa"/>
            <w:shd w:val="clear" w:color="auto" w:fill="auto"/>
            <w:vAlign w:val="center"/>
          </w:tcPr>
          <w:p>
            <w:pPr>
              <w:jc w:val="center"/>
              <w:rPr>
                <w:rFonts w:ascii="宋体" w:eastAsia="宋体" w:cs="宋体"/>
                <w:color w:val="auto"/>
                <w:sz w:val="24"/>
                <w:szCs w:val="24"/>
              </w:rPr>
            </w:pPr>
          </w:p>
        </w:tc>
        <w:tc>
          <w:tcPr>
            <w:tcW w:w="2233" w:type="dxa"/>
            <w:shd w:val="clear" w:color="auto" w:fill="auto"/>
            <w:vAlign w:val="center"/>
          </w:tcPr>
          <w:p>
            <w:pPr>
              <w:jc w:val="center"/>
              <w:rPr>
                <w:rFonts w:ascii="宋体" w:eastAsia="宋体" w:cs="宋体"/>
                <w:color w:val="auto"/>
                <w:sz w:val="24"/>
                <w:szCs w:val="24"/>
              </w:rPr>
            </w:pPr>
          </w:p>
        </w:tc>
        <w:tc>
          <w:tcPr>
            <w:tcW w:w="765" w:type="dxa"/>
            <w:shd w:val="clear" w:color="auto" w:fill="auto"/>
            <w:vAlign w:val="center"/>
          </w:tcPr>
          <w:p>
            <w:pPr>
              <w:jc w:val="center"/>
              <w:rPr>
                <w:rFonts w:ascii="宋体" w:eastAsia="宋体" w:cs="宋体"/>
                <w:color w:val="auto"/>
                <w:sz w:val="24"/>
                <w:szCs w:val="24"/>
              </w:rPr>
            </w:pPr>
          </w:p>
        </w:tc>
        <w:tc>
          <w:tcPr>
            <w:tcW w:w="2061" w:type="dxa"/>
            <w:shd w:val="clear" w:color="auto" w:fill="auto"/>
            <w:vAlign w:val="center"/>
          </w:tcPr>
          <w:p>
            <w:pPr>
              <w:jc w:val="center"/>
              <w:rPr>
                <w:rFonts w:ascii="宋体" w:eastAsia="宋体" w:cs="宋体"/>
                <w:color w:val="auto"/>
                <w:sz w:val="24"/>
                <w:szCs w:val="24"/>
              </w:rPr>
            </w:pPr>
          </w:p>
        </w:tc>
        <w:tc>
          <w:tcPr>
            <w:tcW w:w="1256" w:type="dxa"/>
            <w:shd w:val="clear" w:color="auto" w:fill="auto"/>
            <w:vAlign w:val="center"/>
          </w:tcPr>
          <w:p>
            <w:pPr>
              <w:jc w:val="center"/>
              <w:rPr>
                <w:rFonts w:ascii="宋体" w:eastAsia="宋体" w:cs="宋体"/>
                <w:color w:val="auto"/>
                <w:sz w:val="24"/>
                <w:szCs w:val="24"/>
              </w:rPr>
            </w:pPr>
          </w:p>
        </w:tc>
        <w:tc>
          <w:tcPr>
            <w:tcW w:w="1258" w:type="dxa"/>
            <w:shd w:val="clear" w:color="auto" w:fill="auto"/>
            <w:vAlign w:val="center"/>
          </w:tcPr>
          <w:p>
            <w:pPr>
              <w:jc w:val="center"/>
              <w:rPr>
                <w:rFonts w:asci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1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2</w:t>
            </w:r>
          </w:p>
        </w:tc>
        <w:tc>
          <w:tcPr>
            <w:tcW w:w="1066" w:type="dxa"/>
            <w:shd w:val="clear" w:color="auto" w:fill="auto"/>
            <w:vAlign w:val="center"/>
          </w:tcPr>
          <w:p>
            <w:pPr>
              <w:jc w:val="center"/>
              <w:rPr>
                <w:rFonts w:ascii="宋体" w:eastAsia="宋体" w:cs="宋体"/>
                <w:color w:val="auto"/>
                <w:sz w:val="24"/>
                <w:szCs w:val="24"/>
              </w:rPr>
            </w:pPr>
          </w:p>
        </w:tc>
        <w:tc>
          <w:tcPr>
            <w:tcW w:w="2233" w:type="dxa"/>
            <w:shd w:val="clear" w:color="auto" w:fill="auto"/>
            <w:vAlign w:val="center"/>
          </w:tcPr>
          <w:p>
            <w:pPr>
              <w:jc w:val="center"/>
              <w:rPr>
                <w:rFonts w:ascii="宋体" w:eastAsia="宋体" w:cs="宋体"/>
                <w:color w:val="auto"/>
                <w:sz w:val="24"/>
                <w:szCs w:val="24"/>
              </w:rPr>
            </w:pPr>
          </w:p>
        </w:tc>
        <w:tc>
          <w:tcPr>
            <w:tcW w:w="765" w:type="dxa"/>
            <w:shd w:val="clear" w:color="auto" w:fill="auto"/>
            <w:vAlign w:val="center"/>
          </w:tcPr>
          <w:p>
            <w:pPr>
              <w:jc w:val="center"/>
              <w:rPr>
                <w:rFonts w:ascii="宋体" w:eastAsia="宋体" w:cs="宋体"/>
                <w:color w:val="auto"/>
                <w:sz w:val="24"/>
                <w:szCs w:val="24"/>
              </w:rPr>
            </w:pPr>
          </w:p>
        </w:tc>
        <w:tc>
          <w:tcPr>
            <w:tcW w:w="2061" w:type="dxa"/>
            <w:shd w:val="clear" w:color="auto" w:fill="auto"/>
            <w:vAlign w:val="center"/>
          </w:tcPr>
          <w:p>
            <w:pPr>
              <w:jc w:val="center"/>
              <w:rPr>
                <w:rFonts w:ascii="宋体" w:eastAsia="宋体" w:cs="宋体"/>
                <w:color w:val="auto"/>
                <w:sz w:val="24"/>
                <w:szCs w:val="24"/>
              </w:rPr>
            </w:pPr>
          </w:p>
        </w:tc>
        <w:tc>
          <w:tcPr>
            <w:tcW w:w="1256" w:type="dxa"/>
            <w:shd w:val="clear" w:color="auto" w:fill="auto"/>
            <w:vAlign w:val="center"/>
          </w:tcPr>
          <w:p>
            <w:pPr>
              <w:jc w:val="center"/>
              <w:rPr>
                <w:rFonts w:ascii="宋体" w:eastAsia="宋体" w:cs="宋体"/>
                <w:color w:val="auto"/>
                <w:sz w:val="24"/>
                <w:szCs w:val="24"/>
              </w:rPr>
            </w:pPr>
          </w:p>
        </w:tc>
        <w:tc>
          <w:tcPr>
            <w:tcW w:w="1258" w:type="dxa"/>
            <w:shd w:val="clear" w:color="auto" w:fill="auto"/>
            <w:vAlign w:val="center"/>
          </w:tcPr>
          <w:p>
            <w:pPr>
              <w:jc w:val="center"/>
              <w:rPr>
                <w:rFonts w:asci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1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3</w:t>
            </w:r>
          </w:p>
        </w:tc>
        <w:tc>
          <w:tcPr>
            <w:tcW w:w="1066" w:type="dxa"/>
            <w:shd w:val="clear" w:color="auto" w:fill="auto"/>
            <w:vAlign w:val="center"/>
          </w:tcPr>
          <w:p>
            <w:pPr>
              <w:jc w:val="center"/>
              <w:rPr>
                <w:rFonts w:ascii="宋体" w:eastAsia="宋体" w:cs="宋体"/>
                <w:color w:val="auto"/>
                <w:sz w:val="24"/>
                <w:szCs w:val="24"/>
              </w:rPr>
            </w:pPr>
          </w:p>
        </w:tc>
        <w:tc>
          <w:tcPr>
            <w:tcW w:w="2233" w:type="dxa"/>
            <w:shd w:val="clear" w:color="auto" w:fill="auto"/>
            <w:vAlign w:val="center"/>
          </w:tcPr>
          <w:p>
            <w:pPr>
              <w:jc w:val="center"/>
              <w:rPr>
                <w:rFonts w:ascii="宋体" w:eastAsia="宋体" w:cs="宋体"/>
                <w:color w:val="auto"/>
                <w:sz w:val="24"/>
                <w:szCs w:val="24"/>
              </w:rPr>
            </w:pPr>
          </w:p>
        </w:tc>
        <w:tc>
          <w:tcPr>
            <w:tcW w:w="765" w:type="dxa"/>
            <w:shd w:val="clear" w:color="auto" w:fill="auto"/>
            <w:vAlign w:val="center"/>
          </w:tcPr>
          <w:p>
            <w:pPr>
              <w:jc w:val="center"/>
              <w:rPr>
                <w:rFonts w:ascii="宋体" w:eastAsia="宋体" w:cs="宋体"/>
                <w:color w:val="auto"/>
                <w:sz w:val="24"/>
                <w:szCs w:val="24"/>
              </w:rPr>
            </w:pPr>
          </w:p>
        </w:tc>
        <w:tc>
          <w:tcPr>
            <w:tcW w:w="2061" w:type="dxa"/>
            <w:shd w:val="clear" w:color="auto" w:fill="auto"/>
            <w:vAlign w:val="center"/>
          </w:tcPr>
          <w:p>
            <w:pPr>
              <w:jc w:val="center"/>
              <w:rPr>
                <w:rFonts w:ascii="宋体" w:eastAsia="宋体" w:cs="宋体"/>
                <w:color w:val="auto"/>
                <w:sz w:val="24"/>
                <w:szCs w:val="24"/>
              </w:rPr>
            </w:pPr>
          </w:p>
        </w:tc>
        <w:tc>
          <w:tcPr>
            <w:tcW w:w="1256" w:type="dxa"/>
            <w:shd w:val="clear" w:color="auto" w:fill="auto"/>
            <w:vAlign w:val="center"/>
          </w:tcPr>
          <w:p>
            <w:pPr>
              <w:jc w:val="center"/>
              <w:rPr>
                <w:rFonts w:ascii="宋体" w:eastAsia="宋体" w:cs="宋体"/>
                <w:color w:val="auto"/>
                <w:sz w:val="24"/>
                <w:szCs w:val="24"/>
              </w:rPr>
            </w:pPr>
          </w:p>
        </w:tc>
        <w:tc>
          <w:tcPr>
            <w:tcW w:w="1258" w:type="dxa"/>
            <w:shd w:val="clear" w:color="auto" w:fill="auto"/>
            <w:vAlign w:val="center"/>
          </w:tcPr>
          <w:p>
            <w:pPr>
              <w:jc w:val="center"/>
              <w:rPr>
                <w:rFonts w:asci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1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w:t>
            </w:r>
          </w:p>
        </w:tc>
        <w:tc>
          <w:tcPr>
            <w:tcW w:w="1066" w:type="dxa"/>
            <w:shd w:val="clear" w:color="auto" w:fill="auto"/>
            <w:vAlign w:val="center"/>
          </w:tcPr>
          <w:p>
            <w:pPr>
              <w:jc w:val="center"/>
              <w:rPr>
                <w:rFonts w:ascii="宋体" w:eastAsia="宋体" w:cs="宋体"/>
                <w:color w:val="auto"/>
                <w:sz w:val="24"/>
                <w:szCs w:val="24"/>
              </w:rPr>
            </w:pPr>
          </w:p>
        </w:tc>
        <w:tc>
          <w:tcPr>
            <w:tcW w:w="2233" w:type="dxa"/>
            <w:shd w:val="clear" w:color="auto" w:fill="auto"/>
            <w:vAlign w:val="center"/>
          </w:tcPr>
          <w:p>
            <w:pPr>
              <w:jc w:val="center"/>
              <w:rPr>
                <w:rFonts w:ascii="宋体" w:eastAsia="宋体" w:cs="宋体"/>
                <w:color w:val="auto"/>
                <w:sz w:val="24"/>
                <w:szCs w:val="24"/>
              </w:rPr>
            </w:pPr>
          </w:p>
        </w:tc>
        <w:tc>
          <w:tcPr>
            <w:tcW w:w="765" w:type="dxa"/>
            <w:shd w:val="clear" w:color="auto" w:fill="auto"/>
            <w:vAlign w:val="center"/>
          </w:tcPr>
          <w:p>
            <w:pPr>
              <w:jc w:val="center"/>
              <w:rPr>
                <w:rFonts w:ascii="宋体" w:eastAsia="宋体" w:cs="宋体"/>
                <w:color w:val="auto"/>
                <w:sz w:val="24"/>
                <w:szCs w:val="24"/>
              </w:rPr>
            </w:pPr>
          </w:p>
        </w:tc>
        <w:tc>
          <w:tcPr>
            <w:tcW w:w="2061" w:type="dxa"/>
            <w:shd w:val="clear" w:color="auto" w:fill="auto"/>
            <w:vAlign w:val="center"/>
          </w:tcPr>
          <w:p>
            <w:pPr>
              <w:jc w:val="center"/>
              <w:rPr>
                <w:rFonts w:ascii="宋体" w:eastAsia="宋体" w:cs="宋体"/>
                <w:color w:val="auto"/>
                <w:sz w:val="24"/>
                <w:szCs w:val="24"/>
              </w:rPr>
            </w:pPr>
          </w:p>
        </w:tc>
        <w:tc>
          <w:tcPr>
            <w:tcW w:w="1256" w:type="dxa"/>
            <w:shd w:val="clear" w:color="auto" w:fill="auto"/>
            <w:vAlign w:val="center"/>
          </w:tcPr>
          <w:p>
            <w:pPr>
              <w:jc w:val="center"/>
              <w:rPr>
                <w:rFonts w:ascii="宋体" w:eastAsia="宋体" w:cs="宋体"/>
                <w:color w:val="auto"/>
                <w:sz w:val="24"/>
                <w:szCs w:val="24"/>
              </w:rPr>
            </w:pPr>
          </w:p>
        </w:tc>
        <w:tc>
          <w:tcPr>
            <w:tcW w:w="1258" w:type="dxa"/>
            <w:shd w:val="clear" w:color="auto" w:fill="auto"/>
            <w:vAlign w:val="center"/>
          </w:tcPr>
          <w:p>
            <w:pPr>
              <w:jc w:val="center"/>
              <w:rPr>
                <w:rFonts w:ascii="宋体" w:eastAsia="宋体" w:cs="宋体"/>
                <w:color w:val="auto"/>
                <w:sz w:val="24"/>
                <w:szCs w:val="24"/>
              </w:rPr>
            </w:pPr>
          </w:p>
        </w:tc>
      </w:tr>
    </w:tbl>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根据上述人员情况及磋商文件要求在本表后附相关证明材料。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说明：</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1.“本项目拟任职务”栏可包括：项目负责人、项目联系人、项目服务人员或技术人员等。</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2.如供应商成交，须按本表项目组成人员操作，不得随意更换。</w:t>
      </w:r>
    </w:p>
    <w:p>
      <w:pPr>
        <w:kinsoku/>
        <w:spacing w:line="360" w:lineRule="auto"/>
        <w:ind w:firstLine="480" w:firstLineChars="200"/>
        <w:rPr>
          <w:rFonts w:ascii="宋体" w:eastAsia="宋体" w:cs="宋体"/>
          <w:color w:val="auto"/>
          <w:sz w:val="24"/>
          <w:szCs w:val="24"/>
          <w:lang w:eastAsia="zh-CN"/>
        </w:rPr>
        <w:sectPr>
          <w:footerReference r:id="rId27"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（以下格式文件由供应商根据需要选用）</w:t>
      </w: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十九、项目实施方案、质量保证及售后服务承诺等</w:t>
      </w:r>
    </w:p>
    <w:p>
      <w:pPr>
        <w:kinsoku/>
        <w:spacing w:line="360" w:lineRule="auto"/>
        <w:jc w:val="center"/>
        <w:rPr>
          <w:rFonts w:ascii="宋体" w:eastAsia="宋体" w:cs="宋体"/>
          <w:color w:val="auto"/>
          <w:sz w:val="24"/>
          <w:szCs w:val="24"/>
          <w:lang w:eastAsia="zh-CN"/>
        </w:rPr>
      </w:pPr>
      <w:r>
        <w:rPr>
          <w:rFonts w:hint="eastAsia" w:ascii="宋体" w:eastAsia="宋体" w:cs="宋体"/>
          <w:color w:val="auto"/>
          <w:sz w:val="24"/>
          <w:szCs w:val="24"/>
          <w:lang w:eastAsia="zh-CN"/>
        </w:rPr>
        <w:t>（内容和格式自拟）</w:t>
      </w:r>
    </w:p>
    <w:p>
      <w:pPr>
        <w:kinsoku/>
        <w:spacing w:line="360" w:lineRule="auto"/>
        <w:ind w:firstLine="480" w:firstLineChars="200"/>
        <w:rPr>
          <w:rFonts w:ascii="宋体" w:eastAsia="宋体" w:cs="宋体"/>
          <w:color w:val="auto"/>
          <w:sz w:val="24"/>
          <w:szCs w:val="24"/>
          <w:lang w:eastAsia="zh-CN"/>
        </w:rPr>
        <w:sectPr>
          <w:footerReference r:id="rId28"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（以下格式文件由供应商根据需要选用）</w:t>
      </w: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二十、供应商业绩情况表</w:t>
      </w:r>
    </w:p>
    <w:tbl>
      <w:tblPr>
        <w:tblStyle w:val="18"/>
        <w:tblW w:w="9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8"/>
        <w:gridCol w:w="1941"/>
        <w:gridCol w:w="1941"/>
        <w:gridCol w:w="1941"/>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2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序号</w:t>
            </w:r>
          </w:p>
        </w:tc>
        <w:tc>
          <w:tcPr>
            <w:tcW w:w="1941"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使用单位</w:t>
            </w:r>
          </w:p>
        </w:tc>
        <w:tc>
          <w:tcPr>
            <w:tcW w:w="1941"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业绩名称</w:t>
            </w:r>
          </w:p>
        </w:tc>
        <w:tc>
          <w:tcPr>
            <w:tcW w:w="1941"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合同总价</w:t>
            </w:r>
          </w:p>
        </w:tc>
        <w:tc>
          <w:tcPr>
            <w:tcW w:w="194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1</w:t>
            </w: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8" w:type="dxa"/>
            <w:shd w:val="clear" w:color="auto" w:fill="auto"/>
            <w:vAlign w:val="center"/>
          </w:tcPr>
          <w:p>
            <w:pPr>
              <w:jc w:val="center"/>
              <w:rPr>
                <w:rFonts w:asci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2</w:t>
            </w: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8" w:type="dxa"/>
            <w:shd w:val="clear" w:color="auto" w:fill="auto"/>
            <w:vAlign w:val="center"/>
          </w:tcPr>
          <w:p>
            <w:pPr>
              <w:jc w:val="center"/>
              <w:rPr>
                <w:rFonts w:asci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3</w:t>
            </w: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8" w:type="dxa"/>
            <w:shd w:val="clear" w:color="auto" w:fill="auto"/>
            <w:vAlign w:val="center"/>
          </w:tcPr>
          <w:p>
            <w:pPr>
              <w:jc w:val="center"/>
              <w:rPr>
                <w:rFonts w:asci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4</w:t>
            </w: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8" w:type="dxa"/>
            <w:shd w:val="clear" w:color="auto" w:fill="auto"/>
            <w:vAlign w:val="center"/>
          </w:tcPr>
          <w:p>
            <w:pPr>
              <w:jc w:val="center"/>
              <w:rPr>
                <w:rFonts w:asci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528" w:type="dxa"/>
            <w:shd w:val="clear" w:color="auto" w:fill="auto"/>
            <w:vAlign w:val="center"/>
          </w:tcPr>
          <w:p>
            <w:pPr>
              <w:jc w:val="center"/>
              <w:rPr>
                <w:rFonts w:ascii="宋体" w:eastAsia="宋体" w:cs="宋体"/>
                <w:color w:val="auto"/>
                <w:sz w:val="24"/>
                <w:szCs w:val="24"/>
              </w:rPr>
            </w:pPr>
            <w:r>
              <w:rPr>
                <w:rFonts w:hint="eastAsia" w:ascii="宋体" w:eastAsia="宋体" w:cs="宋体"/>
                <w:color w:val="auto"/>
                <w:sz w:val="24"/>
                <w:szCs w:val="24"/>
              </w:rPr>
              <w:t>…</w:t>
            </w: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1" w:type="dxa"/>
            <w:shd w:val="clear" w:color="auto" w:fill="auto"/>
            <w:vAlign w:val="center"/>
          </w:tcPr>
          <w:p>
            <w:pPr>
              <w:jc w:val="center"/>
              <w:rPr>
                <w:rFonts w:ascii="宋体" w:eastAsia="宋体" w:cs="宋体"/>
                <w:color w:val="auto"/>
                <w:sz w:val="24"/>
                <w:szCs w:val="24"/>
              </w:rPr>
            </w:pPr>
          </w:p>
        </w:tc>
        <w:tc>
          <w:tcPr>
            <w:tcW w:w="1948" w:type="dxa"/>
            <w:shd w:val="clear" w:color="auto" w:fill="auto"/>
            <w:vAlign w:val="center"/>
          </w:tcPr>
          <w:p>
            <w:pPr>
              <w:jc w:val="center"/>
              <w:rPr>
                <w:rFonts w:ascii="宋体" w:eastAsia="宋体" w:cs="宋体"/>
                <w:color w:val="auto"/>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before="313" w:beforeLines="100" w:line="360" w:lineRule="auto"/>
        <w:ind w:firstLine="480" w:firstLineChars="200"/>
        <w:textAlignment w:val="baseline"/>
        <w:rPr>
          <w:rFonts w:ascii="宋体" w:eastAsia="宋体" w:cs="宋体"/>
          <w:color w:val="auto"/>
          <w:sz w:val="24"/>
          <w:szCs w:val="24"/>
          <w:lang w:eastAsia="zh-CN"/>
        </w:rPr>
      </w:pPr>
      <w:r>
        <w:rPr>
          <w:rFonts w:hint="eastAsia" w:ascii="宋体" w:eastAsia="宋体" w:cs="宋体"/>
          <w:color w:val="auto"/>
          <w:sz w:val="24"/>
          <w:szCs w:val="24"/>
          <w:lang w:eastAsia="zh-CN"/>
        </w:rPr>
        <w:t>供应商根据上述业绩情况及磋商文件要求后附相关证明材料。</w:t>
      </w:r>
    </w:p>
    <w:p>
      <w:pPr>
        <w:kinsoku/>
        <w:spacing w:line="360" w:lineRule="auto"/>
        <w:ind w:firstLine="480" w:firstLineChars="200"/>
        <w:rPr>
          <w:rFonts w:ascii="宋体" w:eastAsia="宋体" w:cs="宋体"/>
          <w:color w:val="auto"/>
          <w:sz w:val="24"/>
          <w:szCs w:val="24"/>
          <w:lang w:eastAsia="zh-CN"/>
        </w:rPr>
        <w:sectPr>
          <w:footerReference r:id="rId29" w:type="default"/>
          <w:pgSz w:w="11906" w:h="16838"/>
          <w:pgMar w:top="1440" w:right="1080" w:bottom="1440" w:left="1080" w:header="0" w:footer="850" w:gutter="0"/>
          <w:pgNumType w:fmt="decimal"/>
          <w:cols w:space="0" w:num="1"/>
          <w:rtlGutter w:val="0"/>
          <w:docGrid w:linePitch="312" w:charSpace="0"/>
        </w:sectPr>
      </w:pP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（以下格式文件由供应商根据需要选用）</w:t>
      </w:r>
    </w:p>
    <w:p>
      <w:pPr>
        <w:kinsoku/>
        <w:spacing w:line="360" w:lineRule="auto"/>
        <w:ind w:left="0" w:leftChars="0" w:right="0" w:rightChars="0" w:firstLine="0" w:firstLineChars="0"/>
        <w:jc w:val="center"/>
        <w:outlineLvl w:val="1"/>
        <w:rPr>
          <w:rFonts w:ascii="宋体" w:eastAsia="宋体" w:cs="宋体"/>
          <w:color w:val="auto"/>
          <w:sz w:val="24"/>
          <w:szCs w:val="24"/>
          <w:lang w:eastAsia="zh-CN"/>
        </w:rPr>
      </w:pPr>
      <w:r>
        <w:rPr>
          <w:rFonts w:hint="eastAsia" w:ascii="宋体" w:eastAsia="宋体" w:cs="宋体"/>
          <w:b/>
          <w:bCs/>
          <w:color w:val="auto"/>
          <w:sz w:val="28"/>
          <w:szCs w:val="28"/>
          <w:lang w:eastAsia="zh-CN"/>
        </w:rPr>
        <w:t>二十一、其他证明材料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1.磋商文件要求提供的其他资料。</w:t>
      </w:r>
    </w:p>
    <w:p>
      <w:pPr>
        <w:kinsoku/>
        <w:spacing w:line="360" w:lineRule="auto"/>
        <w:ind w:firstLine="480" w:firstLineChars="200"/>
        <w:rPr>
          <w:rFonts w:ascii="宋体" w:eastAsia="宋体" w:cs="宋体"/>
          <w:color w:val="auto"/>
          <w:sz w:val="24"/>
          <w:szCs w:val="24"/>
          <w:lang w:eastAsia="zh-CN"/>
        </w:rPr>
      </w:pPr>
      <w:r>
        <w:rPr>
          <w:rFonts w:hint="eastAsia" w:ascii="宋体" w:eastAsia="宋体" w:cs="宋体"/>
          <w:color w:val="auto"/>
          <w:sz w:val="24"/>
          <w:szCs w:val="24"/>
          <w:lang w:eastAsia="zh-CN"/>
        </w:rPr>
        <w:t>2.供应商认为需提供的其他资料。</w:t>
      </w:r>
    </w:p>
    <w:sectPr>
      <w:footerReference r:id="rId30" w:type="default"/>
      <w:pgSz w:w="11906" w:h="16838"/>
      <w:pgMar w:top="1440" w:right="1080" w:bottom="1440" w:left="1080" w:header="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42</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p4gRJAIAADk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up4gRJAIAADkEAAAOAAAAAAAAAAEAIAAAADUBAABkcnMvZTJvRG9j&#10;LnhtbFBLBQYAAAAABgAGAFkBAADLBQ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42</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1" name="文本框 19"/>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26</w:t>
                          </w:r>
                          <w:r>
                            <w:fldChar w:fldCharType="end"/>
                          </w:r>
                        </w:p>
                      </w:txbxContent>
                    </wps:txbx>
                    <wps:bodyPr vert="horz" wrap="none" lIns="0" tIns="0" rIns="0" bIns="0" anchor="t" anchorCtr="false" upright="false">
                      <a:spAutoFit/>
                    </wps:bodyPr>
                  </wps:wsp>
                </a:graphicData>
              </a:graphic>
            </wp:anchor>
          </w:drawing>
        </mc:Choice>
        <mc:Fallback>
          <w:pict>
            <v:rect id="文本框 19" o:spid="_x0000_s1026" o:spt="1" style="position:absolute;left:0pt;margin-top:0pt;height:12.3pt;width:10.6pt;mso-position-horizontal:center;mso-position-horizontal-relative:margin;mso-wrap-style:none;z-index:251659264;mso-width-relative:page;mso-height-relative:page;" filled="f" stroked="f" coordsize="21600,21600" o:gfxdata="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NZiAk1QAAAAMBAAAPAAAAAAAAAAEAIAAAADgAAABkcnMvZG93&#10;bnJldi54bWxQSwECFAAUAAAACACHTuJATGzdj+0BAACvAwAADgAAAAAAAAABACAAAAA6AQAAZHJz&#10;L2Uyb0RvYy54bWxQSwUGAAAAAAYABgBZAQAAmQU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5" name="文本框 22"/>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30</w:t>
                          </w:r>
                          <w:r>
                            <w:fldChar w:fldCharType="end"/>
                          </w:r>
                        </w:p>
                      </w:txbxContent>
                    </wps:txbx>
                    <wps:bodyPr vert="horz" wrap="none" lIns="0" tIns="0" rIns="0" bIns="0" anchor="t" anchorCtr="false" upright="false">
                      <a:spAutoFit/>
                    </wps:bodyPr>
                  </wps:wsp>
                </a:graphicData>
              </a:graphic>
            </wp:anchor>
          </w:drawing>
        </mc:Choice>
        <mc:Fallback>
          <w:pict>
            <v:rect id="文本框 22" o:spid="_x0000_s1026" o:spt="1" style="position:absolute;left:0pt;margin-top:0pt;height:12.3pt;width:10.6pt;mso-position-horizontal:center;mso-position-horizontal-relative:margin;mso-wrap-style:none;z-index:251659264;mso-width-relative:page;mso-height-relative:page;" filled="f" stroked="f" coordsize="21600,21600" o:gfxdata="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WYgJNUAAAADAQAADwAAAAAAAAABACAAAAA4AAAAZHJzL2Rv&#10;d25yZXYueG1sUEsBAhQAFAAAAAgAh07iQIymnoruAQAArwMAAA4AAAAAAAAAAQAgAAAAOgEAAGRy&#10;cy9lMm9Eb2MueG1sUEsFBgAAAAAGAAYAWQEAAJoFA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314"/>
      <w:rPr>
        <w:rFonts w:ascii="宋体" w:eastAsia="宋体" w:cs="宋体"/>
        <w:sz w:val="24"/>
        <w:szCs w:val="24"/>
      </w:rPr>
    </w:pPr>
    <w:r>
      <w:rPr>
        <w:sz w:val="24"/>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56210"/>
              <wp:effectExtent l="0" t="0" r="0" b="0"/>
              <wp:wrapNone/>
              <wp:docPr id="28" name="文本框 25"/>
              <wp:cNvGraphicFramePr/>
              <a:graphic xmlns:a="http://schemas.openxmlformats.org/drawingml/2006/main">
                <a:graphicData uri="http://schemas.microsoft.com/office/word/2010/wordprocessingShape">
                  <wps:wsp>
                    <wps:cNvSpPr/>
                    <wps:spPr>
                      <a:xfrm>
                        <a:off x="0" y="0"/>
                        <a:ext cx="54863" cy="156248"/>
                      </a:xfrm>
                      <a:prstGeom prst="rect">
                        <a:avLst/>
                      </a:prstGeom>
                      <a:noFill/>
                      <a:ln w="6350" cap="flat" cmpd="sng">
                        <a:noFill/>
                        <a:prstDash val="solid"/>
                        <a:round/>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25" o:spid="_x0000_s1026" o:spt="1" style="position:absolute;left:0pt;margin-top:0pt;height:12.3pt;width:4.3pt;mso-position-horizontal:center;mso-position-horizontal-relative:margin;mso-wrap-style:none;z-index:251659264;mso-width-relative:page;mso-height-relative:page;" filled="f" stroked="f" coordsize="21600,21600" o:gfxdata="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diaNfXAAAAAgEAAA8AAAAAAAAAAQAgAAAAOAAAAGRycy9k&#10;b3ducmV2LnhtbFBLAQIUABQAAAAIAIdO4kCNWABf7QEAAK8DAAAOAAAAAAAAAAEAIAAAADwBAABk&#10;cnMvZTJvRG9jLnhtbFBLBQYAAAAABgAGAFkBAACbBQAAAAA=&#10;">
              <v:fill on="f" focussize="0,0"/>
              <v:stroke on="f" weight="0.5pt" joinstyle="round"/>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r>
      <w:rPr>
        <w:rFonts w:ascii="宋体" w:eastAsia="宋体" w:cs="宋体"/>
        <w:spacing w:val="-5"/>
        <w:sz w:val="24"/>
        <w:szCs w:val="24"/>
      </w:rPr>
      <w:t>47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HorizontalSpacing w:val="210"/>
  <w:drawingGridVerticalSpacing w:val="99999990"/>
  <w:displayHorizontalDrawingGridEvery w:val="1"/>
  <w:displayVerticalDrawingGridEvery w:val="1"/>
  <w:noPunctuationKerning w:val="true"/>
  <w:characterSpacingControl w:val="doNotCompress"/>
  <w:compat>
    <w:spaceForUL/>
    <w:ulTrailSpace/>
    <w:doNotExpandShiftReturn/>
    <w:doNotWrapTextWithPunct/>
    <w:doNotUseEastAsianBreakRules/>
    <w:growAutofit/>
    <w:useFELayout/>
    <w:doNotUseIndentAsNumberingTabStop/>
    <w:compatSetting w:name="compatibilityMode" w:uri="http://schemas.microsoft.com/office/word" w:val="14"/>
  </w:compat>
  <w:docVars>
    <w:docVar w:name="commondata" w:val="eyJoZGlkIjoiYjdlZTdkNzQzNmI2ZWQ5Yzk0MmQzY2E2ZDJjNDE2M2QifQ=="/>
  </w:docVars>
  <w:rsids>
    <w:rsidRoot w:val="003D23E5"/>
    <w:rsid w:val="000D3562"/>
    <w:rsid w:val="003D23E5"/>
    <w:rsid w:val="003F23CE"/>
    <w:rsid w:val="00496CED"/>
    <w:rsid w:val="00617680"/>
    <w:rsid w:val="00645638"/>
    <w:rsid w:val="007D6E3B"/>
    <w:rsid w:val="00805919"/>
    <w:rsid w:val="00B97271"/>
    <w:rsid w:val="00BE7797"/>
    <w:rsid w:val="00CF5DEC"/>
    <w:rsid w:val="00DF405D"/>
    <w:rsid w:val="010A6538"/>
    <w:rsid w:val="013637D1"/>
    <w:rsid w:val="01572697"/>
    <w:rsid w:val="016D00D2"/>
    <w:rsid w:val="01C118EA"/>
    <w:rsid w:val="01CC7C92"/>
    <w:rsid w:val="01E449DA"/>
    <w:rsid w:val="01F06E98"/>
    <w:rsid w:val="020B07BA"/>
    <w:rsid w:val="020B4F68"/>
    <w:rsid w:val="027D71DE"/>
    <w:rsid w:val="0282055C"/>
    <w:rsid w:val="02902A6D"/>
    <w:rsid w:val="029C3B08"/>
    <w:rsid w:val="029C7664"/>
    <w:rsid w:val="02B153F0"/>
    <w:rsid w:val="02C80459"/>
    <w:rsid w:val="02E132C9"/>
    <w:rsid w:val="02EB4148"/>
    <w:rsid w:val="03060F81"/>
    <w:rsid w:val="0316553E"/>
    <w:rsid w:val="0321587C"/>
    <w:rsid w:val="034F48ED"/>
    <w:rsid w:val="0352759D"/>
    <w:rsid w:val="03667EB4"/>
    <w:rsid w:val="03790EAE"/>
    <w:rsid w:val="038325D2"/>
    <w:rsid w:val="03875EC9"/>
    <w:rsid w:val="03A11C8C"/>
    <w:rsid w:val="03AC4D56"/>
    <w:rsid w:val="040372EE"/>
    <w:rsid w:val="040E6340"/>
    <w:rsid w:val="041A3F82"/>
    <w:rsid w:val="041B0E47"/>
    <w:rsid w:val="048B3E34"/>
    <w:rsid w:val="048F7C19"/>
    <w:rsid w:val="04936845"/>
    <w:rsid w:val="04A41BC5"/>
    <w:rsid w:val="04F7427E"/>
    <w:rsid w:val="0518285B"/>
    <w:rsid w:val="052027CE"/>
    <w:rsid w:val="054339CB"/>
    <w:rsid w:val="05A625A8"/>
    <w:rsid w:val="05AF12EB"/>
    <w:rsid w:val="05E57574"/>
    <w:rsid w:val="0624009C"/>
    <w:rsid w:val="06615071"/>
    <w:rsid w:val="06A75898"/>
    <w:rsid w:val="06BF0E31"/>
    <w:rsid w:val="06C31610"/>
    <w:rsid w:val="06EF57A4"/>
    <w:rsid w:val="0733656D"/>
    <w:rsid w:val="07570716"/>
    <w:rsid w:val="07720CB2"/>
    <w:rsid w:val="077B21C7"/>
    <w:rsid w:val="079A71A9"/>
    <w:rsid w:val="079E5C2C"/>
    <w:rsid w:val="079F3753"/>
    <w:rsid w:val="07C37441"/>
    <w:rsid w:val="07F07584"/>
    <w:rsid w:val="080628D5"/>
    <w:rsid w:val="080737D2"/>
    <w:rsid w:val="082B32A2"/>
    <w:rsid w:val="083E11BD"/>
    <w:rsid w:val="08732C15"/>
    <w:rsid w:val="087F2519"/>
    <w:rsid w:val="08891FDF"/>
    <w:rsid w:val="088A61B1"/>
    <w:rsid w:val="08986B20"/>
    <w:rsid w:val="08F24482"/>
    <w:rsid w:val="08F8378C"/>
    <w:rsid w:val="0935594C"/>
    <w:rsid w:val="093A3733"/>
    <w:rsid w:val="09473C1D"/>
    <w:rsid w:val="094C3466"/>
    <w:rsid w:val="094E0A7E"/>
    <w:rsid w:val="097E472B"/>
    <w:rsid w:val="09C83435"/>
    <w:rsid w:val="09DD72C1"/>
    <w:rsid w:val="09F2400E"/>
    <w:rsid w:val="0A03446D"/>
    <w:rsid w:val="0A0B6E5E"/>
    <w:rsid w:val="0A0F6089"/>
    <w:rsid w:val="0A3679BF"/>
    <w:rsid w:val="0A424F95"/>
    <w:rsid w:val="0ADA51CD"/>
    <w:rsid w:val="0ADD081A"/>
    <w:rsid w:val="0AEF64DF"/>
    <w:rsid w:val="0AF10769"/>
    <w:rsid w:val="0B04224A"/>
    <w:rsid w:val="0B2C17A1"/>
    <w:rsid w:val="0B2C354F"/>
    <w:rsid w:val="0B5F3925"/>
    <w:rsid w:val="0B602C60"/>
    <w:rsid w:val="0B6422B6"/>
    <w:rsid w:val="0B6B051B"/>
    <w:rsid w:val="0B6D3320"/>
    <w:rsid w:val="0B893870"/>
    <w:rsid w:val="0BB84DE3"/>
    <w:rsid w:val="0BB97AC8"/>
    <w:rsid w:val="0BED2CDE"/>
    <w:rsid w:val="0BF2140F"/>
    <w:rsid w:val="0C021626"/>
    <w:rsid w:val="0C0A140B"/>
    <w:rsid w:val="0C4D7C21"/>
    <w:rsid w:val="0C567D0B"/>
    <w:rsid w:val="0C746EAB"/>
    <w:rsid w:val="0C935806"/>
    <w:rsid w:val="0C942A80"/>
    <w:rsid w:val="0C945A00"/>
    <w:rsid w:val="0CA65052"/>
    <w:rsid w:val="0CAC51AC"/>
    <w:rsid w:val="0CC021A1"/>
    <w:rsid w:val="0CF511D5"/>
    <w:rsid w:val="0CF73F0B"/>
    <w:rsid w:val="0D0504FC"/>
    <w:rsid w:val="0D2D3F6A"/>
    <w:rsid w:val="0D3E4136"/>
    <w:rsid w:val="0D490DFB"/>
    <w:rsid w:val="0D4D28BF"/>
    <w:rsid w:val="0D7C3293"/>
    <w:rsid w:val="0D9011DC"/>
    <w:rsid w:val="0D906017"/>
    <w:rsid w:val="0DA27AF9"/>
    <w:rsid w:val="0DB22432"/>
    <w:rsid w:val="0DC42165"/>
    <w:rsid w:val="0DC7774F"/>
    <w:rsid w:val="0DCA72A3"/>
    <w:rsid w:val="0DF806B8"/>
    <w:rsid w:val="0E4017EB"/>
    <w:rsid w:val="0E7479E9"/>
    <w:rsid w:val="0E77572D"/>
    <w:rsid w:val="0EE02A09"/>
    <w:rsid w:val="0EFD148A"/>
    <w:rsid w:val="0F202AFE"/>
    <w:rsid w:val="0F264E85"/>
    <w:rsid w:val="0F2C4152"/>
    <w:rsid w:val="0F334EAC"/>
    <w:rsid w:val="0F574CA3"/>
    <w:rsid w:val="0F8751F8"/>
    <w:rsid w:val="0FA7589A"/>
    <w:rsid w:val="0FB74D7B"/>
    <w:rsid w:val="0FC67F13"/>
    <w:rsid w:val="0FD0094D"/>
    <w:rsid w:val="0FE1702F"/>
    <w:rsid w:val="0FE73EE9"/>
    <w:rsid w:val="0FF004AA"/>
    <w:rsid w:val="10066A65"/>
    <w:rsid w:val="10277FDE"/>
    <w:rsid w:val="103B2673"/>
    <w:rsid w:val="10A2678D"/>
    <w:rsid w:val="10A342B4"/>
    <w:rsid w:val="10B06929"/>
    <w:rsid w:val="10BA4BD5"/>
    <w:rsid w:val="10CA0971"/>
    <w:rsid w:val="10D12BCF"/>
    <w:rsid w:val="10EF7769"/>
    <w:rsid w:val="10F36FE9"/>
    <w:rsid w:val="110519DE"/>
    <w:rsid w:val="111E24A0"/>
    <w:rsid w:val="112406FA"/>
    <w:rsid w:val="11346F8C"/>
    <w:rsid w:val="1141166B"/>
    <w:rsid w:val="116F4F22"/>
    <w:rsid w:val="11791639"/>
    <w:rsid w:val="11845E93"/>
    <w:rsid w:val="12386C7D"/>
    <w:rsid w:val="124949E7"/>
    <w:rsid w:val="126F18CA"/>
    <w:rsid w:val="128F3AF7"/>
    <w:rsid w:val="12AA1929"/>
    <w:rsid w:val="12BB6A51"/>
    <w:rsid w:val="13085987"/>
    <w:rsid w:val="13223BB5"/>
    <w:rsid w:val="132F1E2E"/>
    <w:rsid w:val="1344242A"/>
    <w:rsid w:val="134A0A16"/>
    <w:rsid w:val="138E124B"/>
    <w:rsid w:val="13A57D35"/>
    <w:rsid w:val="13A740BB"/>
    <w:rsid w:val="14045069"/>
    <w:rsid w:val="14343DF9"/>
    <w:rsid w:val="143E4A1F"/>
    <w:rsid w:val="14593607"/>
    <w:rsid w:val="146F6F38"/>
    <w:rsid w:val="14885C1E"/>
    <w:rsid w:val="14FE41AE"/>
    <w:rsid w:val="152009F8"/>
    <w:rsid w:val="1525101E"/>
    <w:rsid w:val="155913E5"/>
    <w:rsid w:val="15604521"/>
    <w:rsid w:val="15727625"/>
    <w:rsid w:val="158C299F"/>
    <w:rsid w:val="15A5287C"/>
    <w:rsid w:val="15C2342E"/>
    <w:rsid w:val="15D53161"/>
    <w:rsid w:val="15E74C42"/>
    <w:rsid w:val="15F5735F"/>
    <w:rsid w:val="16197E6B"/>
    <w:rsid w:val="16257519"/>
    <w:rsid w:val="166B734E"/>
    <w:rsid w:val="168242D0"/>
    <w:rsid w:val="168F3833"/>
    <w:rsid w:val="16B873C6"/>
    <w:rsid w:val="16CC2691"/>
    <w:rsid w:val="16D52CED"/>
    <w:rsid w:val="17051824"/>
    <w:rsid w:val="17070303"/>
    <w:rsid w:val="172779EC"/>
    <w:rsid w:val="17562080"/>
    <w:rsid w:val="176A505F"/>
    <w:rsid w:val="178F5592"/>
    <w:rsid w:val="17AA5F28"/>
    <w:rsid w:val="17B64B4E"/>
    <w:rsid w:val="17C43DD0"/>
    <w:rsid w:val="17D03229"/>
    <w:rsid w:val="17F04282"/>
    <w:rsid w:val="17F17FFA"/>
    <w:rsid w:val="18055854"/>
    <w:rsid w:val="18107B4F"/>
    <w:rsid w:val="186B3909"/>
    <w:rsid w:val="18787DD4"/>
    <w:rsid w:val="18C66D91"/>
    <w:rsid w:val="18D019BE"/>
    <w:rsid w:val="18FC0A05"/>
    <w:rsid w:val="193E6C8C"/>
    <w:rsid w:val="19722343"/>
    <w:rsid w:val="19834C82"/>
    <w:rsid w:val="19906C5A"/>
    <w:rsid w:val="1A0C09AF"/>
    <w:rsid w:val="1A29497D"/>
    <w:rsid w:val="1A366198"/>
    <w:rsid w:val="1A404921"/>
    <w:rsid w:val="1A462F97"/>
    <w:rsid w:val="1A506BEA"/>
    <w:rsid w:val="1A512291"/>
    <w:rsid w:val="1A650743"/>
    <w:rsid w:val="1A693E78"/>
    <w:rsid w:val="1A7D0EE8"/>
    <w:rsid w:val="1A9845E5"/>
    <w:rsid w:val="1A9F657E"/>
    <w:rsid w:val="1B1069E9"/>
    <w:rsid w:val="1B1262BE"/>
    <w:rsid w:val="1B24533D"/>
    <w:rsid w:val="1B7D4190"/>
    <w:rsid w:val="1B8D003A"/>
    <w:rsid w:val="1BA675CC"/>
    <w:rsid w:val="1BB72BDE"/>
    <w:rsid w:val="1BD27C70"/>
    <w:rsid w:val="1BF14125"/>
    <w:rsid w:val="1C013A85"/>
    <w:rsid w:val="1C185B56"/>
    <w:rsid w:val="1C3855A4"/>
    <w:rsid w:val="1C4921B3"/>
    <w:rsid w:val="1C4A1A87"/>
    <w:rsid w:val="1C552F3C"/>
    <w:rsid w:val="1C8B5015"/>
    <w:rsid w:val="1C8E5E18"/>
    <w:rsid w:val="1C98798D"/>
    <w:rsid w:val="1CD22C12"/>
    <w:rsid w:val="1CD32A5C"/>
    <w:rsid w:val="1CD5442F"/>
    <w:rsid w:val="1CE54004"/>
    <w:rsid w:val="1CEC6CD0"/>
    <w:rsid w:val="1D003B60"/>
    <w:rsid w:val="1D444728"/>
    <w:rsid w:val="1D6E79F7"/>
    <w:rsid w:val="1D81336E"/>
    <w:rsid w:val="1DAF4298"/>
    <w:rsid w:val="1DC82DEF"/>
    <w:rsid w:val="1DF46E42"/>
    <w:rsid w:val="1DFD6618"/>
    <w:rsid w:val="1E0A4259"/>
    <w:rsid w:val="1E2F7187"/>
    <w:rsid w:val="1E4470D6"/>
    <w:rsid w:val="1E4E1C67"/>
    <w:rsid w:val="1E5F5DFB"/>
    <w:rsid w:val="1E64796A"/>
    <w:rsid w:val="1E71779F"/>
    <w:rsid w:val="1E8F5E77"/>
    <w:rsid w:val="1E982F7E"/>
    <w:rsid w:val="1EE61F3B"/>
    <w:rsid w:val="1F022AED"/>
    <w:rsid w:val="1F176598"/>
    <w:rsid w:val="1F3C7DAD"/>
    <w:rsid w:val="1F3F2038"/>
    <w:rsid w:val="1F4E5D32"/>
    <w:rsid w:val="1F5570C1"/>
    <w:rsid w:val="1F76742A"/>
    <w:rsid w:val="1F8258B0"/>
    <w:rsid w:val="1FAC4C3D"/>
    <w:rsid w:val="1FBC147E"/>
    <w:rsid w:val="1FC54F55"/>
    <w:rsid w:val="1FCC0A47"/>
    <w:rsid w:val="1FEE75D9"/>
    <w:rsid w:val="20253C29"/>
    <w:rsid w:val="20557672"/>
    <w:rsid w:val="20601D7D"/>
    <w:rsid w:val="206375BB"/>
    <w:rsid w:val="20AC0F62"/>
    <w:rsid w:val="20BA367F"/>
    <w:rsid w:val="20D61B3B"/>
    <w:rsid w:val="20EA55E7"/>
    <w:rsid w:val="20F45776"/>
    <w:rsid w:val="210E78A5"/>
    <w:rsid w:val="211D3C0E"/>
    <w:rsid w:val="214C257C"/>
    <w:rsid w:val="2180377B"/>
    <w:rsid w:val="21B66AE8"/>
    <w:rsid w:val="21F030D1"/>
    <w:rsid w:val="220A75A6"/>
    <w:rsid w:val="22600256"/>
    <w:rsid w:val="2274264E"/>
    <w:rsid w:val="22B12860"/>
    <w:rsid w:val="22CB7258"/>
    <w:rsid w:val="23156613"/>
    <w:rsid w:val="231E370F"/>
    <w:rsid w:val="23741495"/>
    <w:rsid w:val="238008AB"/>
    <w:rsid w:val="23DC4779"/>
    <w:rsid w:val="23E6478B"/>
    <w:rsid w:val="23FA0464"/>
    <w:rsid w:val="241C63FF"/>
    <w:rsid w:val="2423386F"/>
    <w:rsid w:val="243F3E9B"/>
    <w:rsid w:val="24421EE4"/>
    <w:rsid w:val="2443398C"/>
    <w:rsid w:val="24676B48"/>
    <w:rsid w:val="247E78C9"/>
    <w:rsid w:val="2491699B"/>
    <w:rsid w:val="249661B1"/>
    <w:rsid w:val="24A51F50"/>
    <w:rsid w:val="24C04FDC"/>
    <w:rsid w:val="24C90335"/>
    <w:rsid w:val="24CF6FCD"/>
    <w:rsid w:val="24D046C0"/>
    <w:rsid w:val="24D77167"/>
    <w:rsid w:val="24E23186"/>
    <w:rsid w:val="251946ED"/>
    <w:rsid w:val="2526015E"/>
    <w:rsid w:val="25383E1B"/>
    <w:rsid w:val="253F322D"/>
    <w:rsid w:val="254A5CCC"/>
    <w:rsid w:val="25BC39F6"/>
    <w:rsid w:val="25CE3729"/>
    <w:rsid w:val="25DC6087"/>
    <w:rsid w:val="25F767DC"/>
    <w:rsid w:val="25FF1B34"/>
    <w:rsid w:val="2644571B"/>
    <w:rsid w:val="265637FF"/>
    <w:rsid w:val="26655897"/>
    <w:rsid w:val="26C30562"/>
    <w:rsid w:val="26C41A57"/>
    <w:rsid w:val="26CE1B16"/>
    <w:rsid w:val="270D699A"/>
    <w:rsid w:val="27247AA4"/>
    <w:rsid w:val="27373C76"/>
    <w:rsid w:val="276212D4"/>
    <w:rsid w:val="276C4CBC"/>
    <w:rsid w:val="277F227A"/>
    <w:rsid w:val="279302CF"/>
    <w:rsid w:val="27A400FB"/>
    <w:rsid w:val="27BB0F5E"/>
    <w:rsid w:val="27D33A7D"/>
    <w:rsid w:val="27F43060"/>
    <w:rsid w:val="28133675"/>
    <w:rsid w:val="283B62BB"/>
    <w:rsid w:val="28461C9C"/>
    <w:rsid w:val="285E6FE6"/>
    <w:rsid w:val="286A7DAB"/>
    <w:rsid w:val="2870379F"/>
    <w:rsid w:val="2896777B"/>
    <w:rsid w:val="28A46D6B"/>
    <w:rsid w:val="28B673C2"/>
    <w:rsid w:val="28F066CA"/>
    <w:rsid w:val="28F93369"/>
    <w:rsid w:val="291B0A33"/>
    <w:rsid w:val="291C47AB"/>
    <w:rsid w:val="291D29FD"/>
    <w:rsid w:val="291E6775"/>
    <w:rsid w:val="29235B3A"/>
    <w:rsid w:val="292B7768"/>
    <w:rsid w:val="294D5BB5"/>
    <w:rsid w:val="294F2DD3"/>
    <w:rsid w:val="29507C42"/>
    <w:rsid w:val="29532AE3"/>
    <w:rsid w:val="29586F2B"/>
    <w:rsid w:val="295A1365"/>
    <w:rsid w:val="299407E6"/>
    <w:rsid w:val="29C70AA4"/>
    <w:rsid w:val="29CE3CF8"/>
    <w:rsid w:val="2A251687"/>
    <w:rsid w:val="2A297180"/>
    <w:rsid w:val="2A461AE0"/>
    <w:rsid w:val="2A693A20"/>
    <w:rsid w:val="2AD92315"/>
    <w:rsid w:val="2AFE7D7F"/>
    <w:rsid w:val="2B096D7F"/>
    <w:rsid w:val="2B1E2A5D"/>
    <w:rsid w:val="2B285A09"/>
    <w:rsid w:val="2B3C3502"/>
    <w:rsid w:val="2B7A5EA3"/>
    <w:rsid w:val="2B966A97"/>
    <w:rsid w:val="2B9E10A7"/>
    <w:rsid w:val="2BAA5F79"/>
    <w:rsid w:val="2BC857E0"/>
    <w:rsid w:val="2BCF1FA9"/>
    <w:rsid w:val="2BDF3682"/>
    <w:rsid w:val="2BEB2E89"/>
    <w:rsid w:val="2C361F6B"/>
    <w:rsid w:val="2C426380"/>
    <w:rsid w:val="2CA17633"/>
    <w:rsid w:val="2CB05185"/>
    <w:rsid w:val="2CB30491"/>
    <w:rsid w:val="2CCB09C2"/>
    <w:rsid w:val="2CE96994"/>
    <w:rsid w:val="2D02347E"/>
    <w:rsid w:val="2D46460C"/>
    <w:rsid w:val="2D4D07A5"/>
    <w:rsid w:val="2D590226"/>
    <w:rsid w:val="2D621DCA"/>
    <w:rsid w:val="2D830611"/>
    <w:rsid w:val="2DAC4350"/>
    <w:rsid w:val="2DDF6B09"/>
    <w:rsid w:val="2DFB0E33"/>
    <w:rsid w:val="2E23315A"/>
    <w:rsid w:val="2E7330BF"/>
    <w:rsid w:val="2EB37826"/>
    <w:rsid w:val="2EDC2A13"/>
    <w:rsid w:val="2EE31A67"/>
    <w:rsid w:val="2EEA15D4"/>
    <w:rsid w:val="2F0E4E31"/>
    <w:rsid w:val="2F192FE1"/>
    <w:rsid w:val="2F252203"/>
    <w:rsid w:val="2F4326D1"/>
    <w:rsid w:val="2F464E8D"/>
    <w:rsid w:val="2F866E22"/>
    <w:rsid w:val="2F8D7364"/>
    <w:rsid w:val="2FD23E16"/>
    <w:rsid w:val="2FDD171B"/>
    <w:rsid w:val="300F506A"/>
    <w:rsid w:val="301B756B"/>
    <w:rsid w:val="30305A40"/>
    <w:rsid w:val="30576230"/>
    <w:rsid w:val="30B30514"/>
    <w:rsid w:val="30CE14CF"/>
    <w:rsid w:val="30D077C5"/>
    <w:rsid w:val="31000688"/>
    <w:rsid w:val="31152803"/>
    <w:rsid w:val="318555E4"/>
    <w:rsid w:val="318D07DA"/>
    <w:rsid w:val="319C0B7F"/>
    <w:rsid w:val="323112C7"/>
    <w:rsid w:val="324E1E79"/>
    <w:rsid w:val="327B3DBE"/>
    <w:rsid w:val="32A8039A"/>
    <w:rsid w:val="32D57EA5"/>
    <w:rsid w:val="33137A65"/>
    <w:rsid w:val="336B6A5B"/>
    <w:rsid w:val="33813BF9"/>
    <w:rsid w:val="33A21975"/>
    <w:rsid w:val="33A36B60"/>
    <w:rsid w:val="33CC2BAF"/>
    <w:rsid w:val="33CF0157"/>
    <w:rsid w:val="346516FC"/>
    <w:rsid w:val="348051F1"/>
    <w:rsid w:val="34842CBB"/>
    <w:rsid w:val="34C75D1D"/>
    <w:rsid w:val="34E02B31"/>
    <w:rsid w:val="350607E9"/>
    <w:rsid w:val="35382109"/>
    <w:rsid w:val="35434130"/>
    <w:rsid w:val="355359F9"/>
    <w:rsid w:val="35675000"/>
    <w:rsid w:val="35833D31"/>
    <w:rsid w:val="358C6C4C"/>
    <w:rsid w:val="3599165E"/>
    <w:rsid w:val="35CE33D4"/>
    <w:rsid w:val="35DC59EE"/>
    <w:rsid w:val="35DC5FA2"/>
    <w:rsid w:val="35FD0996"/>
    <w:rsid w:val="360705A5"/>
    <w:rsid w:val="360A255B"/>
    <w:rsid w:val="360E2C5A"/>
    <w:rsid w:val="36864FB9"/>
    <w:rsid w:val="36956196"/>
    <w:rsid w:val="36C4095C"/>
    <w:rsid w:val="36C43710"/>
    <w:rsid w:val="36F26843"/>
    <w:rsid w:val="37453C40"/>
    <w:rsid w:val="37542097"/>
    <w:rsid w:val="3766401B"/>
    <w:rsid w:val="37737C8C"/>
    <w:rsid w:val="377834F5"/>
    <w:rsid w:val="378325C5"/>
    <w:rsid w:val="378B76CC"/>
    <w:rsid w:val="37AB38CA"/>
    <w:rsid w:val="37C87FD8"/>
    <w:rsid w:val="38441C7C"/>
    <w:rsid w:val="38AD71CE"/>
    <w:rsid w:val="38C118E6"/>
    <w:rsid w:val="39040459"/>
    <w:rsid w:val="39113C01"/>
    <w:rsid w:val="39141B89"/>
    <w:rsid w:val="39161217"/>
    <w:rsid w:val="39CA4C1F"/>
    <w:rsid w:val="39D81ED7"/>
    <w:rsid w:val="39DE1D35"/>
    <w:rsid w:val="3A00614F"/>
    <w:rsid w:val="3A2D6818"/>
    <w:rsid w:val="3A31121C"/>
    <w:rsid w:val="3A3F1EB2"/>
    <w:rsid w:val="3A5E1C16"/>
    <w:rsid w:val="3A696CD3"/>
    <w:rsid w:val="3AD1189A"/>
    <w:rsid w:val="3ADD0854"/>
    <w:rsid w:val="3AF065EC"/>
    <w:rsid w:val="3B073DC2"/>
    <w:rsid w:val="3B395FEA"/>
    <w:rsid w:val="3B536111"/>
    <w:rsid w:val="3B9D63DC"/>
    <w:rsid w:val="3BAE1209"/>
    <w:rsid w:val="3BAE3989"/>
    <w:rsid w:val="3BBA0580"/>
    <w:rsid w:val="3BD7212D"/>
    <w:rsid w:val="3BFA097C"/>
    <w:rsid w:val="3BFD3F4B"/>
    <w:rsid w:val="3C1119BE"/>
    <w:rsid w:val="3C325F6A"/>
    <w:rsid w:val="3C8A2C04"/>
    <w:rsid w:val="3CA32DC2"/>
    <w:rsid w:val="3CA75B1E"/>
    <w:rsid w:val="3CAA5311"/>
    <w:rsid w:val="3CB62557"/>
    <w:rsid w:val="3CD4741F"/>
    <w:rsid w:val="3CFC3141"/>
    <w:rsid w:val="3CFD6976"/>
    <w:rsid w:val="3D1B32A0"/>
    <w:rsid w:val="3D211F38"/>
    <w:rsid w:val="3D3B2FFA"/>
    <w:rsid w:val="3DB3271D"/>
    <w:rsid w:val="3DD50037"/>
    <w:rsid w:val="3E292905"/>
    <w:rsid w:val="3E595E2E"/>
    <w:rsid w:val="3E61781D"/>
    <w:rsid w:val="3E7A2248"/>
    <w:rsid w:val="3E7C1B1C"/>
    <w:rsid w:val="3E816406"/>
    <w:rsid w:val="3EE020AB"/>
    <w:rsid w:val="3EED5823"/>
    <w:rsid w:val="3EF17F10"/>
    <w:rsid w:val="3F1735F3"/>
    <w:rsid w:val="3F240F03"/>
    <w:rsid w:val="3F287AAC"/>
    <w:rsid w:val="3F312907"/>
    <w:rsid w:val="3F830C89"/>
    <w:rsid w:val="3F91350E"/>
    <w:rsid w:val="3FD0283B"/>
    <w:rsid w:val="40016053"/>
    <w:rsid w:val="40263C01"/>
    <w:rsid w:val="40387CC5"/>
    <w:rsid w:val="40534AFF"/>
    <w:rsid w:val="40580367"/>
    <w:rsid w:val="407B61A9"/>
    <w:rsid w:val="409018AF"/>
    <w:rsid w:val="40A846C6"/>
    <w:rsid w:val="40C35C84"/>
    <w:rsid w:val="40C56FE7"/>
    <w:rsid w:val="40CA2A93"/>
    <w:rsid w:val="40D21EC7"/>
    <w:rsid w:val="40D914A8"/>
    <w:rsid w:val="40F57964"/>
    <w:rsid w:val="412F0F7D"/>
    <w:rsid w:val="41391F47"/>
    <w:rsid w:val="418164BE"/>
    <w:rsid w:val="41865FB5"/>
    <w:rsid w:val="41B35639"/>
    <w:rsid w:val="41BE79EC"/>
    <w:rsid w:val="41C1797D"/>
    <w:rsid w:val="41E8145E"/>
    <w:rsid w:val="422E0127"/>
    <w:rsid w:val="42310866"/>
    <w:rsid w:val="423E1C25"/>
    <w:rsid w:val="425A3900"/>
    <w:rsid w:val="427B3E29"/>
    <w:rsid w:val="42905B96"/>
    <w:rsid w:val="4298130E"/>
    <w:rsid w:val="42AE426E"/>
    <w:rsid w:val="42F8373B"/>
    <w:rsid w:val="43387D84"/>
    <w:rsid w:val="436F0017"/>
    <w:rsid w:val="438230E1"/>
    <w:rsid w:val="438E2857"/>
    <w:rsid w:val="4396542E"/>
    <w:rsid w:val="43A87863"/>
    <w:rsid w:val="43CF26EE"/>
    <w:rsid w:val="43D23954"/>
    <w:rsid w:val="43E27BB0"/>
    <w:rsid w:val="43E34896"/>
    <w:rsid w:val="43FA35F7"/>
    <w:rsid w:val="43FF1225"/>
    <w:rsid w:val="440A7BCA"/>
    <w:rsid w:val="44112D07"/>
    <w:rsid w:val="444F7820"/>
    <w:rsid w:val="44562E10"/>
    <w:rsid w:val="44581EC4"/>
    <w:rsid w:val="448A73E4"/>
    <w:rsid w:val="44B91EC5"/>
    <w:rsid w:val="44D50DCD"/>
    <w:rsid w:val="44E67CEF"/>
    <w:rsid w:val="44E73A68"/>
    <w:rsid w:val="44F01836"/>
    <w:rsid w:val="452D5742"/>
    <w:rsid w:val="45533F2D"/>
    <w:rsid w:val="455523D4"/>
    <w:rsid w:val="455B692F"/>
    <w:rsid w:val="456D21BF"/>
    <w:rsid w:val="45AD6A5F"/>
    <w:rsid w:val="45B47DEE"/>
    <w:rsid w:val="45CF6DB3"/>
    <w:rsid w:val="461865CE"/>
    <w:rsid w:val="46492C2C"/>
    <w:rsid w:val="4653381F"/>
    <w:rsid w:val="46734DDC"/>
    <w:rsid w:val="46780E1B"/>
    <w:rsid w:val="46AC5946"/>
    <w:rsid w:val="46B34549"/>
    <w:rsid w:val="46BE2367"/>
    <w:rsid w:val="46E01323"/>
    <w:rsid w:val="474B29D4"/>
    <w:rsid w:val="475353E4"/>
    <w:rsid w:val="47685334"/>
    <w:rsid w:val="479052F0"/>
    <w:rsid w:val="479B006A"/>
    <w:rsid w:val="47A143A2"/>
    <w:rsid w:val="47A455D1"/>
    <w:rsid w:val="47B448F0"/>
    <w:rsid w:val="47D12ED9"/>
    <w:rsid w:val="47D604EF"/>
    <w:rsid w:val="47ED7D50"/>
    <w:rsid w:val="47FB5C11"/>
    <w:rsid w:val="48135632"/>
    <w:rsid w:val="48253225"/>
    <w:rsid w:val="482F3186"/>
    <w:rsid w:val="48592ECE"/>
    <w:rsid w:val="487D4E0F"/>
    <w:rsid w:val="48DB38E3"/>
    <w:rsid w:val="48F0738F"/>
    <w:rsid w:val="48FD1AAC"/>
    <w:rsid w:val="49592CF7"/>
    <w:rsid w:val="496120EC"/>
    <w:rsid w:val="499557A4"/>
    <w:rsid w:val="49AB1913"/>
    <w:rsid w:val="49B6503F"/>
    <w:rsid w:val="49BD484D"/>
    <w:rsid w:val="49EC6155"/>
    <w:rsid w:val="49F32068"/>
    <w:rsid w:val="4A115CF3"/>
    <w:rsid w:val="4A1D2914"/>
    <w:rsid w:val="4A235542"/>
    <w:rsid w:val="4A58343D"/>
    <w:rsid w:val="4A735595"/>
    <w:rsid w:val="4A7A23FB"/>
    <w:rsid w:val="4AB03279"/>
    <w:rsid w:val="4AB83EDC"/>
    <w:rsid w:val="4AC72B94"/>
    <w:rsid w:val="4AD319B0"/>
    <w:rsid w:val="4AFD5D93"/>
    <w:rsid w:val="4B182BCD"/>
    <w:rsid w:val="4B362C2A"/>
    <w:rsid w:val="4B5F25AA"/>
    <w:rsid w:val="4B8D7117"/>
    <w:rsid w:val="4BE07B8E"/>
    <w:rsid w:val="4BED5E07"/>
    <w:rsid w:val="4C043151"/>
    <w:rsid w:val="4C196AA6"/>
    <w:rsid w:val="4C4F6197"/>
    <w:rsid w:val="4C601B1D"/>
    <w:rsid w:val="4C856040"/>
    <w:rsid w:val="4C96209D"/>
    <w:rsid w:val="4CC96874"/>
    <w:rsid w:val="4D0B7AA1"/>
    <w:rsid w:val="4D151722"/>
    <w:rsid w:val="4D4A231F"/>
    <w:rsid w:val="4D536BA4"/>
    <w:rsid w:val="4D5D0D6B"/>
    <w:rsid w:val="4D6D5452"/>
    <w:rsid w:val="4D866514"/>
    <w:rsid w:val="4D8F03FC"/>
    <w:rsid w:val="4DC4703C"/>
    <w:rsid w:val="4E07242C"/>
    <w:rsid w:val="4E0F0B9A"/>
    <w:rsid w:val="4E2E3285"/>
    <w:rsid w:val="4E323135"/>
    <w:rsid w:val="4E686513"/>
    <w:rsid w:val="4E6C5868"/>
    <w:rsid w:val="4E74636C"/>
    <w:rsid w:val="4E832A53"/>
    <w:rsid w:val="4E850579"/>
    <w:rsid w:val="4ED9236E"/>
    <w:rsid w:val="4EE055EC"/>
    <w:rsid w:val="4F1E452A"/>
    <w:rsid w:val="4F1F1E6B"/>
    <w:rsid w:val="4F4F7445"/>
    <w:rsid w:val="4F8E345D"/>
    <w:rsid w:val="4FD56E81"/>
    <w:rsid w:val="4FD65542"/>
    <w:rsid w:val="4FEE214E"/>
    <w:rsid w:val="502A28FA"/>
    <w:rsid w:val="5043765F"/>
    <w:rsid w:val="50575F45"/>
    <w:rsid w:val="505E62E4"/>
    <w:rsid w:val="50B320FA"/>
    <w:rsid w:val="50BE6DE7"/>
    <w:rsid w:val="50C3541E"/>
    <w:rsid w:val="50CC3BD1"/>
    <w:rsid w:val="50CD4459"/>
    <w:rsid w:val="50EF617E"/>
    <w:rsid w:val="51394C2E"/>
    <w:rsid w:val="514A5AAA"/>
    <w:rsid w:val="51656440"/>
    <w:rsid w:val="518E5997"/>
    <w:rsid w:val="51DA6E2E"/>
    <w:rsid w:val="51DF4444"/>
    <w:rsid w:val="51FD2B1C"/>
    <w:rsid w:val="520619D1"/>
    <w:rsid w:val="521074C0"/>
    <w:rsid w:val="525210BA"/>
    <w:rsid w:val="525F47FF"/>
    <w:rsid w:val="52854FEC"/>
    <w:rsid w:val="528D20F2"/>
    <w:rsid w:val="52A26081"/>
    <w:rsid w:val="52BE77B3"/>
    <w:rsid w:val="52E77A54"/>
    <w:rsid w:val="53566867"/>
    <w:rsid w:val="536F71D7"/>
    <w:rsid w:val="5373753A"/>
    <w:rsid w:val="53914C04"/>
    <w:rsid w:val="53954974"/>
    <w:rsid w:val="53BA6F17"/>
    <w:rsid w:val="53BF3ED7"/>
    <w:rsid w:val="5416474D"/>
    <w:rsid w:val="54273E81"/>
    <w:rsid w:val="543E1F56"/>
    <w:rsid w:val="54830B19"/>
    <w:rsid w:val="54942937"/>
    <w:rsid w:val="54A43723"/>
    <w:rsid w:val="54B7390F"/>
    <w:rsid w:val="54CB6F02"/>
    <w:rsid w:val="54F204FA"/>
    <w:rsid w:val="55132319"/>
    <w:rsid w:val="553625CD"/>
    <w:rsid w:val="5539030F"/>
    <w:rsid w:val="555A031F"/>
    <w:rsid w:val="55621614"/>
    <w:rsid w:val="558363DF"/>
    <w:rsid w:val="55915A7C"/>
    <w:rsid w:val="5594755F"/>
    <w:rsid w:val="55AE2AAB"/>
    <w:rsid w:val="55CB0003"/>
    <w:rsid w:val="55F028DC"/>
    <w:rsid w:val="55FD30EB"/>
    <w:rsid w:val="5687388E"/>
    <w:rsid w:val="569A4B00"/>
    <w:rsid w:val="56AD6028"/>
    <w:rsid w:val="56E2065A"/>
    <w:rsid w:val="56E338D3"/>
    <w:rsid w:val="56F97D56"/>
    <w:rsid w:val="56FD47C7"/>
    <w:rsid w:val="572F5526"/>
    <w:rsid w:val="57450C2F"/>
    <w:rsid w:val="575C2093"/>
    <w:rsid w:val="576308DB"/>
    <w:rsid w:val="57666D80"/>
    <w:rsid w:val="579E5E04"/>
    <w:rsid w:val="579F66F9"/>
    <w:rsid w:val="57B516F0"/>
    <w:rsid w:val="57BC0474"/>
    <w:rsid w:val="57C974C9"/>
    <w:rsid w:val="57DA78C0"/>
    <w:rsid w:val="57E275E3"/>
    <w:rsid w:val="57E47724"/>
    <w:rsid w:val="57F02454"/>
    <w:rsid w:val="581666E6"/>
    <w:rsid w:val="58226E39"/>
    <w:rsid w:val="58316012"/>
    <w:rsid w:val="583354EA"/>
    <w:rsid w:val="586E5608"/>
    <w:rsid w:val="58840BF6"/>
    <w:rsid w:val="588A75BA"/>
    <w:rsid w:val="58AA44E6"/>
    <w:rsid w:val="59255664"/>
    <w:rsid w:val="595219A0"/>
    <w:rsid w:val="59701E26"/>
    <w:rsid w:val="598B6C60"/>
    <w:rsid w:val="5991320A"/>
    <w:rsid w:val="59A3044D"/>
    <w:rsid w:val="59ED3476"/>
    <w:rsid w:val="5A0805BE"/>
    <w:rsid w:val="5A360913"/>
    <w:rsid w:val="5A5C2788"/>
    <w:rsid w:val="5A821E11"/>
    <w:rsid w:val="5A9102A6"/>
    <w:rsid w:val="5AC153A5"/>
    <w:rsid w:val="5AC95C92"/>
    <w:rsid w:val="5ACE5819"/>
    <w:rsid w:val="5AFA409D"/>
    <w:rsid w:val="5B0B62AA"/>
    <w:rsid w:val="5B2A7729"/>
    <w:rsid w:val="5B535D1A"/>
    <w:rsid w:val="5B8F0C89"/>
    <w:rsid w:val="5B935C4E"/>
    <w:rsid w:val="5BA313DA"/>
    <w:rsid w:val="5BA65FD3"/>
    <w:rsid w:val="5BAA0324"/>
    <w:rsid w:val="5BC16969"/>
    <w:rsid w:val="5BD3501A"/>
    <w:rsid w:val="5C211DEF"/>
    <w:rsid w:val="5C260EE4"/>
    <w:rsid w:val="5C3B3596"/>
    <w:rsid w:val="5C3D63E1"/>
    <w:rsid w:val="5C793511"/>
    <w:rsid w:val="5C82259C"/>
    <w:rsid w:val="5C82434A"/>
    <w:rsid w:val="5C84127D"/>
    <w:rsid w:val="5CA442C0"/>
    <w:rsid w:val="5CC26E3C"/>
    <w:rsid w:val="5CD32B1A"/>
    <w:rsid w:val="5CDF179C"/>
    <w:rsid w:val="5CE65C3D"/>
    <w:rsid w:val="5D125FB6"/>
    <w:rsid w:val="5D36061C"/>
    <w:rsid w:val="5D3D60D5"/>
    <w:rsid w:val="5D4355F8"/>
    <w:rsid w:val="5D8F6D1E"/>
    <w:rsid w:val="5D9A5C7C"/>
    <w:rsid w:val="5DA84284"/>
    <w:rsid w:val="5DD3710F"/>
    <w:rsid w:val="5DF52F95"/>
    <w:rsid w:val="5DF54CD0"/>
    <w:rsid w:val="5E20206C"/>
    <w:rsid w:val="5E2A6A47"/>
    <w:rsid w:val="5E367223"/>
    <w:rsid w:val="5E596C50"/>
    <w:rsid w:val="5E6737F7"/>
    <w:rsid w:val="5E6A138B"/>
    <w:rsid w:val="5E6A549D"/>
    <w:rsid w:val="5E924C9F"/>
    <w:rsid w:val="5EBC6ECA"/>
    <w:rsid w:val="5ED15115"/>
    <w:rsid w:val="5EDE78C5"/>
    <w:rsid w:val="5EED6B4B"/>
    <w:rsid w:val="5EF61933"/>
    <w:rsid w:val="5EFA466C"/>
    <w:rsid w:val="5EFC3FDE"/>
    <w:rsid w:val="5EFF5519"/>
    <w:rsid w:val="5F2359E1"/>
    <w:rsid w:val="5F2416E8"/>
    <w:rsid w:val="5F50072F"/>
    <w:rsid w:val="5F517C97"/>
    <w:rsid w:val="5F6847A5"/>
    <w:rsid w:val="5FAF3B40"/>
    <w:rsid w:val="60116111"/>
    <w:rsid w:val="601B4E22"/>
    <w:rsid w:val="60235E44"/>
    <w:rsid w:val="60251BBC"/>
    <w:rsid w:val="604858AA"/>
    <w:rsid w:val="605D7F9C"/>
    <w:rsid w:val="607C320C"/>
    <w:rsid w:val="60B50B1F"/>
    <w:rsid w:val="60D07D7A"/>
    <w:rsid w:val="60D64C64"/>
    <w:rsid w:val="6138147B"/>
    <w:rsid w:val="61497B2C"/>
    <w:rsid w:val="614D57CA"/>
    <w:rsid w:val="615362B5"/>
    <w:rsid w:val="617464F3"/>
    <w:rsid w:val="61840B64"/>
    <w:rsid w:val="61C17622"/>
    <w:rsid w:val="61CA2A1B"/>
    <w:rsid w:val="61E433B1"/>
    <w:rsid w:val="61F45B79"/>
    <w:rsid w:val="61F47A98"/>
    <w:rsid w:val="622B7CCC"/>
    <w:rsid w:val="62381C48"/>
    <w:rsid w:val="623F15C0"/>
    <w:rsid w:val="628D3A49"/>
    <w:rsid w:val="629D1EDE"/>
    <w:rsid w:val="629E17B2"/>
    <w:rsid w:val="62BB6808"/>
    <w:rsid w:val="62E55633"/>
    <w:rsid w:val="63021D41"/>
    <w:rsid w:val="630C0E11"/>
    <w:rsid w:val="634964C9"/>
    <w:rsid w:val="635754D0"/>
    <w:rsid w:val="63BA086D"/>
    <w:rsid w:val="64050D4F"/>
    <w:rsid w:val="64063AB3"/>
    <w:rsid w:val="64122457"/>
    <w:rsid w:val="641A254C"/>
    <w:rsid w:val="646D6E0F"/>
    <w:rsid w:val="64750C69"/>
    <w:rsid w:val="64801AB7"/>
    <w:rsid w:val="64CF20F6"/>
    <w:rsid w:val="64E5191A"/>
    <w:rsid w:val="64E93BEF"/>
    <w:rsid w:val="64EC4A56"/>
    <w:rsid w:val="64F642EB"/>
    <w:rsid w:val="65062EC3"/>
    <w:rsid w:val="6518154A"/>
    <w:rsid w:val="651D4188"/>
    <w:rsid w:val="654D7CEA"/>
    <w:rsid w:val="657B6143"/>
    <w:rsid w:val="657E45EB"/>
    <w:rsid w:val="65962C14"/>
    <w:rsid w:val="65A97955"/>
    <w:rsid w:val="65AE61B0"/>
    <w:rsid w:val="662F3849"/>
    <w:rsid w:val="6635242D"/>
    <w:rsid w:val="665A1E94"/>
    <w:rsid w:val="667D0FD4"/>
    <w:rsid w:val="669E7BD0"/>
    <w:rsid w:val="66AF0431"/>
    <w:rsid w:val="66BC2B4E"/>
    <w:rsid w:val="66CA3A4C"/>
    <w:rsid w:val="66D659BE"/>
    <w:rsid w:val="66EC51E2"/>
    <w:rsid w:val="671D13A0"/>
    <w:rsid w:val="672524A2"/>
    <w:rsid w:val="67631FF9"/>
    <w:rsid w:val="67957627"/>
    <w:rsid w:val="67966EFB"/>
    <w:rsid w:val="67F92022"/>
    <w:rsid w:val="680D7442"/>
    <w:rsid w:val="681349F0"/>
    <w:rsid w:val="682409AB"/>
    <w:rsid w:val="68953657"/>
    <w:rsid w:val="68A125DD"/>
    <w:rsid w:val="68D45F2D"/>
    <w:rsid w:val="691B3B5C"/>
    <w:rsid w:val="69290B91"/>
    <w:rsid w:val="696D1EDE"/>
    <w:rsid w:val="69766FE4"/>
    <w:rsid w:val="699D0A15"/>
    <w:rsid w:val="69AA4B49"/>
    <w:rsid w:val="69BD5B76"/>
    <w:rsid w:val="69DA217A"/>
    <w:rsid w:val="69E4426C"/>
    <w:rsid w:val="69F36887"/>
    <w:rsid w:val="69FC1E0A"/>
    <w:rsid w:val="6A03057B"/>
    <w:rsid w:val="6A164324"/>
    <w:rsid w:val="6A372C18"/>
    <w:rsid w:val="6A530054"/>
    <w:rsid w:val="6A5946B7"/>
    <w:rsid w:val="6AAA163C"/>
    <w:rsid w:val="6AAA7D24"/>
    <w:rsid w:val="6AF64E23"/>
    <w:rsid w:val="6AFC5C0F"/>
    <w:rsid w:val="6B267B8C"/>
    <w:rsid w:val="6B303BD2"/>
    <w:rsid w:val="6B533A81"/>
    <w:rsid w:val="6B657FAD"/>
    <w:rsid w:val="6B6A4927"/>
    <w:rsid w:val="6B846399"/>
    <w:rsid w:val="6BA936A1"/>
    <w:rsid w:val="6BD76A04"/>
    <w:rsid w:val="6BD85602"/>
    <w:rsid w:val="6BDD0871"/>
    <w:rsid w:val="6C0472D8"/>
    <w:rsid w:val="6C103720"/>
    <w:rsid w:val="6C605FED"/>
    <w:rsid w:val="6C697A79"/>
    <w:rsid w:val="6C7A503E"/>
    <w:rsid w:val="6C9C4FB4"/>
    <w:rsid w:val="6CA02C98"/>
    <w:rsid w:val="6CF74C85"/>
    <w:rsid w:val="6D194857"/>
    <w:rsid w:val="6D401DE3"/>
    <w:rsid w:val="6D463172"/>
    <w:rsid w:val="6D934609"/>
    <w:rsid w:val="6DB23417"/>
    <w:rsid w:val="6DB327B5"/>
    <w:rsid w:val="6DD43CBA"/>
    <w:rsid w:val="6DDA24CA"/>
    <w:rsid w:val="6E1F7C4B"/>
    <w:rsid w:val="6E364F94"/>
    <w:rsid w:val="6ECE17D3"/>
    <w:rsid w:val="6ED70525"/>
    <w:rsid w:val="6F1C3334"/>
    <w:rsid w:val="6F2B6AC3"/>
    <w:rsid w:val="6F4436E1"/>
    <w:rsid w:val="6F5A4F08"/>
    <w:rsid w:val="6F9C5C9C"/>
    <w:rsid w:val="6FCC3C6E"/>
    <w:rsid w:val="6FE0340A"/>
    <w:rsid w:val="6FF869A5"/>
    <w:rsid w:val="700F0311"/>
    <w:rsid w:val="70201246"/>
    <w:rsid w:val="70320200"/>
    <w:rsid w:val="704020FA"/>
    <w:rsid w:val="70710506"/>
    <w:rsid w:val="707133B5"/>
    <w:rsid w:val="7080196A"/>
    <w:rsid w:val="709A7A5C"/>
    <w:rsid w:val="70AC7718"/>
    <w:rsid w:val="70B1066E"/>
    <w:rsid w:val="70DC1E23"/>
    <w:rsid w:val="70DF5DB7"/>
    <w:rsid w:val="71042289"/>
    <w:rsid w:val="71091A03"/>
    <w:rsid w:val="713B244B"/>
    <w:rsid w:val="714479C8"/>
    <w:rsid w:val="717007BD"/>
    <w:rsid w:val="71A10E2B"/>
    <w:rsid w:val="71A92189"/>
    <w:rsid w:val="71D451F0"/>
    <w:rsid w:val="71D473EF"/>
    <w:rsid w:val="71E82A49"/>
    <w:rsid w:val="71F31B1A"/>
    <w:rsid w:val="71FD5C00"/>
    <w:rsid w:val="721101F2"/>
    <w:rsid w:val="722F68CA"/>
    <w:rsid w:val="724C4072"/>
    <w:rsid w:val="7281019A"/>
    <w:rsid w:val="728F1117"/>
    <w:rsid w:val="72953091"/>
    <w:rsid w:val="72BF19FC"/>
    <w:rsid w:val="72DF5BFA"/>
    <w:rsid w:val="72E31F50"/>
    <w:rsid w:val="72E84901"/>
    <w:rsid w:val="72F21F81"/>
    <w:rsid w:val="72F7510E"/>
    <w:rsid w:val="73116800"/>
    <w:rsid w:val="73705D98"/>
    <w:rsid w:val="738A0B87"/>
    <w:rsid w:val="73B057E9"/>
    <w:rsid w:val="73B548E7"/>
    <w:rsid w:val="73CE1987"/>
    <w:rsid w:val="740B04E1"/>
    <w:rsid w:val="74100F6E"/>
    <w:rsid w:val="742064CB"/>
    <w:rsid w:val="742A559B"/>
    <w:rsid w:val="74384AB6"/>
    <w:rsid w:val="744523D5"/>
    <w:rsid w:val="745002BA"/>
    <w:rsid w:val="748F1ECD"/>
    <w:rsid w:val="74D15A17"/>
    <w:rsid w:val="74D177C5"/>
    <w:rsid w:val="74E6183A"/>
    <w:rsid w:val="75165D7D"/>
    <w:rsid w:val="754E7067"/>
    <w:rsid w:val="7564688B"/>
    <w:rsid w:val="75907968"/>
    <w:rsid w:val="75A760AB"/>
    <w:rsid w:val="75C8506C"/>
    <w:rsid w:val="75CB690A"/>
    <w:rsid w:val="75D716AE"/>
    <w:rsid w:val="75DB0F68"/>
    <w:rsid w:val="75DC127C"/>
    <w:rsid w:val="75E33C54"/>
    <w:rsid w:val="762A1A08"/>
    <w:rsid w:val="762A44F2"/>
    <w:rsid w:val="76484031"/>
    <w:rsid w:val="76686AC8"/>
    <w:rsid w:val="76764AC8"/>
    <w:rsid w:val="76880357"/>
    <w:rsid w:val="76B146D8"/>
    <w:rsid w:val="76B45779"/>
    <w:rsid w:val="76C70E7F"/>
    <w:rsid w:val="76E15749"/>
    <w:rsid w:val="76E67B05"/>
    <w:rsid w:val="771E3409"/>
    <w:rsid w:val="774676CF"/>
    <w:rsid w:val="774C5829"/>
    <w:rsid w:val="77524C79"/>
    <w:rsid w:val="7757693D"/>
    <w:rsid w:val="776209F2"/>
    <w:rsid w:val="779D4BE0"/>
    <w:rsid w:val="77B21B30"/>
    <w:rsid w:val="77BF05BB"/>
    <w:rsid w:val="78596547"/>
    <w:rsid w:val="78743289"/>
    <w:rsid w:val="789C633C"/>
    <w:rsid w:val="78B24F5D"/>
    <w:rsid w:val="78E3111F"/>
    <w:rsid w:val="79200C4B"/>
    <w:rsid w:val="797955D3"/>
    <w:rsid w:val="798D4602"/>
    <w:rsid w:val="79A61220"/>
    <w:rsid w:val="79BE1CAB"/>
    <w:rsid w:val="79C13788"/>
    <w:rsid w:val="79C45B4A"/>
    <w:rsid w:val="79DC10E6"/>
    <w:rsid w:val="79FE105C"/>
    <w:rsid w:val="7A3F0262"/>
    <w:rsid w:val="7A5B776F"/>
    <w:rsid w:val="7A6F1F5A"/>
    <w:rsid w:val="7A811C8D"/>
    <w:rsid w:val="7A9609AA"/>
    <w:rsid w:val="7AB21E46"/>
    <w:rsid w:val="7B1E128A"/>
    <w:rsid w:val="7B322A32"/>
    <w:rsid w:val="7B385484"/>
    <w:rsid w:val="7B3B2540"/>
    <w:rsid w:val="7B63258C"/>
    <w:rsid w:val="7B6770D5"/>
    <w:rsid w:val="7B7B1B66"/>
    <w:rsid w:val="7B8F585A"/>
    <w:rsid w:val="7BB120FE"/>
    <w:rsid w:val="7BE82394"/>
    <w:rsid w:val="7C001F2C"/>
    <w:rsid w:val="7C1136B0"/>
    <w:rsid w:val="7C4D6A81"/>
    <w:rsid w:val="7C5807CC"/>
    <w:rsid w:val="7C5C02BC"/>
    <w:rsid w:val="7C623C46"/>
    <w:rsid w:val="7C727ADF"/>
    <w:rsid w:val="7C772BB5"/>
    <w:rsid w:val="7C8A4997"/>
    <w:rsid w:val="7CAA1027"/>
    <w:rsid w:val="7CF11B3F"/>
    <w:rsid w:val="7D1312C2"/>
    <w:rsid w:val="7D456FA2"/>
    <w:rsid w:val="7D741635"/>
    <w:rsid w:val="7D87580C"/>
    <w:rsid w:val="7D9056B7"/>
    <w:rsid w:val="7DA912DF"/>
    <w:rsid w:val="7DD83ADC"/>
    <w:rsid w:val="7DDD6497"/>
    <w:rsid w:val="7DFA0FA7"/>
    <w:rsid w:val="7E252C7E"/>
    <w:rsid w:val="7E3C2A2D"/>
    <w:rsid w:val="7E3D5A87"/>
    <w:rsid w:val="7E3E1B66"/>
    <w:rsid w:val="7E71385C"/>
    <w:rsid w:val="7E891C46"/>
    <w:rsid w:val="7ECC2AE8"/>
    <w:rsid w:val="7EE859D6"/>
    <w:rsid w:val="7F0C5FC9"/>
    <w:rsid w:val="7F3B6D7B"/>
    <w:rsid w:val="7F7D04DF"/>
    <w:rsid w:val="7FBD5515"/>
    <w:rsid w:val="7FBF128D"/>
    <w:rsid w:val="7FCB5E84"/>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paragraph" w:styleId="6">
    <w:name w:val="heading 4"/>
    <w:basedOn w:val="1"/>
    <w:next w:val="1"/>
    <w:semiHidden/>
    <w:unhideWhenUsed/>
    <w:qFormat/>
    <w:uiPriority w:val="9"/>
    <w:pPr>
      <w:keepNext/>
      <w:spacing w:line="440" w:lineRule="exact"/>
      <w:jc w:val="center"/>
      <w:outlineLvl w:val="3"/>
    </w:pPr>
    <w:rPr>
      <w:rFonts w:ascii="仿宋_GB2312" w:eastAsia="仿宋_GB231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wang正文"/>
    <w:basedOn w:val="1"/>
    <w:qFormat/>
    <w:uiPriority w:val="0"/>
    <w:pPr>
      <w:tabs>
        <w:tab w:val="left" w:pos="6840"/>
      </w:tabs>
      <w:topLinePunct/>
      <w:ind w:firstLine="420"/>
    </w:pPr>
    <w:rPr>
      <w:kern w:val="0"/>
      <w:szCs w:val="20"/>
    </w:rPr>
  </w:style>
  <w:style w:type="paragraph" w:styleId="7">
    <w:name w:val="index 8"/>
    <w:basedOn w:val="1"/>
    <w:next w:val="1"/>
    <w:qFormat/>
    <w:uiPriority w:val="0"/>
    <w:pPr>
      <w:ind w:left="1400" w:leftChars="1400"/>
    </w:pPr>
  </w:style>
  <w:style w:type="paragraph" w:styleId="8">
    <w:name w:val="Normal Indent"/>
    <w:basedOn w:val="1"/>
    <w:qFormat/>
    <w:uiPriority w:val="0"/>
    <w:pPr>
      <w:ind w:firstLine="200" w:firstLineChars="200"/>
    </w:pPr>
  </w:style>
  <w:style w:type="paragraph" w:styleId="9">
    <w:name w:val="Body Text"/>
    <w:basedOn w:val="1"/>
    <w:qFormat/>
    <w:uiPriority w:val="0"/>
  </w:style>
  <w:style w:type="paragraph" w:styleId="10">
    <w:name w:val="Body Text Indent"/>
    <w:basedOn w:val="1"/>
    <w:qFormat/>
    <w:uiPriority w:val="0"/>
    <w:pPr>
      <w:spacing w:after="120"/>
      <w:ind w:left="200" w:leftChars="200"/>
    </w:p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tabs>
        <w:tab w:val="left" w:pos="1140"/>
      </w:tabs>
      <w:ind w:firstLine="200" w:firstLineChars="200"/>
    </w:pPr>
    <w:rPr>
      <w:sz w:val="28"/>
      <w:szCs w:val="20"/>
    </w:rPr>
  </w:style>
  <w:style w:type="paragraph" w:styleId="13">
    <w:name w:val="footer"/>
    <w:basedOn w:val="1"/>
    <w:qFormat/>
    <w:uiPriority w:val="0"/>
    <w:pPr>
      <w:tabs>
        <w:tab w:val="center" w:pos="4153"/>
        <w:tab w:val="right" w:pos="8306"/>
      </w:tabs>
    </w:pPr>
    <w:rPr>
      <w:sz w:val="18"/>
    </w:rPr>
  </w:style>
  <w:style w:type="paragraph" w:styleId="14">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UserStyle_1"/>
    <w:basedOn w:val="1"/>
    <w:next w:val="1"/>
    <w:qFormat/>
    <w:uiPriority w:val="0"/>
    <w:pPr>
      <w:widowControl/>
      <w:spacing w:before="200" w:after="160"/>
      <w:ind w:left="864" w:right="864"/>
      <w:jc w:val="center"/>
      <w:textAlignment w:val="baseline"/>
    </w:pPr>
    <w:rPr>
      <w:rFonts w:ascii="宋体" w:hAnsi="Times New Roman" w:eastAsia="宋体"/>
      <w:i/>
      <w:color w:val="404040"/>
      <w:kern w:val="2"/>
      <w:sz w:val="28"/>
      <w:szCs w:val="21"/>
      <w:lang w:val="en-US" w:eastAsia="zh-CN" w:bidi="ar-SA"/>
    </w:rPr>
  </w:style>
  <w:style w:type="paragraph" w:styleId="16">
    <w:name w:val="toc 1"/>
    <w:basedOn w:val="1"/>
    <w:next w:val="1"/>
    <w:qFormat/>
    <w:uiPriority w:val="0"/>
  </w:style>
  <w:style w:type="paragraph" w:styleId="17">
    <w:name w:val="Body Text First Indent 2"/>
    <w:basedOn w:val="10"/>
    <w:qFormat/>
    <w:uiPriority w:val="0"/>
    <w:pPr>
      <w:ind w:firstLine="20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UserStyle_0"/>
    <w:basedOn w:val="1"/>
    <w:next w:val="14"/>
    <w:qFormat/>
    <w:uiPriority w:val="0"/>
    <w:pPr>
      <w:spacing w:after="120"/>
      <w:jc w:val="both"/>
      <w:textAlignment w:val="baseline"/>
    </w:pPr>
    <w:rPr>
      <w:rFonts w:ascii="Times New Roman" w:hAnsi="Times New Roman" w:eastAsia="宋体"/>
      <w:kern w:val="0"/>
      <w:sz w:val="21"/>
      <w:szCs w:val="21"/>
      <w:lang w:val="en-US" w:eastAsia="zh-CN" w:bidi="ar-SA"/>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Table Text"/>
    <w:basedOn w:val="1"/>
    <w:qFormat/>
    <w:uiPriority w:val="0"/>
    <w:rPr>
      <w:rFonts w:ascii="宋体" w:eastAsia="宋体" w:cs="宋体"/>
      <w:sz w:val="19"/>
      <w:szCs w:val="19"/>
    </w:rPr>
  </w:style>
  <w:style w:type="paragraph" w:customStyle="1" w:styleId="28">
    <w:name w:val="Table Paragraph"/>
    <w:basedOn w:val="1"/>
    <w:qFormat/>
    <w:uiPriority w:val="0"/>
    <w:rPr>
      <w:rFonts w:ascii="楷体" w:eastAsia="楷体" w:cs="楷体"/>
      <w:lang w:val="zh-CN" w:eastAsia="zh-CN" w:bidi="zh-CN"/>
    </w:rPr>
  </w:style>
  <w:style w:type="paragraph" w:customStyle="1" w:styleId="29">
    <w:name w:val="列表段落1"/>
    <w:basedOn w:val="1"/>
    <w:qFormat/>
    <w:uiPriority w:val="0"/>
    <w:pPr>
      <w:ind w:firstLine="200" w:firstLineChars="200"/>
    </w:pPr>
  </w:style>
  <w:style w:type="paragraph" w:customStyle="1" w:styleId="30">
    <w:name w:val="普通(网站)1"/>
    <w:basedOn w:val="1"/>
    <w:qFormat/>
    <w:uiPriority w:val="0"/>
    <w:pPr>
      <w:spacing w:before="100" w:after="100"/>
    </w:pPr>
    <w:rPr>
      <w:rFonts w:ascii="Arial Unicode MS" w:eastAsia="Arial Unicode MS" w:cs="Arial Unicode MS"/>
      <w:sz w:val="24"/>
    </w:rPr>
  </w:style>
  <w:style w:type="paragraph" w:customStyle="1" w:styleId="31">
    <w:name w:val="样式 首行缩进:  2 字符"/>
    <w:basedOn w:val="1"/>
    <w:qFormat/>
    <w:uiPriority w:val="0"/>
    <w:pPr>
      <w:ind w:firstLine="200" w:firstLineChars="200"/>
    </w:pPr>
    <w:rPr>
      <w:rFonts w:ascii="宋体" w:hAnsi="宋体"/>
      <w:sz w:val="32"/>
      <w:szCs w:val="32"/>
    </w:rPr>
  </w:style>
  <w:style w:type="paragraph" w:customStyle="1" w:styleId="32">
    <w:name w:val="引文目录标题1"/>
    <w:basedOn w:val="1"/>
    <w:next w:val="1"/>
    <w:qFormat/>
    <w:uiPriority w:val="0"/>
    <w:pPr>
      <w:spacing w:before="120"/>
    </w:pPr>
  </w:style>
  <w:style w:type="paragraph" w:customStyle="1" w:styleId="33">
    <w:name w:val="列出段落1"/>
    <w:basedOn w:val="1"/>
    <w:qFormat/>
    <w:uiPriority w:val="0"/>
    <w:pPr>
      <w:ind w:firstLine="420" w:firstLineChars="200"/>
    </w:pPr>
    <w:rPr>
      <w:szCs w:val="21"/>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null5"/>
    <w:hidden/>
    <w:qFormat/>
    <w:uiPriority w:val="0"/>
    <w:rPr>
      <w:rFonts w:hint="eastAsia" w:asciiTheme="minorHAnsi" w:hAnsiTheme="minorHAnsi" w:eastAsiaTheme="minorEastAsia" w:cstheme="minorBidi"/>
      <w:lang w:val="en-US" w:eastAsia="zh-CN"/>
    </w:rPr>
  </w:style>
  <w:style w:type="paragraph" w:customStyle="1" w:styleId="3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8752</Words>
  <Characters>9276</Characters>
  <Lines>185</Lines>
  <Paragraphs>52</Paragraphs>
  <TotalTime>7</TotalTime>
  <ScaleCrop>false</ScaleCrop>
  <LinksUpToDate>false</LinksUpToDate>
  <CharactersWithSpaces>9382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2024-04-16T23:11:00Z</dcterms:created>
  <dc:creator>崔 旺</dc:creator>
  <cp:lastModifiedBy>stj</cp:lastModifiedBy>
  <dcterms:modified xsi:type="dcterms:W3CDTF">2025-07-07T18:44:14Z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2024-04-15T16:00:00Z</vt:filetime>
  </property>
  <property fmtid="{D5CDD505-2E9C-101B-9397-08002B2CF9AE}" pid="4" name="KSOProductBuildVer">
    <vt:lpwstr>2052-11.8.2.10458</vt:lpwstr>
  </property>
  <property fmtid="{D5CDD505-2E9C-101B-9397-08002B2CF9AE}" pid="5" name="ICV">
    <vt:lpwstr>F31900EF41EC44EE898FAAC7358F208B_13</vt:lpwstr>
  </property>
  <property fmtid="{D5CDD505-2E9C-101B-9397-08002B2CF9AE}" pid="6" name="KSOTemplateDocerSaveRecord">
    <vt:lpwstr>eyJoZGlkIjoiYmY1OTFlNzdjODNkOGJhZmEwOWNmZjRmMjdmMGIxYTUiLCJ1c2VySWQiOiI3MDQ1NzkyODYifQ==</vt:lpwstr>
  </property>
</Properties>
</file>