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360" w:lineRule="auto"/>
        <w:ind w:firstLine="480" w:firstLineChars="200"/>
        <w:rPr>
          <w:rFonts w:ascii="宋体" w:eastAsia="宋体" w:cs="宋体"/>
          <w:color w:val="auto"/>
          <w:sz w:val="24"/>
          <w:szCs w:val="24"/>
        </w:rPr>
      </w:pPr>
    </w:p>
    <w:p>
      <w:pPr>
        <w:kinsoku/>
        <w:spacing w:line="360" w:lineRule="auto"/>
        <w:jc w:val="center"/>
        <w:rPr>
          <w:rFonts w:ascii="宋体" w:eastAsia="宋体" w:cs="宋体"/>
          <w:b/>
          <w:bCs/>
          <w:color w:val="auto"/>
          <w:sz w:val="48"/>
          <w:szCs w:val="48"/>
          <w:lang w:eastAsia="zh-CN"/>
        </w:rPr>
      </w:pPr>
    </w:p>
    <w:p>
      <w:pPr>
        <w:kinsoku/>
        <w:jc w:val="center"/>
        <w:rPr>
          <w:rFonts w:hint="eastAsia" w:ascii="宋体" w:eastAsia="宋体" w:cs="宋体"/>
          <w:color w:val="auto"/>
          <w:sz w:val="48"/>
          <w:szCs w:val="48"/>
          <w:lang w:eastAsia="zh-CN"/>
        </w:rPr>
      </w:pPr>
      <w:r>
        <w:rPr>
          <w:rFonts w:hint="eastAsia" w:ascii="宋体" w:eastAsia="宋体" w:cs="宋体"/>
          <w:color w:val="auto"/>
          <w:sz w:val="48"/>
          <w:szCs w:val="48"/>
          <w:lang w:eastAsia="zh-CN"/>
        </w:rPr>
        <w:t>赤峰市生态环境监控中心资产清查及</w:t>
      </w:r>
    </w:p>
    <w:p>
      <w:pPr>
        <w:kinsoku/>
        <w:jc w:val="center"/>
        <w:rPr>
          <w:rFonts w:ascii="宋体" w:eastAsia="宋体" w:cs="宋体"/>
          <w:color w:val="auto"/>
          <w:sz w:val="28"/>
          <w:szCs w:val="28"/>
          <w:lang w:eastAsia="zh-CN"/>
        </w:rPr>
      </w:pPr>
      <w:r>
        <w:rPr>
          <w:rFonts w:hint="eastAsia" w:ascii="宋体" w:eastAsia="宋体" w:cs="宋体"/>
          <w:color w:val="auto"/>
          <w:sz w:val="48"/>
          <w:szCs w:val="48"/>
          <w:lang w:eastAsia="zh-CN"/>
        </w:rPr>
        <w:t>项目盘点项目</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pStyle w:val="15"/>
        <w:rPr>
          <w:color w:val="auto"/>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48"/>
          <w:szCs w:val="48"/>
          <w:lang w:eastAsia="zh-CN"/>
        </w:rPr>
        <w:t>竞争性磋商文件</w:t>
      </w:r>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8"/>
          <w:szCs w:val="28"/>
          <w:lang w:eastAsia="zh-CN"/>
        </w:rPr>
        <w:t>项目编号：NMGHY26C-2026FW-01</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pStyle w:val="15"/>
        <w:rPr>
          <w:rFonts w:ascii="宋体" w:eastAsia="宋体" w:cs="宋体"/>
          <w:color w:val="auto"/>
          <w:sz w:val="24"/>
          <w:szCs w:val="24"/>
          <w:lang w:eastAsia="zh-CN"/>
        </w:rPr>
      </w:pPr>
    </w:p>
    <w:p>
      <w:pPr>
        <w:rPr>
          <w:color w:val="auto"/>
          <w:lang w:eastAsia="zh-CN"/>
        </w:rPr>
      </w:pPr>
    </w:p>
    <w:p>
      <w:pPr>
        <w:pStyle w:val="2"/>
        <w:rPr>
          <w:color w:val="auto"/>
          <w:lang w:eastAsia="zh-CN"/>
        </w:rPr>
      </w:pPr>
    </w:p>
    <w:p>
      <w:pPr>
        <w:pStyle w:val="3"/>
        <w:rPr>
          <w:color w:val="auto"/>
          <w:lang w:eastAsia="zh-CN"/>
        </w:rPr>
      </w:pPr>
    </w:p>
    <w:p>
      <w:pPr>
        <w:pStyle w:val="4"/>
        <w:rPr>
          <w:color w:val="auto"/>
          <w:lang w:eastAsia="zh-CN"/>
        </w:rPr>
      </w:pPr>
    </w:p>
    <w:p>
      <w:pPr>
        <w:rPr>
          <w:lang w:eastAsia="zh-CN"/>
        </w:rPr>
      </w:pPr>
    </w:p>
    <w:p>
      <w:pPr>
        <w:kinsoku/>
        <w:spacing w:line="360" w:lineRule="auto"/>
        <w:jc w:val="center"/>
        <w:rPr>
          <w:rFonts w:ascii="宋体" w:eastAsia="宋体" w:cs="宋体"/>
          <w:color w:val="auto"/>
          <w:sz w:val="28"/>
          <w:szCs w:val="28"/>
          <w:lang w:eastAsia="zh-CN"/>
        </w:rPr>
      </w:pPr>
      <w:r>
        <w:rPr>
          <w:rFonts w:hint="eastAsia" w:ascii="宋体" w:eastAsia="宋体" w:cs="宋体"/>
          <w:color w:val="auto"/>
          <w:sz w:val="28"/>
          <w:szCs w:val="28"/>
          <w:lang w:eastAsia="zh-CN"/>
        </w:rPr>
        <w:t>采购单位名称：赤峰市生态环境监控中心</w:t>
      </w:r>
    </w:p>
    <w:p>
      <w:pPr>
        <w:kinsoku/>
        <w:spacing w:line="360" w:lineRule="auto"/>
        <w:jc w:val="center"/>
        <w:rPr>
          <w:rFonts w:ascii="宋体" w:eastAsia="宋体" w:cs="宋体"/>
          <w:color w:val="auto"/>
          <w:sz w:val="28"/>
          <w:szCs w:val="28"/>
          <w:lang w:eastAsia="zh-CN"/>
        </w:rPr>
      </w:pPr>
      <w:r>
        <w:rPr>
          <w:rFonts w:hint="eastAsia" w:ascii="宋体" w:eastAsia="宋体" w:cs="宋体"/>
          <w:color w:val="auto"/>
          <w:sz w:val="28"/>
          <w:szCs w:val="28"/>
          <w:lang w:eastAsia="zh-CN"/>
        </w:rPr>
        <w:t>代理机构名称：内蒙古灏越项目管理有限公司</w:t>
      </w:r>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8"/>
          <w:szCs w:val="28"/>
          <w:lang w:eastAsia="zh-CN"/>
        </w:rPr>
        <w:t>二○二六年四月</w:t>
      </w:r>
    </w:p>
    <w:p>
      <w:pPr>
        <w:kinsoku/>
        <w:spacing w:line="360" w:lineRule="auto"/>
        <w:ind w:firstLine="480" w:firstLineChars="200"/>
        <w:rPr>
          <w:rFonts w:ascii="宋体" w:eastAsia="宋体" w:cs="宋体"/>
          <w:color w:val="auto"/>
          <w:sz w:val="24"/>
          <w:szCs w:val="24"/>
          <w:lang w:eastAsia="zh-CN"/>
        </w:rPr>
        <w:sectPr>
          <w:headerReference r:id="rId3" w:type="default"/>
          <w:pgSz w:w="11906" w:h="16838"/>
          <w:pgMar w:top="1440" w:right="1080" w:bottom="1440" w:left="1080" w:header="0" w:footer="850" w:gutter="0"/>
          <w:cols w:space="0" w:num="1"/>
          <w:docGrid w:linePitch="312" w:charSpace="0"/>
        </w:sectPr>
      </w:pPr>
    </w:p>
    <w:sdt>
      <w:sdtPr>
        <w:rPr>
          <w:rFonts w:ascii="宋体" w:hAnsi="宋体" w:eastAsia="宋体"/>
          <w:b/>
          <w:bCs/>
          <w:sz w:val="24"/>
          <w:szCs w:val="24"/>
        </w:rPr>
        <w:id w:val="147454594"/>
        <w15:color w:val="DBDBDB"/>
        <w:docPartObj>
          <w:docPartGallery w:val="Table of Contents"/>
          <w:docPartUnique/>
        </w:docPartObj>
      </w:sdtPr>
      <w:sdtEndPr>
        <w:rPr>
          <w:rFonts w:ascii="宋体" w:hAnsi="宋体" w:eastAsia="宋体"/>
          <w:b/>
          <w:bCs/>
          <w:sz w:val="24"/>
          <w:szCs w:val="24"/>
        </w:rPr>
      </w:sdtEndPr>
      <w:sdtContent>
        <w:p>
          <w:pPr>
            <w:jc w:val="center"/>
            <w:rPr>
              <w:b/>
              <w:bCs/>
              <w:sz w:val="24"/>
              <w:szCs w:val="24"/>
            </w:rPr>
          </w:pPr>
          <w:r>
            <w:rPr>
              <w:rFonts w:ascii="宋体" w:hAnsi="宋体" w:eastAsia="宋体"/>
              <w:b/>
              <w:bCs/>
              <w:sz w:val="24"/>
              <w:szCs w:val="24"/>
            </w:rPr>
            <w:t>目录</w:t>
          </w:r>
        </w:p>
        <w:p>
          <w:pPr>
            <w:pStyle w:val="15"/>
            <w:tabs>
              <w:tab w:val="right" w:leader="dot" w:pos="9746"/>
            </w:tabs>
          </w:pPr>
          <w:r>
            <w:fldChar w:fldCharType="begin"/>
          </w:r>
          <w:r>
            <w:instrText xml:space="preserve">TOC \o "1-2" \h \u </w:instrText>
          </w:r>
          <w:r>
            <w:fldChar w:fldCharType="separate"/>
          </w:r>
          <w:r>
            <w:fldChar w:fldCharType="begin"/>
          </w:r>
          <w:r>
            <w:instrText xml:space="preserve"> HYPERLINK \l "_Toc2173" </w:instrText>
          </w:r>
          <w:r>
            <w:fldChar w:fldCharType="separate"/>
          </w:r>
          <w:r>
            <w:rPr>
              <w:rFonts w:hint="eastAsia" w:ascii="宋体" w:eastAsia="宋体" w:cs="宋体"/>
              <w:bCs/>
              <w:szCs w:val="28"/>
              <w:lang w:eastAsia="zh-CN"/>
            </w:rPr>
            <w:t>第一章  磋商邀请</w:t>
          </w:r>
          <w:r>
            <w:tab/>
          </w:r>
          <w:r>
            <w:fldChar w:fldCharType="begin"/>
          </w:r>
          <w:r>
            <w:instrText xml:space="preserve"> PAGEREF _Toc2173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"_Toc16859" </w:instrText>
          </w:r>
          <w:r>
            <w:fldChar w:fldCharType="separate"/>
          </w:r>
          <w:r>
            <w:rPr>
              <w:rFonts w:hint="eastAsia" w:ascii="宋体" w:eastAsia="宋体" w:cs="宋体"/>
              <w:bCs/>
              <w:szCs w:val="24"/>
              <w:lang w:eastAsia="zh-CN"/>
            </w:rPr>
            <w:t>一、项目概述</w:t>
          </w:r>
          <w:r>
            <w:tab/>
          </w:r>
          <w:r>
            <w:fldChar w:fldCharType="begin"/>
          </w:r>
          <w:r>
            <w:instrText xml:space="preserve"> PAGEREF _Toc16859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"_Toc1174" </w:instrText>
          </w:r>
          <w:r>
            <w:fldChar w:fldCharType="separate"/>
          </w:r>
          <w:r>
            <w:rPr>
              <w:rFonts w:hint="eastAsia" w:ascii="宋体" w:eastAsia="宋体" w:cs="宋体"/>
              <w:bCs/>
              <w:szCs w:val="24"/>
            </w:rPr>
            <w:t>二、供应商的资格要求</w:t>
          </w:r>
          <w:r>
            <w:tab/>
          </w:r>
          <w:r>
            <w:fldChar w:fldCharType="begin"/>
          </w:r>
          <w:r>
            <w:instrText xml:space="preserve"> PAGEREF _Toc1174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"_Toc9686" </w:instrText>
          </w:r>
          <w:r>
            <w:fldChar w:fldCharType="separate"/>
          </w:r>
          <w:r>
            <w:rPr>
              <w:rFonts w:hint="eastAsia" w:ascii="宋体" w:eastAsia="宋体" w:cs="宋体"/>
              <w:bCs/>
              <w:szCs w:val="24"/>
              <w:lang w:eastAsia="zh-CN"/>
            </w:rPr>
            <w:t>三、获取磋商文件的时间、地点、方式</w:t>
          </w:r>
          <w:r>
            <w:tab/>
          </w:r>
          <w:r>
            <w:fldChar w:fldCharType="begin"/>
          </w:r>
          <w:r>
            <w:instrText xml:space="preserve"> PAGEREF _Toc9686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"_Toc9200" </w:instrText>
          </w:r>
          <w:r>
            <w:fldChar w:fldCharType="separate"/>
          </w:r>
          <w:r>
            <w:rPr>
              <w:rFonts w:hint="eastAsia" w:ascii="宋体" w:eastAsia="宋体" w:cs="宋体"/>
              <w:bCs/>
              <w:szCs w:val="24"/>
              <w:lang w:eastAsia="zh-CN"/>
            </w:rPr>
            <w:t>四、磋商文件售价</w:t>
          </w:r>
          <w:r>
            <w:tab/>
          </w:r>
          <w:r>
            <w:fldChar w:fldCharType="begin"/>
          </w:r>
          <w:r>
            <w:instrText xml:space="preserve"> PAGEREF _Toc9200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"_Toc27010" </w:instrText>
          </w:r>
          <w:r>
            <w:fldChar w:fldCharType="separate"/>
          </w:r>
          <w:r>
            <w:rPr>
              <w:rFonts w:hint="eastAsia" w:ascii="宋体" w:eastAsia="宋体" w:cs="宋体"/>
              <w:bCs/>
              <w:szCs w:val="24"/>
              <w:lang w:eastAsia="zh-CN"/>
            </w:rPr>
            <w:t>五、响应文件提交的截止时间、开启时间和地点</w:t>
          </w:r>
          <w:r>
            <w:tab/>
          </w:r>
          <w:r>
            <w:fldChar w:fldCharType="begin"/>
          </w:r>
          <w:r>
            <w:instrText xml:space="preserve"> PAGEREF _Toc27010 \h </w:instrText>
          </w:r>
          <w:r>
            <w:fldChar w:fldCharType="separate"/>
          </w:r>
          <w:r>
            <w:t>1</w:t>
          </w:r>
          <w:r>
            <w:fldChar w:fldCharType="end"/>
          </w:r>
          <w:r>
            <w:fldChar w:fldCharType="end"/>
          </w:r>
        </w:p>
        <w:p>
          <w:pPr>
            <w:pStyle w:val="16"/>
            <w:tabs>
              <w:tab w:val="right" w:leader="dot" w:pos="9746"/>
            </w:tabs>
          </w:pPr>
          <w:r>
            <w:fldChar w:fldCharType="begin"/>
          </w:r>
          <w:r>
            <w:instrText xml:space="preserve"> HYPERLINK \l "_Toc26845" </w:instrText>
          </w:r>
          <w:r>
            <w:fldChar w:fldCharType="separate"/>
          </w:r>
          <w:r>
            <w:rPr>
              <w:rFonts w:hint="eastAsia" w:ascii="宋体" w:eastAsia="宋体" w:cs="宋体"/>
              <w:bCs/>
              <w:szCs w:val="24"/>
              <w:lang w:eastAsia="zh-CN"/>
            </w:rPr>
            <w:t>六、联系方式</w:t>
          </w:r>
          <w:r>
            <w:tab/>
          </w:r>
          <w:r>
            <w:fldChar w:fldCharType="begin"/>
          </w:r>
          <w:r>
            <w:instrText xml:space="preserve"> PAGEREF _Toc26845 \h </w:instrText>
          </w:r>
          <w:r>
            <w:fldChar w:fldCharType="separate"/>
          </w:r>
          <w:r>
            <w:t>2</w:t>
          </w:r>
          <w:r>
            <w:fldChar w:fldCharType="end"/>
          </w:r>
          <w:r>
            <w:fldChar w:fldCharType="end"/>
          </w:r>
        </w:p>
        <w:p>
          <w:pPr>
            <w:pStyle w:val="15"/>
            <w:tabs>
              <w:tab w:val="right" w:leader="dot" w:pos="9746"/>
            </w:tabs>
          </w:pPr>
          <w:r>
            <w:fldChar w:fldCharType="begin"/>
          </w:r>
          <w:r>
            <w:instrText xml:space="preserve"> HYPERLINK \l "_Toc2956" </w:instrText>
          </w:r>
          <w:r>
            <w:fldChar w:fldCharType="separate"/>
          </w:r>
          <w:r>
            <w:rPr>
              <w:rFonts w:hint="eastAsia" w:ascii="宋体" w:eastAsia="宋体" w:cs="宋体"/>
              <w:bCs/>
              <w:szCs w:val="28"/>
              <w:lang w:eastAsia="zh-CN"/>
            </w:rPr>
            <w:t>第二章  供应商须知</w:t>
          </w:r>
          <w:r>
            <w:tab/>
          </w:r>
          <w:r>
            <w:fldChar w:fldCharType="begin"/>
          </w:r>
          <w:r>
            <w:instrText xml:space="preserve"> PAGEREF _Toc2956 \h </w:instrText>
          </w:r>
          <w:r>
            <w:fldChar w:fldCharType="separate"/>
          </w:r>
          <w:r>
            <w:t>3</w:t>
          </w:r>
          <w:r>
            <w:fldChar w:fldCharType="end"/>
          </w:r>
          <w:r>
            <w:fldChar w:fldCharType="end"/>
          </w:r>
        </w:p>
        <w:p>
          <w:pPr>
            <w:pStyle w:val="16"/>
            <w:tabs>
              <w:tab w:val="right" w:leader="dot" w:pos="9746"/>
            </w:tabs>
          </w:pPr>
          <w:r>
            <w:fldChar w:fldCharType="begin"/>
          </w:r>
          <w:r>
            <w:instrText xml:space="preserve"> HYPERLINK \l "_Toc20073" </w:instrText>
          </w:r>
          <w:r>
            <w:fldChar w:fldCharType="separate"/>
          </w:r>
          <w:r>
            <w:rPr>
              <w:rFonts w:hint="eastAsia" w:ascii="宋体" w:eastAsia="宋体" w:cs="宋体"/>
              <w:bCs/>
              <w:szCs w:val="24"/>
            </w:rPr>
            <w:t>一、前附表</w:t>
          </w:r>
          <w:r>
            <w:tab/>
          </w:r>
          <w:r>
            <w:fldChar w:fldCharType="begin"/>
          </w:r>
          <w:r>
            <w:instrText xml:space="preserve"> PAGEREF _Toc20073 \h </w:instrText>
          </w:r>
          <w:r>
            <w:fldChar w:fldCharType="separate"/>
          </w:r>
          <w:r>
            <w:t>3</w:t>
          </w:r>
          <w:r>
            <w:fldChar w:fldCharType="end"/>
          </w:r>
          <w:r>
            <w:fldChar w:fldCharType="end"/>
          </w:r>
        </w:p>
        <w:p>
          <w:pPr>
            <w:pStyle w:val="16"/>
            <w:tabs>
              <w:tab w:val="right" w:leader="dot" w:pos="9746"/>
            </w:tabs>
          </w:pPr>
          <w:r>
            <w:fldChar w:fldCharType="begin"/>
          </w:r>
          <w:r>
            <w:instrText xml:space="preserve"> HYPERLINK \l "_Toc7554" </w:instrText>
          </w:r>
          <w:r>
            <w:fldChar w:fldCharType="separate"/>
          </w:r>
          <w:r>
            <w:rPr>
              <w:rFonts w:hint="eastAsia" w:ascii="宋体" w:eastAsia="宋体" w:cs="宋体"/>
              <w:bCs/>
              <w:szCs w:val="24"/>
            </w:rPr>
            <w:t>二、磋商须知</w:t>
          </w:r>
          <w:r>
            <w:tab/>
          </w:r>
          <w:r>
            <w:fldChar w:fldCharType="begin"/>
          </w:r>
          <w:r>
            <w:instrText xml:space="preserve"> PAGEREF _Toc7554 \h </w:instrText>
          </w:r>
          <w:r>
            <w:fldChar w:fldCharType="separate"/>
          </w:r>
          <w:r>
            <w:t>4</w:t>
          </w:r>
          <w:r>
            <w:fldChar w:fldCharType="end"/>
          </w:r>
          <w:r>
            <w:fldChar w:fldCharType="end"/>
          </w:r>
        </w:p>
        <w:p>
          <w:pPr>
            <w:pStyle w:val="16"/>
            <w:tabs>
              <w:tab w:val="right" w:leader="dot" w:pos="9746"/>
            </w:tabs>
          </w:pPr>
          <w:r>
            <w:fldChar w:fldCharType="begin"/>
          </w:r>
          <w:r>
            <w:instrText xml:space="preserve"> HYPERLINK \l "_Toc24541" </w:instrText>
          </w:r>
          <w:r>
            <w:fldChar w:fldCharType="separate"/>
          </w:r>
          <w:r>
            <w:rPr>
              <w:rFonts w:hint="eastAsia" w:ascii="宋体" w:eastAsia="宋体" w:cs="宋体"/>
              <w:bCs/>
              <w:szCs w:val="24"/>
              <w:lang w:eastAsia="zh-CN"/>
            </w:rPr>
            <w:t>三、说明</w:t>
          </w:r>
          <w:r>
            <w:tab/>
          </w:r>
          <w:r>
            <w:fldChar w:fldCharType="begin"/>
          </w:r>
          <w:r>
            <w:instrText xml:space="preserve"> PAGEREF _Toc24541 \h </w:instrText>
          </w:r>
          <w:r>
            <w:fldChar w:fldCharType="separate"/>
          </w:r>
          <w:r>
            <w:t>4</w:t>
          </w:r>
          <w:r>
            <w:fldChar w:fldCharType="end"/>
          </w:r>
          <w:r>
            <w:fldChar w:fldCharType="end"/>
          </w:r>
        </w:p>
        <w:p>
          <w:pPr>
            <w:pStyle w:val="16"/>
            <w:tabs>
              <w:tab w:val="right" w:leader="dot" w:pos="9746"/>
            </w:tabs>
          </w:pPr>
          <w:r>
            <w:fldChar w:fldCharType="begin"/>
          </w:r>
          <w:r>
            <w:instrText xml:space="preserve"> HYPERLINK \l "_Toc26056" </w:instrText>
          </w:r>
          <w:r>
            <w:fldChar w:fldCharType="separate"/>
          </w:r>
          <w:r>
            <w:rPr>
              <w:rFonts w:hint="eastAsia" w:ascii="宋体" w:eastAsia="宋体" w:cs="宋体"/>
              <w:bCs/>
              <w:szCs w:val="24"/>
            </w:rPr>
            <w:t>四、磋商文件的澄清或者修改</w:t>
          </w:r>
          <w:r>
            <w:tab/>
          </w:r>
          <w:r>
            <w:fldChar w:fldCharType="begin"/>
          </w:r>
          <w:r>
            <w:instrText xml:space="preserve"> PAGEREF _Toc26056 \h </w:instrText>
          </w:r>
          <w:r>
            <w:fldChar w:fldCharType="separate"/>
          </w:r>
          <w:r>
            <w:t>6</w:t>
          </w:r>
          <w:r>
            <w:fldChar w:fldCharType="end"/>
          </w:r>
          <w:r>
            <w:fldChar w:fldCharType="end"/>
          </w:r>
        </w:p>
        <w:p>
          <w:pPr>
            <w:pStyle w:val="16"/>
            <w:tabs>
              <w:tab w:val="right" w:leader="dot" w:pos="9746"/>
            </w:tabs>
          </w:pPr>
          <w:r>
            <w:fldChar w:fldCharType="begin"/>
          </w:r>
          <w:r>
            <w:instrText xml:space="preserve"> HYPERLINK \l "_Toc6465" </w:instrText>
          </w:r>
          <w:r>
            <w:fldChar w:fldCharType="separate"/>
          </w:r>
          <w:r>
            <w:rPr>
              <w:rFonts w:hint="eastAsia" w:ascii="宋体" w:eastAsia="宋体" w:cs="宋体"/>
              <w:bCs/>
              <w:szCs w:val="24"/>
              <w:lang w:eastAsia="zh-CN"/>
            </w:rPr>
            <w:t>五、响应文件</w:t>
          </w:r>
          <w:r>
            <w:tab/>
          </w:r>
          <w:r>
            <w:fldChar w:fldCharType="begin"/>
          </w:r>
          <w:r>
            <w:instrText xml:space="preserve"> PAGEREF _Toc6465 \h </w:instrText>
          </w:r>
          <w:r>
            <w:fldChar w:fldCharType="separate"/>
          </w:r>
          <w:r>
            <w:t>6</w:t>
          </w:r>
          <w:r>
            <w:fldChar w:fldCharType="end"/>
          </w:r>
          <w:r>
            <w:fldChar w:fldCharType="end"/>
          </w:r>
        </w:p>
        <w:p>
          <w:pPr>
            <w:pStyle w:val="16"/>
            <w:tabs>
              <w:tab w:val="right" w:leader="dot" w:pos="9746"/>
            </w:tabs>
          </w:pPr>
          <w:r>
            <w:fldChar w:fldCharType="begin"/>
          </w:r>
          <w:r>
            <w:instrText xml:space="preserve"> HYPERLINK \l "_Toc27293" </w:instrText>
          </w:r>
          <w:r>
            <w:fldChar w:fldCharType="separate"/>
          </w:r>
          <w:r>
            <w:rPr>
              <w:rFonts w:hint="eastAsia" w:ascii="宋体" w:eastAsia="宋体" w:cs="宋体"/>
              <w:bCs/>
              <w:szCs w:val="24"/>
              <w:lang w:eastAsia="zh-CN"/>
            </w:rPr>
            <w:t>六、开启、评审、结果公告、成交通知书</w:t>
          </w:r>
          <w:r>
            <w:tab/>
          </w:r>
          <w:r>
            <w:fldChar w:fldCharType="begin"/>
          </w:r>
          <w:r>
            <w:instrText xml:space="preserve"> PAGEREF _Toc27293 \h </w:instrText>
          </w:r>
          <w:r>
            <w:fldChar w:fldCharType="separate"/>
          </w:r>
          <w:r>
            <w:t>7</w:t>
          </w:r>
          <w:r>
            <w:fldChar w:fldCharType="end"/>
          </w:r>
          <w:r>
            <w:fldChar w:fldCharType="end"/>
          </w:r>
        </w:p>
        <w:p>
          <w:pPr>
            <w:pStyle w:val="16"/>
            <w:tabs>
              <w:tab w:val="right" w:leader="dot" w:pos="9746"/>
            </w:tabs>
          </w:pPr>
          <w:r>
            <w:fldChar w:fldCharType="begin"/>
          </w:r>
          <w:r>
            <w:instrText xml:space="preserve"> HYPERLINK \l "_Toc16609" </w:instrText>
          </w:r>
          <w:r>
            <w:fldChar w:fldCharType="separate"/>
          </w:r>
          <w:r>
            <w:rPr>
              <w:rFonts w:hint="eastAsia" w:ascii="宋体" w:eastAsia="宋体" w:cs="宋体"/>
              <w:bCs/>
              <w:szCs w:val="24"/>
            </w:rPr>
            <w:t>七、询问、质疑与</w:t>
          </w:r>
          <w:r>
            <w:rPr>
              <w:rFonts w:hint="eastAsia" w:ascii="宋体" w:eastAsia="宋体" w:cs="宋体"/>
              <w:bCs/>
              <w:szCs w:val="24"/>
              <w:lang w:eastAsia="zh-CN"/>
            </w:rPr>
            <w:t>举报</w:t>
          </w:r>
          <w:r>
            <w:tab/>
          </w:r>
          <w:r>
            <w:fldChar w:fldCharType="begin"/>
          </w:r>
          <w:r>
            <w:instrText xml:space="preserve"> PAGEREF _Toc16609 \h </w:instrText>
          </w:r>
          <w:r>
            <w:fldChar w:fldCharType="separate"/>
          </w:r>
          <w:r>
            <w:t>8</w:t>
          </w:r>
          <w:r>
            <w:fldChar w:fldCharType="end"/>
          </w:r>
          <w:r>
            <w:fldChar w:fldCharType="end"/>
          </w:r>
        </w:p>
        <w:p>
          <w:pPr>
            <w:pStyle w:val="15"/>
            <w:tabs>
              <w:tab w:val="right" w:leader="dot" w:pos="9746"/>
            </w:tabs>
          </w:pPr>
          <w:r>
            <w:fldChar w:fldCharType="begin"/>
          </w:r>
          <w:r>
            <w:instrText xml:space="preserve"> HYPERLINK \l "_Toc30203" </w:instrText>
          </w:r>
          <w:r>
            <w:fldChar w:fldCharType="separate"/>
          </w:r>
          <w:r>
            <w:rPr>
              <w:rFonts w:hint="eastAsia" w:ascii="宋体" w:eastAsia="宋体" w:cs="宋体"/>
              <w:bCs/>
              <w:szCs w:val="28"/>
              <w:lang w:eastAsia="zh-CN"/>
            </w:rPr>
            <w:t>第三章  采购内容与技术要求</w:t>
          </w:r>
          <w:r>
            <w:tab/>
          </w:r>
          <w:r>
            <w:fldChar w:fldCharType="begin"/>
          </w:r>
          <w:r>
            <w:instrText xml:space="preserve"> PAGEREF _Toc30203 \h </w:instrText>
          </w:r>
          <w:r>
            <w:fldChar w:fldCharType="separate"/>
          </w:r>
          <w:r>
            <w:t>10</w:t>
          </w:r>
          <w:r>
            <w:fldChar w:fldCharType="end"/>
          </w:r>
          <w:r>
            <w:fldChar w:fldCharType="end"/>
          </w:r>
        </w:p>
        <w:p>
          <w:pPr>
            <w:pStyle w:val="16"/>
            <w:tabs>
              <w:tab w:val="right" w:leader="dot" w:pos="9746"/>
            </w:tabs>
          </w:pPr>
          <w:r>
            <w:fldChar w:fldCharType="begin"/>
          </w:r>
          <w:r>
            <w:instrText xml:space="preserve"> HYPERLINK \l "_Toc10798" </w:instrText>
          </w:r>
          <w:r>
            <w:fldChar w:fldCharType="separate"/>
          </w:r>
          <w:r>
            <w:rPr>
              <w:rFonts w:hint="eastAsia" w:ascii="宋体" w:eastAsia="宋体" w:cs="宋体"/>
              <w:bCs/>
              <w:szCs w:val="24"/>
              <w:lang w:eastAsia="zh-CN"/>
            </w:rPr>
            <w:t>一、项目概况</w:t>
          </w:r>
          <w:r>
            <w:tab/>
          </w:r>
          <w:r>
            <w:fldChar w:fldCharType="begin"/>
          </w:r>
          <w:r>
            <w:instrText xml:space="preserve"> PAGEREF _Toc10798 \h </w:instrText>
          </w:r>
          <w:r>
            <w:fldChar w:fldCharType="separate"/>
          </w:r>
          <w:r>
            <w:t>10</w:t>
          </w:r>
          <w:r>
            <w:fldChar w:fldCharType="end"/>
          </w:r>
          <w:r>
            <w:fldChar w:fldCharType="end"/>
          </w:r>
        </w:p>
        <w:p>
          <w:pPr>
            <w:pStyle w:val="16"/>
            <w:tabs>
              <w:tab w:val="right" w:leader="dot" w:pos="9746"/>
            </w:tabs>
          </w:pPr>
          <w:r>
            <w:fldChar w:fldCharType="begin"/>
          </w:r>
          <w:r>
            <w:instrText xml:space="preserve"> HYPERLINK \l "_Toc24961" </w:instrText>
          </w:r>
          <w:r>
            <w:fldChar w:fldCharType="separate"/>
          </w:r>
          <w:r>
            <w:rPr>
              <w:rFonts w:hint="eastAsia" w:ascii="宋体" w:eastAsia="宋体" w:cs="宋体"/>
              <w:bCs/>
              <w:szCs w:val="24"/>
              <w:lang w:eastAsia="zh-CN"/>
            </w:rPr>
            <w:t>二、主要商务要求、技术要求</w:t>
          </w:r>
          <w:r>
            <w:tab/>
          </w:r>
          <w:r>
            <w:fldChar w:fldCharType="begin"/>
          </w:r>
          <w:r>
            <w:instrText xml:space="preserve"> PAGEREF _Toc24961 \h </w:instrText>
          </w:r>
          <w:r>
            <w:fldChar w:fldCharType="separate"/>
          </w:r>
          <w:r>
            <w:t>10</w:t>
          </w:r>
          <w:r>
            <w:fldChar w:fldCharType="end"/>
          </w:r>
          <w:r>
            <w:fldChar w:fldCharType="end"/>
          </w:r>
        </w:p>
        <w:p>
          <w:pPr>
            <w:pStyle w:val="15"/>
            <w:tabs>
              <w:tab w:val="right" w:leader="dot" w:pos="9746"/>
            </w:tabs>
          </w:pPr>
          <w:r>
            <w:fldChar w:fldCharType="begin"/>
          </w:r>
          <w:r>
            <w:instrText xml:space="preserve"> HYPERLINK \l "_Toc5231" </w:instrText>
          </w:r>
          <w:r>
            <w:fldChar w:fldCharType="separate"/>
          </w:r>
          <w:r>
            <w:rPr>
              <w:rFonts w:hint="eastAsia" w:ascii="宋体" w:eastAsia="宋体" w:cs="宋体"/>
              <w:bCs/>
              <w:szCs w:val="28"/>
              <w:lang w:eastAsia="zh-CN"/>
            </w:rPr>
            <w:t>第四章  供应商应当提交的资格、资信证明文件</w:t>
          </w:r>
          <w:r>
            <w:tab/>
          </w:r>
          <w:r>
            <w:fldChar w:fldCharType="begin"/>
          </w:r>
          <w:r>
            <w:instrText xml:space="preserve"> PAGEREF _Toc5231 \h </w:instrText>
          </w:r>
          <w:r>
            <w:fldChar w:fldCharType="separate"/>
          </w:r>
          <w:r>
            <w:t>13</w:t>
          </w:r>
          <w:r>
            <w:fldChar w:fldCharType="end"/>
          </w:r>
          <w:r>
            <w:fldChar w:fldCharType="end"/>
          </w:r>
        </w:p>
        <w:p>
          <w:pPr>
            <w:pStyle w:val="15"/>
            <w:tabs>
              <w:tab w:val="right" w:leader="dot" w:pos="9746"/>
            </w:tabs>
          </w:pPr>
          <w:r>
            <w:fldChar w:fldCharType="begin"/>
          </w:r>
          <w:r>
            <w:instrText xml:space="preserve"> HYPERLINK \l "_Toc13022" </w:instrText>
          </w:r>
          <w:r>
            <w:fldChar w:fldCharType="separate"/>
          </w:r>
          <w:r>
            <w:rPr>
              <w:rFonts w:hint="eastAsia" w:ascii="宋体" w:eastAsia="宋体" w:cs="宋体"/>
              <w:bCs/>
              <w:szCs w:val="28"/>
              <w:lang w:eastAsia="zh-CN"/>
            </w:rPr>
            <w:t>第五章  评审</w:t>
          </w:r>
          <w:r>
            <w:tab/>
          </w:r>
          <w:r>
            <w:fldChar w:fldCharType="begin"/>
          </w:r>
          <w:r>
            <w:instrText xml:space="preserve"> PAGEREF _Toc13022 \h </w:instrText>
          </w:r>
          <w:r>
            <w:fldChar w:fldCharType="separate"/>
          </w:r>
          <w:r>
            <w:t>14</w:t>
          </w:r>
          <w:r>
            <w:fldChar w:fldCharType="end"/>
          </w:r>
          <w:r>
            <w:fldChar w:fldCharType="end"/>
          </w:r>
        </w:p>
        <w:p>
          <w:pPr>
            <w:pStyle w:val="16"/>
            <w:tabs>
              <w:tab w:val="right" w:leader="dot" w:pos="9746"/>
            </w:tabs>
          </w:pPr>
          <w:r>
            <w:fldChar w:fldCharType="begin"/>
          </w:r>
          <w:r>
            <w:instrText xml:space="preserve"> HYPERLINK \l "_Toc11287" </w:instrText>
          </w:r>
          <w:r>
            <w:fldChar w:fldCharType="separate"/>
          </w:r>
          <w:r>
            <w:rPr>
              <w:rFonts w:hint="eastAsia" w:ascii="宋体" w:eastAsia="宋体" w:cs="宋体"/>
              <w:bCs/>
              <w:szCs w:val="24"/>
              <w:lang w:eastAsia="zh-CN"/>
            </w:rPr>
            <w:t>一、评审要求</w:t>
          </w:r>
          <w:r>
            <w:tab/>
          </w:r>
          <w:r>
            <w:fldChar w:fldCharType="begin"/>
          </w:r>
          <w:r>
            <w:instrText xml:space="preserve"> PAGEREF _Toc11287 \h </w:instrText>
          </w:r>
          <w:r>
            <w:fldChar w:fldCharType="separate"/>
          </w:r>
          <w:r>
            <w:t>14</w:t>
          </w:r>
          <w:r>
            <w:fldChar w:fldCharType="end"/>
          </w:r>
          <w:r>
            <w:fldChar w:fldCharType="end"/>
          </w:r>
        </w:p>
        <w:p>
          <w:pPr>
            <w:pStyle w:val="16"/>
            <w:tabs>
              <w:tab w:val="right" w:leader="dot" w:pos="9746"/>
            </w:tabs>
          </w:pPr>
          <w:r>
            <w:fldChar w:fldCharType="begin"/>
          </w:r>
          <w:r>
            <w:instrText xml:space="preserve"> HYPERLINK \l "_Toc5195" </w:instrText>
          </w:r>
          <w:r>
            <w:fldChar w:fldCharType="separate"/>
          </w:r>
          <w:r>
            <w:rPr>
              <w:rFonts w:hint="eastAsia" w:ascii="宋体" w:eastAsia="宋体" w:cs="宋体"/>
              <w:bCs/>
              <w:szCs w:val="24"/>
              <w:lang w:eastAsia="zh-CN"/>
            </w:rPr>
            <w:t>二、落实政府采购政策</w:t>
          </w:r>
          <w:r>
            <w:tab/>
          </w:r>
          <w:r>
            <w:fldChar w:fldCharType="begin"/>
          </w:r>
          <w:r>
            <w:instrText xml:space="preserve"> PAGEREF _Toc5195 \h </w:instrText>
          </w:r>
          <w:r>
            <w:fldChar w:fldCharType="separate"/>
          </w:r>
          <w:r>
            <w:t>16</w:t>
          </w:r>
          <w:r>
            <w:fldChar w:fldCharType="end"/>
          </w:r>
          <w:r>
            <w:fldChar w:fldCharType="end"/>
          </w:r>
        </w:p>
        <w:p>
          <w:pPr>
            <w:pStyle w:val="16"/>
            <w:tabs>
              <w:tab w:val="right" w:leader="dot" w:pos="9746"/>
            </w:tabs>
          </w:pPr>
          <w:r>
            <w:fldChar w:fldCharType="begin"/>
          </w:r>
          <w:r>
            <w:instrText xml:space="preserve"> HYPERLINK \l "_Toc11203" </w:instrText>
          </w:r>
          <w:r>
            <w:fldChar w:fldCharType="separate"/>
          </w:r>
          <w:r>
            <w:rPr>
              <w:rFonts w:hint="eastAsia" w:ascii="宋体" w:eastAsia="宋体" w:cs="宋体"/>
              <w:bCs/>
              <w:szCs w:val="24"/>
              <w:lang w:eastAsia="zh-CN"/>
            </w:rPr>
            <w:t>三、评审程序</w:t>
          </w:r>
          <w:r>
            <w:tab/>
          </w:r>
          <w:r>
            <w:fldChar w:fldCharType="begin"/>
          </w:r>
          <w:r>
            <w:instrText xml:space="preserve"> PAGEREF _Toc11203 \h </w:instrText>
          </w:r>
          <w:r>
            <w:fldChar w:fldCharType="separate"/>
          </w:r>
          <w:r>
            <w:t>17</w:t>
          </w:r>
          <w:r>
            <w:fldChar w:fldCharType="end"/>
          </w:r>
          <w:r>
            <w:fldChar w:fldCharType="end"/>
          </w:r>
        </w:p>
        <w:p>
          <w:pPr>
            <w:pStyle w:val="15"/>
            <w:tabs>
              <w:tab w:val="right" w:leader="dot" w:pos="9746"/>
            </w:tabs>
          </w:pPr>
          <w:r>
            <w:fldChar w:fldCharType="begin"/>
          </w:r>
          <w:r>
            <w:instrText xml:space="preserve"> HYPERLINK \l "_Toc21012" </w:instrText>
          </w:r>
          <w:r>
            <w:fldChar w:fldCharType="separate"/>
          </w:r>
          <w:r>
            <w:rPr>
              <w:rFonts w:hint="eastAsia" w:ascii="宋体" w:hAnsi="宋体" w:eastAsia="宋体" w:cs="宋体"/>
              <w:bCs/>
              <w:szCs w:val="28"/>
            </w:rPr>
            <w:t>第六章  合同</w:t>
          </w:r>
          <w:r>
            <w:tab/>
          </w:r>
          <w:r>
            <w:fldChar w:fldCharType="begin"/>
          </w:r>
          <w:r>
            <w:instrText xml:space="preserve"> PAGEREF _Toc21012 \h </w:instrText>
          </w:r>
          <w:r>
            <w:fldChar w:fldCharType="separate"/>
          </w:r>
          <w:r>
            <w:t>24</w:t>
          </w:r>
          <w:r>
            <w:fldChar w:fldCharType="end"/>
          </w:r>
          <w:r>
            <w:fldChar w:fldCharType="end"/>
          </w:r>
        </w:p>
        <w:p>
          <w:pPr>
            <w:pStyle w:val="16"/>
            <w:tabs>
              <w:tab w:val="right" w:leader="dot" w:pos="9746"/>
            </w:tabs>
          </w:pPr>
          <w:r>
            <w:fldChar w:fldCharType="begin"/>
          </w:r>
          <w:r>
            <w:instrText xml:space="preserve"> HYPERLINK \l "_Toc16935" </w:instrText>
          </w:r>
          <w:r>
            <w:fldChar w:fldCharType="separate"/>
          </w:r>
          <w:r>
            <w:rPr>
              <w:rFonts w:hint="eastAsia" w:ascii="宋体" w:hAnsi="宋体" w:eastAsia="宋体" w:cs="宋体"/>
              <w:kern w:val="2"/>
              <w:szCs w:val="24"/>
              <w:lang w:eastAsia="zh-CN"/>
            </w:rPr>
            <w:t>一、合同要求</w:t>
          </w:r>
          <w:r>
            <w:tab/>
          </w:r>
          <w:r>
            <w:fldChar w:fldCharType="begin"/>
          </w:r>
          <w:r>
            <w:instrText xml:space="preserve"> PAGEREF _Toc16935 \h </w:instrText>
          </w:r>
          <w:r>
            <w:fldChar w:fldCharType="separate"/>
          </w:r>
          <w:r>
            <w:t>24</w:t>
          </w:r>
          <w:r>
            <w:fldChar w:fldCharType="end"/>
          </w:r>
          <w:r>
            <w:fldChar w:fldCharType="end"/>
          </w:r>
        </w:p>
        <w:p>
          <w:pPr>
            <w:pStyle w:val="16"/>
            <w:tabs>
              <w:tab w:val="right" w:leader="dot" w:pos="9746"/>
            </w:tabs>
          </w:pPr>
          <w:r>
            <w:fldChar w:fldCharType="begin"/>
          </w:r>
          <w:r>
            <w:instrText xml:space="preserve"> HYPERLINK \l "_Toc3402" </w:instrText>
          </w:r>
          <w:r>
            <w:fldChar w:fldCharType="separate"/>
          </w:r>
          <w:r>
            <w:rPr>
              <w:rFonts w:hint="eastAsia" w:ascii="宋体" w:hAnsi="宋体" w:eastAsia="宋体" w:cs="宋体"/>
              <w:spacing w:val="18"/>
              <w:szCs w:val="24"/>
            </w:rPr>
            <w:t>二</w:t>
          </w:r>
          <w:r>
            <w:rPr>
              <w:rFonts w:hint="eastAsia" w:ascii="宋体" w:hAnsi="宋体" w:eastAsia="宋体" w:cs="宋体"/>
              <w:spacing w:val="18"/>
              <w:szCs w:val="24"/>
              <w:lang w:eastAsia="zh-CN"/>
            </w:rPr>
            <w:t>、</w:t>
          </w:r>
          <w:r>
            <w:rPr>
              <w:rFonts w:hint="eastAsia" w:ascii="宋体" w:hAnsi="宋体" w:eastAsia="宋体" w:cs="宋体"/>
              <w:spacing w:val="6"/>
              <w:szCs w:val="24"/>
            </w:rPr>
            <w:t>验收</w:t>
          </w:r>
          <w:r>
            <w:tab/>
          </w:r>
          <w:r>
            <w:fldChar w:fldCharType="begin"/>
          </w:r>
          <w:r>
            <w:instrText xml:space="preserve"> PAGEREF _Toc3402 \h </w:instrText>
          </w:r>
          <w:r>
            <w:fldChar w:fldCharType="separate"/>
          </w:r>
          <w:r>
            <w:t>29</w:t>
          </w:r>
          <w:r>
            <w:fldChar w:fldCharType="end"/>
          </w:r>
          <w:r>
            <w:fldChar w:fldCharType="end"/>
          </w:r>
        </w:p>
        <w:p>
          <w:pPr>
            <w:pStyle w:val="15"/>
            <w:tabs>
              <w:tab w:val="right" w:leader="dot" w:pos="9746"/>
            </w:tabs>
          </w:pPr>
          <w:r>
            <w:fldChar w:fldCharType="begin"/>
          </w:r>
          <w:r>
            <w:instrText xml:space="preserve"> HYPERLINK \l "_Toc19580" </w:instrText>
          </w:r>
          <w:r>
            <w:fldChar w:fldCharType="separate"/>
          </w:r>
          <w:r>
            <w:rPr>
              <w:rFonts w:hint="eastAsia" w:ascii="宋体" w:eastAsia="宋体" w:cs="宋体"/>
              <w:bCs/>
              <w:szCs w:val="28"/>
              <w:lang w:eastAsia="zh-CN"/>
            </w:rPr>
            <w:t>第七章  响应文件格式与要求</w:t>
          </w:r>
          <w:r>
            <w:tab/>
          </w:r>
          <w:r>
            <w:fldChar w:fldCharType="begin"/>
          </w:r>
          <w:r>
            <w:instrText xml:space="preserve"> PAGEREF _Toc19580 \h </w:instrText>
          </w:r>
          <w:r>
            <w:fldChar w:fldCharType="separate"/>
          </w:r>
          <w:r>
            <w:t>31</w:t>
          </w:r>
          <w:r>
            <w:fldChar w:fldCharType="end"/>
          </w:r>
          <w:r>
            <w:fldChar w:fldCharType="end"/>
          </w:r>
        </w:p>
        <w:p>
          <w:pPr>
            <w:pStyle w:val="16"/>
            <w:tabs>
              <w:tab w:val="right" w:leader="dot" w:pos="9746"/>
            </w:tabs>
          </w:pPr>
          <w:r>
            <w:fldChar w:fldCharType="begin"/>
          </w:r>
          <w:r>
            <w:instrText xml:space="preserve"> HYPERLINK \l "_Toc5387" </w:instrText>
          </w:r>
          <w:r>
            <w:fldChar w:fldCharType="separate"/>
          </w:r>
          <w:r>
            <w:rPr>
              <w:rFonts w:hint="eastAsia" w:ascii="宋体" w:eastAsia="宋体" w:cs="宋体"/>
              <w:bCs/>
              <w:szCs w:val="28"/>
              <w:lang w:eastAsia="zh-CN"/>
            </w:rPr>
            <w:t>一、响应承诺书</w:t>
          </w:r>
          <w:r>
            <w:tab/>
          </w:r>
          <w:r>
            <w:fldChar w:fldCharType="begin"/>
          </w:r>
          <w:r>
            <w:instrText xml:space="preserve"> PAGEREF _Toc5387 \h </w:instrText>
          </w:r>
          <w:r>
            <w:fldChar w:fldCharType="separate"/>
          </w:r>
          <w:r>
            <w:t>34</w:t>
          </w:r>
          <w:r>
            <w:fldChar w:fldCharType="end"/>
          </w:r>
          <w:r>
            <w:fldChar w:fldCharType="end"/>
          </w:r>
        </w:p>
        <w:p>
          <w:pPr>
            <w:pStyle w:val="16"/>
            <w:tabs>
              <w:tab w:val="right" w:leader="dot" w:pos="9746"/>
            </w:tabs>
          </w:pPr>
          <w:r>
            <w:fldChar w:fldCharType="begin"/>
          </w:r>
          <w:r>
            <w:instrText xml:space="preserve"> HYPERLINK \l "_Toc12577" </w:instrText>
          </w:r>
          <w:r>
            <w:fldChar w:fldCharType="separate"/>
          </w:r>
          <w:r>
            <w:rPr>
              <w:rFonts w:hint="eastAsia" w:ascii="宋体" w:eastAsia="宋体" w:cs="宋体"/>
              <w:bCs/>
              <w:szCs w:val="28"/>
              <w:lang w:eastAsia="zh-CN"/>
            </w:rPr>
            <w:t>二、首轮报价表</w:t>
          </w:r>
          <w:r>
            <w:tab/>
          </w:r>
          <w:r>
            <w:fldChar w:fldCharType="begin"/>
          </w:r>
          <w:r>
            <w:instrText xml:space="preserve"> PAGEREF _Toc12577 \h </w:instrText>
          </w:r>
          <w:r>
            <w:fldChar w:fldCharType="separate"/>
          </w:r>
          <w:r>
            <w:t>35</w:t>
          </w:r>
          <w:r>
            <w:fldChar w:fldCharType="end"/>
          </w:r>
          <w:r>
            <w:fldChar w:fldCharType="end"/>
          </w:r>
        </w:p>
        <w:p>
          <w:pPr>
            <w:pStyle w:val="16"/>
            <w:tabs>
              <w:tab w:val="right" w:leader="dot" w:pos="9746"/>
            </w:tabs>
          </w:pPr>
          <w:r>
            <w:fldChar w:fldCharType="begin"/>
          </w:r>
          <w:r>
            <w:instrText xml:space="preserve"> HYPERLINK \l "_Toc8965" </w:instrText>
          </w:r>
          <w:r>
            <w:fldChar w:fldCharType="separate"/>
          </w:r>
          <w:r>
            <w:rPr>
              <w:rFonts w:hint="eastAsia" w:ascii="宋体" w:eastAsia="宋体" w:cs="宋体"/>
              <w:bCs/>
              <w:szCs w:val="28"/>
              <w:lang w:eastAsia="zh-CN"/>
            </w:rPr>
            <w:t>三、</w:t>
          </w:r>
          <w:r>
            <w:rPr>
              <w:rFonts w:hint="eastAsia" w:ascii="宋体" w:eastAsia="宋体" w:cs="宋体"/>
              <w:bCs/>
              <w:szCs w:val="28"/>
            </w:rPr>
            <w:t>分项报价表</w:t>
          </w:r>
          <w:r>
            <w:tab/>
          </w:r>
          <w:r>
            <w:fldChar w:fldCharType="begin"/>
          </w:r>
          <w:r>
            <w:instrText xml:space="preserve"> PAGEREF _Toc8965 \h </w:instrText>
          </w:r>
          <w:r>
            <w:fldChar w:fldCharType="separate"/>
          </w:r>
          <w:r>
            <w:t>36</w:t>
          </w:r>
          <w:r>
            <w:fldChar w:fldCharType="end"/>
          </w:r>
          <w:r>
            <w:fldChar w:fldCharType="end"/>
          </w:r>
        </w:p>
        <w:p>
          <w:pPr>
            <w:pStyle w:val="16"/>
            <w:tabs>
              <w:tab w:val="right" w:leader="dot" w:pos="9746"/>
            </w:tabs>
          </w:pPr>
          <w:r>
            <w:fldChar w:fldCharType="begin"/>
          </w:r>
          <w:r>
            <w:instrText xml:space="preserve"> HYPERLINK \l "_Toc17556" </w:instrText>
          </w:r>
          <w:r>
            <w:fldChar w:fldCharType="separate"/>
          </w:r>
          <w:r>
            <w:rPr>
              <w:rFonts w:hint="eastAsia" w:ascii="宋体" w:eastAsia="宋体" w:cs="宋体"/>
              <w:bCs/>
              <w:szCs w:val="28"/>
              <w:lang w:eastAsia="zh-CN"/>
            </w:rPr>
            <w:t>四、授权委托书</w:t>
          </w:r>
          <w:r>
            <w:tab/>
          </w:r>
          <w:r>
            <w:fldChar w:fldCharType="begin"/>
          </w:r>
          <w:r>
            <w:instrText xml:space="preserve"> PAGEREF _Toc17556 \h </w:instrText>
          </w:r>
          <w:r>
            <w:fldChar w:fldCharType="separate"/>
          </w:r>
          <w:r>
            <w:t>37</w:t>
          </w:r>
          <w:r>
            <w:fldChar w:fldCharType="end"/>
          </w:r>
          <w:r>
            <w:fldChar w:fldCharType="end"/>
          </w:r>
        </w:p>
        <w:p>
          <w:pPr>
            <w:pStyle w:val="16"/>
            <w:tabs>
              <w:tab w:val="right" w:leader="dot" w:pos="9746"/>
            </w:tabs>
          </w:pPr>
          <w:r>
            <w:fldChar w:fldCharType="begin"/>
          </w:r>
          <w:r>
            <w:instrText xml:space="preserve"> HYPERLINK \l "_Toc23843" </w:instrText>
          </w:r>
          <w:r>
            <w:fldChar w:fldCharType="separate"/>
          </w:r>
          <w:r>
            <w:rPr>
              <w:rFonts w:hint="eastAsia" w:ascii="宋体" w:eastAsia="宋体" w:cs="宋体"/>
              <w:bCs/>
              <w:szCs w:val="28"/>
              <w:lang w:eastAsia="zh-CN"/>
            </w:rPr>
            <w:t>五、缴纳磋商保证金证明材料</w:t>
          </w:r>
          <w:r>
            <w:tab/>
          </w:r>
          <w:r>
            <w:fldChar w:fldCharType="begin"/>
          </w:r>
          <w:r>
            <w:instrText xml:space="preserve"> PAGEREF _Toc23843 \h </w:instrText>
          </w:r>
          <w:r>
            <w:fldChar w:fldCharType="separate"/>
          </w:r>
          <w:r>
            <w:t>38</w:t>
          </w:r>
          <w:r>
            <w:fldChar w:fldCharType="end"/>
          </w:r>
          <w:r>
            <w:fldChar w:fldCharType="end"/>
          </w:r>
        </w:p>
        <w:p>
          <w:pPr>
            <w:pStyle w:val="16"/>
            <w:tabs>
              <w:tab w:val="right" w:leader="dot" w:pos="9746"/>
            </w:tabs>
          </w:pPr>
          <w:r>
            <w:fldChar w:fldCharType="begin"/>
          </w:r>
          <w:r>
            <w:instrText xml:space="preserve"> HYPERLINK \l "_Toc13043" </w:instrText>
          </w:r>
          <w:r>
            <w:fldChar w:fldCharType="separate"/>
          </w:r>
          <w:r>
            <w:rPr>
              <w:rFonts w:hint="eastAsia" w:ascii="宋体" w:eastAsia="宋体" w:cs="宋体"/>
              <w:bCs/>
              <w:szCs w:val="28"/>
            </w:rPr>
            <w:t>六、供应商基本情况表</w:t>
          </w:r>
          <w:r>
            <w:tab/>
          </w:r>
          <w:r>
            <w:fldChar w:fldCharType="begin"/>
          </w:r>
          <w:r>
            <w:instrText xml:space="preserve"> PAGEREF _Toc13043 \h </w:instrText>
          </w:r>
          <w:r>
            <w:fldChar w:fldCharType="separate"/>
          </w:r>
          <w:r>
            <w:t>39</w:t>
          </w:r>
          <w:r>
            <w:fldChar w:fldCharType="end"/>
          </w:r>
          <w:r>
            <w:fldChar w:fldCharType="end"/>
          </w:r>
        </w:p>
        <w:p>
          <w:pPr>
            <w:pStyle w:val="16"/>
            <w:tabs>
              <w:tab w:val="right" w:leader="dot" w:pos="9746"/>
            </w:tabs>
          </w:pPr>
          <w:r>
            <w:fldChar w:fldCharType="begin"/>
          </w:r>
          <w:r>
            <w:instrText xml:space="preserve"> HYPERLINK \l "_Toc19839" </w:instrText>
          </w:r>
          <w:r>
            <w:fldChar w:fldCharType="separate"/>
          </w:r>
          <w:r>
            <w:rPr>
              <w:rFonts w:hint="eastAsia" w:ascii="宋体" w:eastAsia="宋体" w:cs="宋体"/>
              <w:bCs/>
              <w:szCs w:val="28"/>
              <w:lang w:eastAsia="zh-CN"/>
            </w:rPr>
            <w:t>七、具有独立承担民事责任的能力的证明材料</w:t>
          </w:r>
          <w:r>
            <w:tab/>
          </w:r>
          <w:r>
            <w:fldChar w:fldCharType="begin"/>
          </w:r>
          <w:r>
            <w:instrText xml:space="preserve"> PAGEREF _Toc19839 \h </w:instrText>
          </w:r>
          <w:r>
            <w:fldChar w:fldCharType="separate"/>
          </w:r>
          <w:r>
            <w:t>40</w:t>
          </w:r>
          <w:r>
            <w:fldChar w:fldCharType="end"/>
          </w:r>
          <w:r>
            <w:fldChar w:fldCharType="end"/>
          </w:r>
        </w:p>
        <w:p>
          <w:pPr>
            <w:pStyle w:val="16"/>
            <w:tabs>
              <w:tab w:val="right" w:leader="dot" w:pos="9746"/>
            </w:tabs>
          </w:pPr>
          <w:r>
            <w:fldChar w:fldCharType="begin"/>
          </w:r>
          <w:r>
            <w:instrText xml:space="preserve"> HYPERLINK \l "_Toc31381" </w:instrText>
          </w:r>
          <w:r>
            <w:fldChar w:fldCharType="separate"/>
          </w:r>
          <w:r>
            <w:rPr>
              <w:rFonts w:hint="eastAsia" w:ascii="宋体" w:eastAsia="宋体" w:cs="宋体"/>
              <w:bCs/>
              <w:szCs w:val="28"/>
              <w:lang w:eastAsia="zh-CN"/>
            </w:rPr>
            <w:t>八、具有良好的商业信誉和健全的财务会计制度的相关材料</w:t>
          </w:r>
          <w:r>
            <w:tab/>
          </w:r>
          <w:r>
            <w:fldChar w:fldCharType="begin"/>
          </w:r>
          <w:r>
            <w:instrText xml:space="preserve"> PAGEREF _Toc31381 \h </w:instrText>
          </w:r>
          <w:r>
            <w:fldChar w:fldCharType="separate"/>
          </w:r>
          <w:r>
            <w:t>41</w:t>
          </w:r>
          <w:r>
            <w:fldChar w:fldCharType="end"/>
          </w:r>
          <w:r>
            <w:fldChar w:fldCharType="end"/>
          </w:r>
        </w:p>
        <w:p>
          <w:pPr>
            <w:pStyle w:val="16"/>
            <w:tabs>
              <w:tab w:val="right" w:leader="dot" w:pos="9746"/>
            </w:tabs>
          </w:pPr>
          <w:r>
            <w:fldChar w:fldCharType="begin"/>
          </w:r>
          <w:r>
            <w:instrText xml:space="preserve"> HYPERLINK \l "_Toc19218" </w:instrText>
          </w:r>
          <w:r>
            <w:fldChar w:fldCharType="separate"/>
          </w:r>
          <w:r>
            <w:rPr>
              <w:rFonts w:hint="eastAsia" w:ascii="宋体" w:eastAsia="宋体" w:cs="宋体"/>
              <w:bCs/>
              <w:szCs w:val="28"/>
              <w:lang w:eastAsia="zh-CN"/>
            </w:rPr>
            <w:t>九、依法缴纳税收和社会保障资金的良好记录的相关材料</w:t>
          </w:r>
          <w:r>
            <w:tab/>
          </w:r>
          <w:r>
            <w:fldChar w:fldCharType="begin"/>
          </w:r>
          <w:r>
            <w:instrText xml:space="preserve"> PAGEREF _Toc19218 \h </w:instrText>
          </w:r>
          <w:r>
            <w:fldChar w:fldCharType="separate"/>
          </w:r>
          <w:r>
            <w:t>42</w:t>
          </w:r>
          <w:r>
            <w:fldChar w:fldCharType="end"/>
          </w:r>
          <w:r>
            <w:fldChar w:fldCharType="end"/>
          </w:r>
        </w:p>
        <w:p>
          <w:pPr>
            <w:pStyle w:val="16"/>
            <w:tabs>
              <w:tab w:val="right" w:leader="dot" w:pos="9746"/>
            </w:tabs>
          </w:pPr>
          <w:r>
            <w:fldChar w:fldCharType="begin"/>
          </w:r>
          <w:r>
            <w:instrText xml:space="preserve"> HYPERLINK \l "_Toc10381" </w:instrText>
          </w:r>
          <w:r>
            <w:fldChar w:fldCharType="separate"/>
          </w:r>
          <w:r>
            <w:rPr>
              <w:rFonts w:hint="eastAsia" w:ascii="宋体" w:eastAsia="宋体" w:cs="宋体"/>
              <w:bCs/>
              <w:szCs w:val="28"/>
              <w:lang w:eastAsia="zh-CN"/>
            </w:rPr>
            <w:t>十、具有履行合同所必需的设备和专业技术能力的相关材料</w:t>
          </w:r>
          <w:r>
            <w:tab/>
          </w:r>
          <w:r>
            <w:fldChar w:fldCharType="begin"/>
          </w:r>
          <w:r>
            <w:instrText xml:space="preserve"> PAGEREF _Toc10381 \h </w:instrText>
          </w:r>
          <w:r>
            <w:fldChar w:fldCharType="separate"/>
          </w:r>
          <w:r>
            <w:t>43</w:t>
          </w:r>
          <w:r>
            <w:fldChar w:fldCharType="end"/>
          </w:r>
          <w:r>
            <w:fldChar w:fldCharType="end"/>
          </w:r>
        </w:p>
        <w:p>
          <w:pPr>
            <w:pStyle w:val="16"/>
            <w:tabs>
              <w:tab w:val="right" w:leader="dot" w:pos="9746"/>
            </w:tabs>
          </w:pPr>
          <w:r>
            <w:fldChar w:fldCharType="begin"/>
          </w:r>
          <w:r>
            <w:instrText xml:space="preserve"> HYPERLINK \l "_Toc24761" </w:instrText>
          </w:r>
          <w:r>
            <w:fldChar w:fldCharType="separate"/>
          </w:r>
          <w:r>
            <w:rPr>
              <w:rFonts w:hint="eastAsia" w:ascii="宋体" w:eastAsia="宋体" w:cs="宋体"/>
              <w:bCs/>
              <w:szCs w:val="28"/>
              <w:lang w:eastAsia="zh-CN"/>
            </w:rPr>
            <w:t>十一、参加政府采购活动前三年内在经营活动中没有重大违法记录的书面声明</w:t>
          </w:r>
          <w:r>
            <w:tab/>
          </w:r>
          <w:r>
            <w:fldChar w:fldCharType="begin"/>
          </w:r>
          <w:r>
            <w:instrText xml:space="preserve"> PAGEREF _Toc24761 \h </w:instrText>
          </w:r>
          <w:r>
            <w:fldChar w:fldCharType="separate"/>
          </w:r>
          <w:r>
            <w:t>44</w:t>
          </w:r>
          <w:r>
            <w:fldChar w:fldCharType="end"/>
          </w:r>
          <w:r>
            <w:fldChar w:fldCharType="end"/>
          </w:r>
        </w:p>
        <w:p>
          <w:pPr>
            <w:pStyle w:val="16"/>
            <w:tabs>
              <w:tab w:val="right" w:leader="dot" w:pos="9746"/>
            </w:tabs>
          </w:pPr>
          <w:r>
            <w:fldChar w:fldCharType="begin"/>
          </w:r>
          <w:r>
            <w:instrText xml:space="preserve"> HYPERLINK \l "_Toc19978" </w:instrText>
          </w:r>
          <w:r>
            <w:fldChar w:fldCharType="separate"/>
          </w:r>
          <w:r>
            <w:rPr>
              <w:rFonts w:hint="eastAsia" w:ascii="宋体" w:eastAsia="宋体" w:cs="宋体"/>
              <w:bCs/>
              <w:szCs w:val="28"/>
              <w:lang w:eastAsia="zh-CN"/>
            </w:rPr>
            <w:t>十二、联合体协议书</w:t>
          </w:r>
          <w:r>
            <w:tab/>
          </w:r>
          <w:r>
            <w:fldChar w:fldCharType="begin"/>
          </w:r>
          <w:r>
            <w:instrText xml:space="preserve"> PAGEREF _Toc19978 \h </w:instrText>
          </w:r>
          <w:r>
            <w:fldChar w:fldCharType="separate"/>
          </w:r>
          <w:r>
            <w:t>45</w:t>
          </w:r>
          <w:r>
            <w:fldChar w:fldCharType="end"/>
          </w:r>
          <w:r>
            <w:fldChar w:fldCharType="end"/>
          </w:r>
        </w:p>
        <w:p>
          <w:pPr>
            <w:pStyle w:val="16"/>
            <w:tabs>
              <w:tab w:val="right" w:leader="dot" w:pos="9746"/>
            </w:tabs>
          </w:pPr>
          <w:r>
            <w:fldChar w:fldCharType="begin"/>
          </w:r>
          <w:r>
            <w:instrText xml:space="preserve"> HYPERLINK \l "_Toc28039" </w:instrText>
          </w:r>
          <w:r>
            <w:fldChar w:fldCharType="separate"/>
          </w:r>
          <w:r>
            <w:rPr>
              <w:rFonts w:hint="eastAsia" w:ascii="宋体" w:eastAsia="宋体" w:cs="宋体"/>
              <w:bCs/>
              <w:szCs w:val="28"/>
              <w:lang w:eastAsia="zh-CN"/>
            </w:rPr>
            <w:t>十三、</w:t>
          </w:r>
          <w:r>
            <w:rPr>
              <w:rFonts w:hint="eastAsia" w:ascii="宋体" w:eastAsia="宋体" w:cs="宋体"/>
              <w:bCs/>
              <w:szCs w:val="28"/>
            </w:rPr>
            <w:t>中小企业声明函（工程、服务）</w:t>
          </w:r>
          <w:r>
            <w:tab/>
          </w:r>
          <w:r>
            <w:fldChar w:fldCharType="begin"/>
          </w:r>
          <w:r>
            <w:instrText xml:space="preserve"> PAGEREF _Toc28039 \h </w:instrText>
          </w:r>
          <w:r>
            <w:fldChar w:fldCharType="separate"/>
          </w:r>
          <w:r>
            <w:t>46</w:t>
          </w:r>
          <w:r>
            <w:fldChar w:fldCharType="end"/>
          </w:r>
          <w:r>
            <w:fldChar w:fldCharType="end"/>
          </w:r>
        </w:p>
        <w:p>
          <w:pPr>
            <w:pStyle w:val="16"/>
            <w:tabs>
              <w:tab w:val="right" w:leader="dot" w:pos="9746"/>
            </w:tabs>
          </w:pPr>
          <w:r>
            <w:fldChar w:fldCharType="begin"/>
          </w:r>
          <w:r>
            <w:instrText xml:space="preserve"> HYPERLINK \l "_Toc7667" </w:instrText>
          </w:r>
          <w:r>
            <w:fldChar w:fldCharType="separate"/>
          </w:r>
          <w:r>
            <w:rPr>
              <w:rFonts w:hint="eastAsia" w:ascii="宋体" w:eastAsia="宋体" w:cs="宋体"/>
              <w:bCs/>
              <w:szCs w:val="28"/>
              <w:lang w:eastAsia="zh-CN"/>
            </w:rPr>
            <w:t>十四、监狱企业证明文件</w:t>
          </w:r>
          <w:r>
            <w:tab/>
          </w:r>
          <w:r>
            <w:fldChar w:fldCharType="begin"/>
          </w:r>
          <w:r>
            <w:instrText xml:space="preserve"> PAGEREF _Toc7667 \h </w:instrText>
          </w:r>
          <w:r>
            <w:fldChar w:fldCharType="separate"/>
          </w:r>
          <w:r>
            <w:t>47</w:t>
          </w:r>
          <w:r>
            <w:fldChar w:fldCharType="end"/>
          </w:r>
          <w:r>
            <w:fldChar w:fldCharType="end"/>
          </w:r>
        </w:p>
        <w:p>
          <w:pPr>
            <w:pStyle w:val="16"/>
            <w:tabs>
              <w:tab w:val="right" w:leader="dot" w:pos="9746"/>
            </w:tabs>
          </w:pPr>
          <w:r>
            <w:fldChar w:fldCharType="begin"/>
          </w:r>
          <w:r>
            <w:instrText xml:space="preserve"> HYPERLINK \l "_Toc20601" </w:instrText>
          </w:r>
          <w:r>
            <w:fldChar w:fldCharType="separate"/>
          </w:r>
          <w:r>
            <w:rPr>
              <w:rFonts w:hint="eastAsia" w:ascii="宋体" w:hAnsi="宋体" w:eastAsia="宋体" w:cs="宋体"/>
              <w:bCs/>
              <w:szCs w:val="28"/>
            </w:rPr>
            <w:t>十五、残疾人福利性单位声明函</w:t>
          </w:r>
          <w:r>
            <w:tab/>
          </w:r>
          <w:r>
            <w:fldChar w:fldCharType="begin"/>
          </w:r>
          <w:r>
            <w:instrText xml:space="preserve"> PAGEREF _Toc20601 \h </w:instrText>
          </w:r>
          <w:r>
            <w:fldChar w:fldCharType="separate"/>
          </w:r>
          <w:r>
            <w:t>48</w:t>
          </w:r>
          <w:r>
            <w:fldChar w:fldCharType="end"/>
          </w:r>
          <w:r>
            <w:fldChar w:fldCharType="end"/>
          </w:r>
        </w:p>
        <w:p>
          <w:pPr>
            <w:pStyle w:val="16"/>
            <w:tabs>
              <w:tab w:val="right" w:leader="dot" w:pos="9746"/>
            </w:tabs>
          </w:pPr>
          <w:r>
            <w:fldChar w:fldCharType="begin"/>
          </w:r>
          <w:r>
            <w:instrText xml:space="preserve"> HYPERLINK \l "_Toc23604" </w:instrText>
          </w:r>
          <w:r>
            <w:fldChar w:fldCharType="separate"/>
          </w:r>
          <w:r>
            <w:rPr>
              <w:rFonts w:hint="eastAsia" w:ascii="宋体" w:eastAsia="宋体" w:cs="宋体"/>
              <w:bCs/>
              <w:szCs w:val="28"/>
              <w:lang w:eastAsia="zh-CN"/>
            </w:rPr>
            <w:t>十六、主要商务要求承诺书</w:t>
          </w:r>
          <w:r>
            <w:tab/>
          </w:r>
          <w:r>
            <w:fldChar w:fldCharType="begin"/>
          </w:r>
          <w:r>
            <w:instrText xml:space="preserve"> PAGEREF _Toc23604 \h </w:instrText>
          </w:r>
          <w:r>
            <w:fldChar w:fldCharType="separate"/>
          </w:r>
          <w:r>
            <w:t>49</w:t>
          </w:r>
          <w:r>
            <w:fldChar w:fldCharType="end"/>
          </w:r>
          <w:r>
            <w:fldChar w:fldCharType="end"/>
          </w:r>
        </w:p>
        <w:p>
          <w:pPr>
            <w:pStyle w:val="16"/>
            <w:tabs>
              <w:tab w:val="right" w:leader="dot" w:pos="9746"/>
            </w:tabs>
          </w:pPr>
          <w:r>
            <w:fldChar w:fldCharType="begin"/>
          </w:r>
          <w:r>
            <w:instrText xml:space="preserve"> HYPERLINK \l "_Toc17165" </w:instrText>
          </w:r>
          <w:r>
            <w:fldChar w:fldCharType="separate"/>
          </w:r>
          <w:r>
            <w:rPr>
              <w:rFonts w:hint="eastAsia" w:ascii="宋体" w:eastAsia="宋体" w:cs="宋体"/>
              <w:bCs/>
              <w:szCs w:val="28"/>
              <w:lang w:eastAsia="zh-CN"/>
            </w:rPr>
            <w:t>十七、技术偏离表</w:t>
          </w:r>
          <w:r>
            <w:tab/>
          </w:r>
          <w:r>
            <w:fldChar w:fldCharType="begin"/>
          </w:r>
          <w:r>
            <w:instrText xml:space="preserve"> PAGEREF _Toc17165 \h </w:instrText>
          </w:r>
          <w:r>
            <w:fldChar w:fldCharType="separate"/>
          </w:r>
          <w:r>
            <w:t>50</w:t>
          </w:r>
          <w:r>
            <w:fldChar w:fldCharType="end"/>
          </w:r>
          <w:r>
            <w:fldChar w:fldCharType="end"/>
          </w:r>
        </w:p>
        <w:p>
          <w:pPr>
            <w:pStyle w:val="16"/>
            <w:tabs>
              <w:tab w:val="right" w:leader="dot" w:pos="9746"/>
            </w:tabs>
          </w:pPr>
          <w:r>
            <w:fldChar w:fldCharType="begin"/>
          </w:r>
          <w:r>
            <w:instrText xml:space="preserve"> HYPERLINK \l "_Toc21649" </w:instrText>
          </w:r>
          <w:r>
            <w:fldChar w:fldCharType="separate"/>
          </w:r>
          <w:r>
            <w:rPr>
              <w:rFonts w:hint="eastAsia" w:ascii="宋体" w:eastAsia="宋体" w:cs="宋体"/>
              <w:bCs/>
              <w:szCs w:val="28"/>
              <w:lang w:eastAsia="zh-CN"/>
            </w:rPr>
            <w:t>十八、项目组成人员一览表</w:t>
          </w:r>
          <w:r>
            <w:tab/>
          </w:r>
          <w:r>
            <w:fldChar w:fldCharType="begin"/>
          </w:r>
          <w:r>
            <w:instrText xml:space="preserve"> PAGEREF _Toc21649 \h </w:instrText>
          </w:r>
          <w:r>
            <w:fldChar w:fldCharType="separate"/>
          </w:r>
          <w:r>
            <w:t>51</w:t>
          </w:r>
          <w:r>
            <w:fldChar w:fldCharType="end"/>
          </w:r>
          <w:r>
            <w:fldChar w:fldCharType="end"/>
          </w:r>
        </w:p>
        <w:p>
          <w:pPr>
            <w:pStyle w:val="16"/>
            <w:tabs>
              <w:tab w:val="right" w:leader="dot" w:pos="9746"/>
            </w:tabs>
          </w:pPr>
          <w:r>
            <w:fldChar w:fldCharType="begin"/>
          </w:r>
          <w:r>
            <w:instrText xml:space="preserve"> HYPERLINK \l "_Toc24906" </w:instrText>
          </w:r>
          <w:r>
            <w:fldChar w:fldCharType="separate"/>
          </w:r>
          <w:r>
            <w:rPr>
              <w:rFonts w:hint="eastAsia" w:ascii="宋体" w:eastAsia="宋体" w:cs="宋体"/>
              <w:bCs/>
              <w:szCs w:val="28"/>
              <w:lang w:eastAsia="zh-CN"/>
            </w:rPr>
            <w:t>十九、项目实施方案、质量保证及售后服务承诺等</w:t>
          </w:r>
          <w:r>
            <w:tab/>
          </w:r>
          <w:r>
            <w:fldChar w:fldCharType="begin"/>
          </w:r>
          <w:r>
            <w:instrText xml:space="preserve"> PAGEREF _Toc24906 \h </w:instrText>
          </w:r>
          <w:r>
            <w:fldChar w:fldCharType="separate"/>
          </w:r>
          <w:r>
            <w:t>52</w:t>
          </w:r>
          <w:r>
            <w:fldChar w:fldCharType="end"/>
          </w:r>
          <w:r>
            <w:fldChar w:fldCharType="end"/>
          </w:r>
        </w:p>
        <w:p>
          <w:pPr>
            <w:pStyle w:val="16"/>
            <w:tabs>
              <w:tab w:val="right" w:leader="dot" w:pos="9746"/>
            </w:tabs>
          </w:pPr>
          <w:r>
            <w:fldChar w:fldCharType="begin"/>
          </w:r>
          <w:r>
            <w:instrText xml:space="preserve"> HYPERLINK \l "_Toc31999" </w:instrText>
          </w:r>
          <w:r>
            <w:fldChar w:fldCharType="separate"/>
          </w:r>
          <w:r>
            <w:rPr>
              <w:rFonts w:hint="eastAsia" w:ascii="宋体" w:eastAsia="宋体" w:cs="宋体"/>
              <w:bCs/>
              <w:szCs w:val="28"/>
              <w:lang w:eastAsia="zh-CN"/>
            </w:rPr>
            <w:t>二十、供应商业绩情况表</w:t>
          </w:r>
          <w:r>
            <w:tab/>
          </w:r>
          <w:r>
            <w:fldChar w:fldCharType="begin"/>
          </w:r>
          <w:r>
            <w:instrText xml:space="preserve"> PAGEREF _Toc31999 \h </w:instrText>
          </w:r>
          <w:r>
            <w:fldChar w:fldCharType="separate"/>
          </w:r>
          <w:r>
            <w:t>53</w:t>
          </w:r>
          <w:r>
            <w:fldChar w:fldCharType="end"/>
          </w:r>
          <w:r>
            <w:fldChar w:fldCharType="end"/>
          </w:r>
        </w:p>
        <w:p>
          <w:pPr>
            <w:pStyle w:val="16"/>
            <w:tabs>
              <w:tab w:val="right" w:leader="dot" w:pos="9746"/>
            </w:tabs>
          </w:pPr>
          <w:r>
            <w:fldChar w:fldCharType="begin"/>
          </w:r>
          <w:r>
            <w:instrText xml:space="preserve"> HYPERLINK \l "_Toc4914" </w:instrText>
          </w:r>
          <w:r>
            <w:fldChar w:fldCharType="separate"/>
          </w:r>
          <w:r>
            <w:rPr>
              <w:rFonts w:hint="eastAsia" w:ascii="宋体" w:eastAsia="宋体" w:cs="宋体"/>
              <w:bCs/>
              <w:szCs w:val="28"/>
              <w:lang w:eastAsia="zh-CN"/>
            </w:rPr>
            <w:t>二十一、其他证明材料</w:t>
          </w:r>
          <w:r>
            <w:tab/>
          </w:r>
          <w:r>
            <w:fldChar w:fldCharType="begin"/>
          </w:r>
          <w:r>
            <w:instrText xml:space="preserve"> PAGEREF _Toc4914 \h </w:instrText>
          </w:r>
          <w:r>
            <w:fldChar w:fldCharType="separate"/>
          </w:r>
          <w:r>
            <w:t>54</w:t>
          </w:r>
          <w:r>
            <w:fldChar w:fldCharType="end"/>
          </w:r>
          <w:r>
            <w:fldChar w:fldCharType="end"/>
          </w:r>
        </w:p>
        <w:p>
          <w:r>
            <w:fldChar w:fldCharType="end"/>
          </w:r>
        </w:p>
      </w:sdtContent>
    </w:sdt>
    <w:p/>
    <w:p>
      <w:pPr>
        <w:kinsoku/>
        <w:spacing w:line="360" w:lineRule="auto"/>
        <w:ind w:firstLine="562" w:firstLineChars="200"/>
        <w:jc w:val="center"/>
        <w:outlineLvl w:val="0"/>
        <w:rPr>
          <w:rFonts w:ascii="宋体" w:eastAsia="宋体" w:cs="宋体"/>
          <w:b/>
          <w:bCs/>
          <w:color w:val="auto"/>
          <w:sz w:val="28"/>
          <w:szCs w:val="28"/>
          <w:lang w:eastAsia="zh-CN"/>
        </w:rPr>
        <w:sectPr>
          <w:headerReference r:id="rId4" w:type="default"/>
          <w:footerReference r:id="rId5" w:type="default"/>
          <w:pgSz w:w="11906" w:h="16838"/>
          <w:pgMar w:top="1440" w:right="1080" w:bottom="1440" w:left="1080" w:header="0" w:footer="850" w:gutter="0"/>
          <w:pgNumType w:start="1"/>
          <w:cols w:space="0" w:num="1"/>
          <w:docGrid w:linePitch="312" w:charSpace="0"/>
        </w:sectPr>
      </w:pPr>
    </w:p>
    <w:p>
      <w:pPr>
        <w:kinsoku/>
        <w:spacing w:line="360" w:lineRule="auto"/>
        <w:ind w:firstLine="562" w:firstLineChars="200"/>
        <w:jc w:val="center"/>
        <w:outlineLvl w:val="0"/>
        <w:rPr>
          <w:rFonts w:ascii="宋体" w:eastAsia="宋体" w:cs="宋体"/>
          <w:color w:val="auto"/>
          <w:sz w:val="24"/>
          <w:szCs w:val="24"/>
          <w:lang w:eastAsia="zh-CN"/>
        </w:rPr>
      </w:pPr>
      <w:bookmarkStart w:id="0" w:name="_Toc2173"/>
      <w:r>
        <w:rPr>
          <w:rFonts w:hint="eastAsia" w:ascii="宋体" w:eastAsia="宋体" w:cs="宋体"/>
          <w:b/>
          <w:bCs/>
          <w:color w:val="auto"/>
          <w:sz w:val="28"/>
          <w:szCs w:val="28"/>
          <w:lang w:eastAsia="zh-CN"/>
        </w:rPr>
        <w:t>第一章  磋商邀请</w:t>
      </w:r>
      <w:bookmarkEnd w:id="0"/>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内蒙古灏越项目管理有限公司受赤峰市生态环境监控中心委托，采用竞争性磋商方式组织采购赤峰市生态环境监控中心资产清查及项目盘点项目，欢迎符合资格条件的供应商前来参加。</w:t>
      </w:r>
    </w:p>
    <w:p>
      <w:pPr>
        <w:kinsoku/>
        <w:spacing w:line="360" w:lineRule="auto"/>
        <w:ind w:firstLine="481" w:firstLineChars="200"/>
        <w:outlineLvl w:val="1"/>
        <w:rPr>
          <w:rFonts w:ascii="宋体" w:eastAsia="宋体" w:cs="宋体"/>
          <w:b/>
          <w:bCs/>
          <w:color w:val="auto"/>
          <w:sz w:val="24"/>
          <w:szCs w:val="24"/>
          <w:lang w:eastAsia="zh-CN"/>
        </w:rPr>
      </w:pPr>
      <w:bookmarkStart w:id="1" w:name="_Toc16859"/>
      <w:r>
        <w:rPr>
          <w:rFonts w:hint="eastAsia" w:ascii="宋体" w:eastAsia="宋体" w:cs="宋体"/>
          <w:b/>
          <w:bCs/>
          <w:color w:val="auto"/>
          <w:sz w:val="24"/>
          <w:szCs w:val="24"/>
          <w:lang w:eastAsia="zh-CN"/>
        </w:rPr>
        <w:t>一、项目概述</w:t>
      </w:r>
      <w:bookmarkEnd w:id="1"/>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1.名称与编号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项目名称：赤峰市生态环境监控中心资产清查及项目盘点项目</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项目编号：NMGHY26C-2026FW-01</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2.内容及划分采购包情况</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采购包1：赤峰市生态环境监控中心资产清查及项目盘点项目</w:t>
      </w:r>
    </w:p>
    <w:p>
      <w:pPr>
        <w:ind w:firstLine="480" w:firstLineChars="200"/>
        <w:rPr>
          <w:color w:val="auto"/>
          <w:lang w:eastAsia="zh-CN"/>
        </w:rPr>
      </w:pPr>
      <w:r>
        <w:rPr>
          <w:rFonts w:hint="eastAsia" w:ascii="宋体" w:hAnsi="宋体" w:eastAsia="宋体" w:cs="宋体"/>
          <w:color w:val="auto"/>
          <w:sz w:val="24"/>
          <w:szCs w:val="24"/>
          <w:lang w:eastAsia="zh-CN"/>
        </w:rPr>
        <w:t>采购包预算金额（元）:141300.00</w:t>
      </w:r>
    </w:p>
    <w:tbl>
      <w:tblPr>
        <w:tblStyle w:val="20"/>
        <w:tblW w:w="91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1883"/>
        <w:gridCol w:w="947"/>
        <w:gridCol w:w="882"/>
        <w:gridCol w:w="1960"/>
        <w:gridCol w:w="1477"/>
        <w:gridCol w:w="14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jc w:val="center"/>
        </w:trPr>
        <w:tc>
          <w:tcPr>
            <w:tcW w:w="571" w:type="dxa"/>
            <w:shd w:val="clear" w:color="auto" w:fill="auto"/>
            <w:vAlign w:val="center"/>
          </w:tcPr>
          <w:p>
            <w:pPr>
              <w:pStyle w:val="39"/>
              <w:jc w:val="center"/>
              <w:rPr>
                <w:rFonts w:hint="default" w:ascii="宋体" w:hAnsi="宋体" w:eastAsia="宋体" w:cs="宋体"/>
                <w:b/>
                <w:bCs/>
              </w:rPr>
            </w:pPr>
            <w:r>
              <w:rPr>
                <w:rFonts w:ascii="宋体" w:hAnsi="宋体" w:eastAsia="宋体" w:cs="宋体"/>
                <w:b/>
                <w:bCs/>
              </w:rPr>
              <w:t>序号</w:t>
            </w:r>
          </w:p>
        </w:tc>
        <w:tc>
          <w:tcPr>
            <w:tcW w:w="1883" w:type="dxa"/>
            <w:vAlign w:val="center"/>
          </w:tcPr>
          <w:p>
            <w:pPr>
              <w:pStyle w:val="39"/>
              <w:jc w:val="center"/>
              <w:rPr>
                <w:rFonts w:hint="default" w:ascii="宋体" w:hAnsi="宋体" w:eastAsia="宋体" w:cs="宋体"/>
                <w:b/>
                <w:bCs/>
              </w:rPr>
            </w:pPr>
            <w:r>
              <w:rPr>
                <w:rFonts w:ascii="宋体" w:hAnsi="宋体" w:eastAsia="宋体" w:cs="宋体"/>
                <w:b/>
                <w:bCs/>
              </w:rPr>
              <w:t>标的名称</w:t>
            </w:r>
          </w:p>
        </w:tc>
        <w:tc>
          <w:tcPr>
            <w:tcW w:w="947" w:type="dxa"/>
            <w:vAlign w:val="center"/>
          </w:tcPr>
          <w:p>
            <w:pPr>
              <w:pStyle w:val="39"/>
              <w:jc w:val="center"/>
              <w:rPr>
                <w:rFonts w:hint="default" w:ascii="宋体" w:hAnsi="宋体" w:eastAsia="宋体" w:cs="宋体"/>
                <w:b/>
                <w:bCs/>
              </w:rPr>
            </w:pPr>
            <w:r>
              <w:rPr>
                <w:rFonts w:ascii="宋体" w:hAnsi="宋体" w:eastAsia="宋体" w:cs="宋体"/>
                <w:b/>
                <w:bCs/>
              </w:rPr>
              <w:t>数量</w:t>
            </w:r>
          </w:p>
        </w:tc>
        <w:tc>
          <w:tcPr>
            <w:tcW w:w="882" w:type="dxa"/>
            <w:shd w:val="clear" w:color="auto" w:fill="auto"/>
            <w:vAlign w:val="center"/>
          </w:tcPr>
          <w:p>
            <w:pPr>
              <w:pStyle w:val="39"/>
              <w:jc w:val="center"/>
              <w:rPr>
                <w:rFonts w:hint="default" w:ascii="宋体" w:hAnsi="宋体" w:eastAsia="宋体" w:cs="宋体"/>
                <w:b/>
                <w:bCs/>
              </w:rPr>
            </w:pPr>
            <w:r>
              <w:rPr>
                <w:rFonts w:ascii="宋体" w:hAnsi="宋体" w:eastAsia="宋体" w:cs="宋体"/>
                <w:b/>
                <w:bCs/>
              </w:rPr>
              <w:t>单位</w:t>
            </w:r>
          </w:p>
        </w:tc>
        <w:tc>
          <w:tcPr>
            <w:tcW w:w="1960" w:type="dxa"/>
            <w:shd w:val="clear" w:color="auto" w:fill="auto"/>
            <w:vAlign w:val="center"/>
          </w:tcPr>
          <w:p>
            <w:pPr>
              <w:pStyle w:val="39"/>
              <w:jc w:val="center"/>
              <w:rPr>
                <w:rFonts w:hint="default" w:ascii="宋体" w:hAnsi="宋体" w:eastAsia="宋体" w:cs="宋体"/>
                <w:b/>
                <w:bCs/>
              </w:rPr>
            </w:pPr>
            <w:r>
              <w:rPr>
                <w:rFonts w:ascii="宋体" w:hAnsi="宋体" w:eastAsia="宋体" w:cs="宋体"/>
                <w:b/>
                <w:bCs/>
              </w:rPr>
              <w:t>技术规格、参数及要求</w:t>
            </w:r>
          </w:p>
        </w:tc>
        <w:tc>
          <w:tcPr>
            <w:tcW w:w="1477" w:type="dxa"/>
            <w:shd w:val="clear" w:color="auto" w:fill="auto"/>
            <w:vAlign w:val="center"/>
          </w:tcPr>
          <w:p>
            <w:pPr>
              <w:pStyle w:val="39"/>
              <w:jc w:val="center"/>
              <w:rPr>
                <w:rFonts w:hint="default" w:ascii="宋体" w:hAnsi="宋体" w:eastAsia="宋体" w:cs="宋体"/>
                <w:b/>
                <w:bCs/>
              </w:rPr>
            </w:pPr>
            <w:r>
              <w:rPr>
                <w:rFonts w:ascii="宋体" w:hAnsi="宋体" w:eastAsia="宋体" w:cs="宋体"/>
                <w:b/>
                <w:bCs/>
              </w:rPr>
              <w:t>标的预算（元）</w:t>
            </w:r>
          </w:p>
        </w:tc>
        <w:tc>
          <w:tcPr>
            <w:tcW w:w="1436" w:type="dxa"/>
            <w:shd w:val="clear" w:color="auto" w:fill="auto"/>
            <w:vAlign w:val="center"/>
          </w:tcPr>
          <w:p>
            <w:pPr>
              <w:pStyle w:val="39"/>
              <w:jc w:val="center"/>
              <w:rPr>
                <w:rFonts w:hint="default" w:ascii="宋体" w:hAnsi="宋体" w:eastAsia="宋体" w:cs="宋体"/>
                <w:b/>
                <w:bCs/>
              </w:rPr>
            </w:pPr>
            <w:r>
              <w:rPr>
                <w:rFonts w:ascii="宋体" w:hAnsi="宋体" w:eastAsia="宋体" w:cs="宋体"/>
                <w:b/>
                <w:bCs/>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jc w:val="center"/>
        </w:trPr>
        <w:tc>
          <w:tcPr>
            <w:tcW w:w="571" w:type="dxa"/>
            <w:shd w:val="clear" w:color="auto" w:fill="auto"/>
            <w:vAlign w:val="center"/>
          </w:tcPr>
          <w:p>
            <w:pPr>
              <w:pStyle w:val="39"/>
              <w:jc w:val="center"/>
              <w:rPr>
                <w:rFonts w:hint="default" w:ascii="宋体" w:hAnsi="宋体" w:eastAsia="宋体" w:cs="宋体"/>
              </w:rPr>
            </w:pPr>
            <w:r>
              <w:rPr>
                <w:rFonts w:ascii="宋体" w:hAnsi="宋体" w:eastAsia="宋体" w:cs="宋体"/>
              </w:rPr>
              <w:t>1</w:t>
            </w:r>
          </w:p>
        </w:tc>
        <w:tc>
          <w:tcPr>
            <w:tcW w:w="1883" w:type="dxa"/>
            <w:vAlign w:val="center"/>
          </w:tcPr>
          <w:p>
            <w:pPr>
              <w:jc w:val="center"/>
              <w:rPr>
                <w:rFonts w:ascii="宋体" w:hAnsi="宋体" w:eastAsia="宋体" w:cs="宋体"/>
                <w:color w:val="auto"/>
                <w:lang w:eastAsia="zh-CN"/>
              </w:rPr>
            </w:pPr>
            <w:r>
              <w:rPr>
                <w:rFonts w:hint="eastAsia" w:ascii="宋体" w:hAnsi="宋体" w:eastAsia="宋体" w:cs="宋体"/>
                <w:color w:val="auto"/>
                <w:lang w:eastAsia="zh-CN"/>
              </w:rPr>
              <w:t>资产清查及项目盘点</w:t>
            </w:r>
          </w:p>
        </w:tc>
        <w:tc>
          <w:tcPr>
            <w:tcW w:w="947" w:type="dxa"/>
            <w:vAlign w:val="center"/>
          </w:tcPr>
          <w:p>
            <w:pPr>
              <w:jc w:val="center"/>
              <w:rPr>
                <w:rFonts w:ascii="宋体" w:hAnsi="宋体" w:eastAsia="宋体" w:cs="宋体"/>
                <w:color w:val="auto"/>
                <w:lang w:eastAsia="zh-CN"/>
              </w:rPr>
            </w:pPr>
            <w:r>
              <w:rPr>
                <w:rFonts w:hint="eastAsia" w:ascii="宋体" w:hAnsi="宋体" w:eastAsia="宋体" w:cs="宋体"/>
                <w:color w:val="auto"/>
                <w:lang w:eastAsia="zh-CN"/>
              </w:rPr>
              <w:t>1</w:t>
            </w:r>
          </w:p>
        </w:tc>
        <w:tc>
          <w:tcPr>
            <w:tcW w:w="882" w:type="dxa"/>
            <w:shd w:val="clear" w:color="auto" w:fill="auto"/>
            <w:vAlign w:val="center"/>
          </w:tcPr>
          <w:p>
            <w:pPr>
              <w:jc w:val="center"/>
              <w:rPr>
                <w:rFonts w:ascii="宋体" w:hAnsi="宋体" w:eastAsia="宋体" w:cs="宋体"/>
                <w:color w:val="auto"/>
                <w:lang w:eastAsia="zh-CN"/>
              </w:rPr>
            </w:pPr>
            <w:r>
              <w:rPr>
                <w:rFonts w:hint="eastAsia" w:ascii="宋体" w:hAnsi="宋体" w:eastAsia="宋体" w:cs="宋体"/>
                <w:color w:val="auto"/>
                <w:lang w:eastAsia="zh-CN"/>
              </w:rPr>
              <w:t>项</w:t>
            </w:r>
          </w:p>
        </w:tc>
        <w:tc>
          <w:tcPr>
            <w:tcW w:w="1960" w:type="dxa"/>
            <w:shd w:val="clear" w:color="auto" w:fill="auto"/>
            <w:vAlign w:val="center"/>
          </w:tcPr>
          <w:p>
            <w:pPr>
              <w:jc w:val="center"/>
              <w:rPr>
                <w:rFonts w:ascii="宋体" w:hAnsi="宋体" w:eastAsia="宋体" w:cs="宋体"/>
                <w:color w:val="auto"/>
                <w:lang w:eastAsia="zh-CN"/>
              </w:rPr>
            </w:pPr>
            <w:r>
              <w:rPr>
                <w:rFonts w:hint="eastAsia" w:ascii="宋体" w:hAnsi="宋体" w:eastAsia="宋体" w:cs="宋体"/>
                <w:color w:val="auto"/>
                <w:lang w:eastAsia="zh-CN"/>
              </w:rPr>
              <w:t>详见采购文件</w:t>
            </w:r>
          </w:p>
          <w:p>
            <w:pPr>
              <w:jc w:val="center"/>
              <w:rPr>
                <w:rFonts w:ascii="宋体" w:hAnsi="宋体" w:eastAsia="宋体" w:cs="宋体"/>
                <w:color w:val="auto"/>
                <w:lang w:eastAsia="zh-CN"/>
              </w:rPr>
            </w:pPr>
            <w:r>
              <w:rPr>
                <w:rFonts w:hint="eastAsia" w:ascii="宋体" w:hAnsi="宋体" w:eastAsia="宋体" w:cs="宋体"/>
                <w:color w:val="auto"/>
                <w:lang w:eastAsia="zh-CN"/>
              </w:rPr>
              <w:t>第三章</w:t>
            </w:r>
          </w:p>
        </w:tc>
        <w:tc>
          <w:tcPr>
            <w:tcW w:w="1477" w:type="dxa"/>
            <w:shd w:val="clear" w:color="auto" w:fill="auto"/>
            <w:vAlign w:val="center"/>
          </w:tcPr>
          <w:p>
            <w:pPr>
              <w:jc w:val="center"/>
              <w:rPr>
                <w:rFonts w:ascii="宋体" w:hAnsi="宋体" w:eastAsia="宋体" w:cs="宋体"/>
                <w:color w:val="auto"/>
                <w:lang w:eastAsia="zh-CN"/>
              </w:rPr>
            </w:pPr>
            <w:r>
              <w:rPr>
                <w:rFonts w:hint="eastAsia" w:ascii="宋体" w:hAnsi="宋体" w:eastAsia="宋体" w:cs="宋体"/>
                <w:color w:val="auto"/>
                <w:sz w:val="24"/>
                <w:szCs w:val="24"/>
                <w:lang w:eastAsia="zh-CN"/>
              </w:rPr>
              <w:t>141300.00</w:t>
            </w:r>
          </w:p>
        </w:tc>
        <w:tc>
          <w:tcPr>
            <w:tcW w:w="1436" w:type="dxa"/>
            <w:shd w:val="clear" w:color="auto" w:fill="auto"/>
            <w:vAlign w:val="center"/>
          </w:tcPr>
          <w:p>
            <w:pPr>
              <w:pStyle w:val="39"/>
              <w:jc w:val="center"/>
              <w:rPr>
                <w:rFonts w:hint="default" w:ascii="宋体" w:hAnsi="宋体" w:eastAsia="宋体" w:cs="宋体"/>
              </w:rPr>
            </w:pPr>
            <w:r>
              <w:rPr>
                <w:rFonts w:ascii="宋体" w:hAnsi="宋体" w:eastAsia="宋体" w:cs="宋体"/>
                <w:sz w:val="21"/>
                <w:szCs w:val="21"/>
              </w:rPr>
              <w:t>其他未列明行业</w:t>
            </w:r>
          </w:p>
        </w:tc>
      </w:tr>
    </w:tbl>
    <w:p>
      <w:pPr>
        <w:kinsoku/>
        <w:spacing w:before="240" w:beforeLines="100" w:line="360" w:lineRule="auto"/>
        <w:ind w:firstLine="481" w:firstLineChars="200"/>
        <w:outlineLvl w:val="1"/>
        <w:rPr>
          <w:rFonts w:ascii="宋体" w:eastAsia="宋体" w:cs="宋体"/>
          <w:color w:val="auto"/>
          <w:sz w:val="24"/>
          <w:szCs w:val="24"/>
        </w:rPr>
      </w:pPr>
      <w:bookmarkStart w:id="2" w:name="_Toc1174"/>
      <w:r>
        <w:rPr>
          <w:rFonts w:hint="eastAsia" w:ascii="宋体" w:eastAsia="宋体" w:cs="宋体"/>
          <w:b/>
          <w:bCs/>
          <w:color w:val="auto"/>
          <w:sz w:val="24"/>
          <w:szCs w:val="24"/>
        </w:rPr>
        <w:t>二、供应商的资格要求</w:t>
      </w:r>
      <w:bookmarkEnd w:id="2"/>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1.供应商应符合《中华人民共和国政府采购法》第二十二条规定的条件。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2.资格审查时，供应商未被列入失信被执行人、重大税收违法失信主体名单、政府采购严重违法失信行为记录名单，相关信用情况通过“信用中国”网站、中国政府采购网等渠道查询。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3.落实政府采购政策需满足的资格要求：</w:t>
      </w:r>
      <w:r>
        <w:rPr>
          <w:rFonts w:hint="eastAsia" w:ascii="宋体" w:hAnsi="宋体" w:eastAsia="宋体" w:cs="宋体"/>
          <w:color w:val="auto"/>
          <w:sz w:val="24"/>
          <w:szCs w:val="24"/>
          <w:lang w:eastAsia="zh-CN"/>
        </w:rPr>
        <w:t>本项目专门面向中小企业采购,供应商应为符合政策要求的中小微企业、监狱企业或残疾人福利性单位。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4.本项目的特定资格要求：供应商需提供会计师事务所执业证书。</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5.本项目接受联合体投标：本项目不接受联合体投标。</w:t>
      </w:r>
    </w:p>
    <w:p>
      <w:pPr>
        <w:kinsoku/>
        <w:spacing w:line="360" w:lineRule="auto"/>
        <w:ind w:firstLine="481" w:firstLineChars="200"/>
        <w:outlineLvl w:val="1"/>
        <w:rPr>
          <w:rFonts w:ascii="宋体" w:eastAsia="宋体" w:cs="宋体"/>
          <w:color w:val="auto"/>
          <w:sz w:val="24"/>
          <w:szCs w:val="24"/>
          <w:lang w:eastAsia="zh-CN"/>
        </w:rPr>
      </w:pPr>
      <w:bookmarkStart w:id="3" w:name="_Toc9686"/>
      <w:r>
        <w:rPr>
          <w:rFonts w:hint="eastAsia" w:ascii="宋体" w:eastAsia="宋体" w:cs="宋体"/>
          <w:b/>
          <w:bCs/>
          <w:color w:val="auto"/>
          <w:sz w:val="24"/>
          <w:szCs w:val="24"/>
          <w:lang w:eastAsia="zh-CN"/>
        </w:rPr>
        <w:t>三、获取磋商文件的时间、地点、方式</w:t>
      </w:r>
      <w:bookmarkEnd w:id="3"/>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详见竞争性磋商公告</w:t>
      </w:r>
    </w:p>
    <w:p>
      <w:pPr>
        <w:kinsoku/>
        <w:spacing w:line="360" w:lineRule="auto"/>
        <w:ind w:firstLine="481" w:firstLineChars="200"/>
        <w:outlineLvl w:val="1"/>
        <w:rPr>
          <w:rFonts w:ascii="宋体" w:eastAsia="宋体" w:cs="宋体"/>
          <w:color w:val="auto"/>
          <w:sz w:val="24"/>
          <w:szCs w:val="24"/>
          <w:lang w:eastAsia="zh-CN"/>
        </w:rPr>
      </w:pPr>
      <w:bookmarkStart w:id="4" w:name="_Toc9200"/>
      <w:r>
        <w:rPr>
          <w:rFonts w:hint="eastAsia" w:ascii="宋体" w:eastAsia="宋体" w:cs="宋体"/>
          <w:b/>
          <w:bCs/>
          <w:color w:val="auto"/>
          <w:sz w:val="24"/>
          <w:szCs w:val="24"/>
          <w:lang w:eastAsia="zh-CN"/>
        </w:rPr>
        <w:t>四、磋商文件售价</w:t>
      </w:r>
      <w:bookmarkEnd w:id="4"/>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本次磋商文件的售价为0元人民币。</w:t>
      </w:r>
    </w:p>
    <w:p>
      <w:pPr>
        <w:kinsoku/>
        <w:spacing w:line="360" w:lineRule="auto"/>
        <w:ind w:firstLine="481" w:firstLineChars="200"/>
        <w:outlineLvl w:val="1"/>
        <w:rPr>
          <w:rFonts w:ascii="宋体" w:eastAsia="宋体" w:cs="宋体"/>
          <w:color w:val="auto"/>
          <w:sz w:val="24"/>
          <w:szCs w:val="24"/>
          <w:lang w:eastAsia="zh-CN"/>
        </w:rPr>
      </w:pPr>
      <w:bookmarkStart w:id="5" w:name="_Toc27010"/>
      <w:r>
        <w:rPr>
          <w:rFonts w:hint="eastAsia" w:ascii="宋体" w:eastAsia="宋体" w:cs="宋体"/>
          <w:b/>
          <w:bCs/>
          <w:color w:val="auto"/>
          <w:sz w:val="24"/>
          <w:szCs w:val="24"/>
          <w:lang w:eastAsia="zh-CN"/>
        </w:rPr>
        <w:t>五、响应文件提交的截止时间、开启时间和地点</w:t>
      </w:r>
      <w:bookmarkEnd w:id="5"/>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详见竞争性磋商公告</w:t>
      </w:r>
    </w:p>
    <w:p>
      <w:pPr>
        <w:kinsoku/>
        <w:spacing w:line="360" w:lineRule="auto"/>
        <w:ind w:firstLine="481" w:firstLineChars="200"/>
        <w:outlineLvl w:val="1"/>
        <w:rPr>
          <w:rFonts w:ascii="宋体" w:eastAsia="宋体" w:cs="宋体"/>
          <w:color w:val="auto"/>
          <w:sz w:val="24"/>
          <w:szCs w:val="24"/>
          <w:lang w:eastAsia="zh-CN"/>
        </w:rPr>
      </w:pPr>
      <w:bookmarkStart w:id="6" w:name="_Toc26845"/>
      <w:r>
        <w:rPr>
          <w:rFonts w:hint="eastAsia" w:ascii="宋体" w:eastAsia="宋体" w:cs="宋体"/>
          <w:b/>
          <w:bCs/>
          <w:color w:val="auto"/>
          <w:sz w:val="24"/>
          <w:szCs w:val="24"/>
          <w:lang w:eastAsia="zh-CN"/>
        </w:rPr>
        <w:t>六、联系方式</w:t>
      </w:r>
      <w:bookmarkEnd w:id="6"/>
    </w:p>
    <w:p>
      <w:pPr>
        <w:widowControl w:val="0"/>
        <w:kinsoku/>
        <w:autoSpaceDE/>
        <w:autoSpaceDN/>
        <w:adjustRightInd/>
        <w:snapToGrid/>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1.采购人信息</w:t>
      </w:r>
    </w:p>
    <w:p>
      <w:pPr>
        <w:widowControl w:val="0"/>
        <w:kinsoku/>
        <w:autoSpaceDE/>
        <w:autoSpaceDN/>
        <w:adjustRightInd/>
        <w:snapToGrid/>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名    称：赤峰市生态环境监控中心</w:t>
      </w:r>
    </w:p>
    <w:p>
      <w:pPr>
        <w:widowControl w:val="0"/>
        <w:kinsoku/>
        <w:autoSpaceDE/>
        <w:autoSpaceDN/>
        <w:adjustRightInd/>
        <w:snapToGrid/>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地    址：赤峰市松山区广场路32号</w:t>
      </w:r>
    </w:p>
    <w:p>
      <w:pPr>
        <w:widowControl w:val="0"/>
        <w:kinsoku/>
        <w:autoSpaceDE/>
        <w:autoSpaceDN/>
        <w:adjustRightInd/>
        <w:snapToGrid/>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联系方式：许晨曦 18604766181</w:t>
      </w:r>
    </w:p>
    <w:p>
      <w:pPr>
        <w:widowControl w:val="0"/>
        <w:kinsoku/>
        <w:autoSpaceDE/>
        <w:autoSpaceDN/>
        <w:adjustRightInd/>
        <w:snapToGrid/>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w:t>
      </w:r>
    </w:p>
    <w:p>
      <w:pPr>
        <w:widowControl w:val="0"/>
        <w:kinsoku/>
        <w:autoSpaceDE/>
        <w:autoSpaceDN/>
        <w:adjustRightInd/>
        <w:snapToGrid/>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2.采购代理机构信息</w:t>
      </w:r>
    </w:p>
    <w:p>
      <w:pPr>
        <w:widowControl w:val="0"/>
        <w:kinsoku/>
        <w:autoSpaceDE/>
        <w:autoSpaceDN/>
        <w:adjustRightInd/>
        <w:snapToGrid/>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名    称：内蒙古灏越项目管理有限公司</w:t>
      </w:r>
    </w:p>
    <w:p>
      <w:pPr>
        <w:widowControl w:val="0"/>
        <w:kinsoku/>
        <w:autoSpaceDE/>
        <w:autoSpaceDN/>
        <w:adjustRightInd/>
        <w:snapToGrid/>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地    址：内蒙古自治区赤峰市松山区中信大厦B座7楼</w:t>
      </w:r>
    </w:p>
    <w:p>
      <w:pPr>
        <w:widowControl w:val="0"/>
        <w:kinsoku/>
        <w:autoSpaceDE/>
        <w:autoSpaceDN/>
        <w:adjustRightInd/>
        <w:snapToGrid/>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联系方式：刘工 18204768464</w:t>
      </w:r>
    </w:p>
    <w:p>
      <w:pPr>
        <w:kinsoku/>
        <w:spacing w:line="360" w:lineRule="auto"/>
        <w:rPr>
          <w:rFonts w:ascii="宋体" w:eastAsia="宋体" w:cs="宋体"/>
          <w:color w:val="auto"/>
          <w:sz w:val="24"/>
          <w:szCs w:val="24"/>
          <w:lang w:eastAsia="zh-CN"/>
        </w:rPr>
      </w:pPr>
    </w:p>
    <w:p>
      <w:pPr>
        <w:pStyle w:val="2"/>
        <w:rPr>
          <w:rFonts w:ascii="宋体" w:eastAsia="宋体" w:cs="宋体"/>
          <w:color w:val="auto"/>
          <w:sz w:val="24"/>
          <w:szCs w:val="24"/>
          <w:lang w:eastAsia="zh-CN"/>
        </w:rPr>
      </w:pPr>
    </w:p>
    <w:p>
      <w:pPr>
        <w:widowControl w:val="0"/>
        <w:kinsoku/>
        <w:autoSpaceDE/>
        <w:autoSpaceDN/>
        <w:adjustRightInd/>
        <w:snapToGrid/>
        <w:spacing w:line="360" w:lineRule="auto"/>
        <w:ind w:firstLine="480" w:firstLineChars="200"/>
        <w:jc w:val="righ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内蒙古灏越项目管理有限公司</w:t>
      </w:r>
    </w:p>
    <w:p>
      <w:pPr>
        <w:widowControl w:val="0"/>
        <w:kinsoku/>
        <w:autoSpaceDE/>
        <w:autoSpaceDN/>
        <w:adjustRightInd/>
        <w:snapToGrid/>
        <w:spacing w:line="360" w:lineRule="auto"/>
        <w:ind w:firstLine="480" w:firstLineChars="200"/>
        <w:jc w:val="right"/>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2026年04月02日</w:t>
      </w:r>
    </w:p>
    <w:p>
      <w:pPr>
        <w:widowControl w:val="0"/>
        <w:kinsoku/>
        <w:autoSpaceDE/>
        <w:autoSpaceDN/>
        <w:adjustRightInd/>
        <w:snapToGrid/>
        <w:spacing w:line="360" w:lineRule="auto"/>
        <w:ind w:firstLine="480" w:firstLineChars="200"/>
        <w:jc w:val="right"/>
        <w:rPr>
          <w:rFonts w:ascii="宋体" w:hAnsi="宋体" w:eastAsia="宋体" w:cs="宋体"/>
          <w:color w:val="auto"/>
          <w:sz w:val="24"/>
          <w:szCs w:val="24"/>
          <w:lang w:eastAsia="zh-CN"/>
        </w:rPr>
        <w:sectPr>
          <w:footerReference r:id="rId6" w:type="default"/>
          <w:pgSz w:w="11906" w:h="16838"/>
          <w:pgMar w:top="1440" w:right="1080" w:bottom="1440" w:left="1080" w:header="0" w:footer="850" w:gutter="0"/>
          <w:pgNumType w:start="1"/>
          <w:cols w:space="0" w:num="1"/>
          <w:docGrid w:linePitch="312" w:charSpace="0"/>
        </w:sectPr>
      </w:pPr>
    </w:p>
    <w:p>
      <w:pPr>
        <w:kinsoku/>
        <w:spacing w:line="360" w:lineRule="auto"/>
        <w:ind w:firstLine="562" w:firstLineChars="200"/>
        <w:jc w:val="center"/>
        <w:outlineLvl w:val="0"/>
        <w:rPr>
          <w:rFonts w:ascii="宋体" w:eastAsia="宋体" w:cs="宋体"/>
          <w:color w:val="auto"/>
          <w:sz w:val="24"/>
          <w:szCs w:val="24"/>
          <w:lang w:eastAsia="zh-CN"/>
        </w:rPr>
      </w:pPr>
      <w:bookmarkStart w:id="7" w:name="_Toc2956"/>
      <w:r>
        <w:rPr>
          <w:rFonts w:hint="eastAsia" w:ascii="宋体" w:eastAsia="宋体" w:cs="宋体"/>
          <w:b/>
          <w:bCs/>
          <w:color w:val="auto"/>
          <w:sz w:val="28"/>
          <w:szCs w:val="28"/>
          <w:lang w:eastAsia="zh-CN"/>
        </w:rPr>
        <w:t>第二章  供应商须知</w:t>
      </w:r>
      <w:bookmarkEnd w:id="7"/>
    </w:p>
    <w:p>
      <w:pPr>
        <w:kinsoku/>
        <w:spacing w:line="360" w:lineRule="auto"/>
        <w:ind w:firstLine="481" w:firstLineChars="200"/>
        <w:outlineLvl w:val="1"/>
        <w:rPr>
          <w:rFonts w:ascii="宋体" w:eastAsia="宋体" w:cs="宋体"/>
          <w:color w:val="auto"/>
          <w:sz w:val="24"/>
          <w:szCs w:val="24"/>
        </w:rPr>
      </w:pPr>
      <w:bookmarkStart w:id="8" w:name="_Toc20073"/>
      <w:r>
        <w:rPr>
          <w:rFonts w:hint="eastAsia" w:ascii="宋体" w:eastAsia="宋体" w:cs="宋体"/>
          <w:b/>
          <w:bCs/>
          <w:color w:val="auto"/>
          <w:sz w:val="24"/>
          <w:szCs w:val="24"/>
        </w:rPr>
        <w:t>一、前附表</w:t>
      </w:r>
      <w:bookmarkEnd w:id="8"/>
    </w:p>
    <w:tbl>
      <w:tblPr>
        <w:tblStyle w:val="20"/>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3358"/>
        <w:gridCol w:w="4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序号</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事项</w:t>
            </w:r>
          </w:p>
        </w:tc>
        <w:tc>
          <w:tcPr>
            <w:tcW w:w="463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划分采购包情况</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共</w:t>
            </w:r>
            <w:r>
              <w:rPr>
                <w:rFonts w:hint="eastAsia" w:ascii="宋体" w:eastAsia="宋体" w:cs="宋体"/>
                <w:color w:val="auto"/>
                <w:sz w:val="24"/>
                <w:szCs w:val="24"/>
                <w:lang w:eastAsia="zh-CN"/>
              </w:rPr>
              <w:t xml:space="preserve"> 1 </w:t>
            </w:r>
            <w:r>
              <w:rPr>
                <w:rFonts w:hint="eastAsia" w:ascii="宋体" w:eastAsia="宋体" w:cs="宋体"/>
                <w:color w:val="auto"/>
                <w:sz w:val="24"/>
                <w:szCs w:val="24"/>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2</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采购方式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3</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开启方式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线下开启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4</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评审方式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现场评审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5</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评审方法</w:t>
            </w:r>
          </w:p>
        </w:tc>
        <w:tc>
          <w:tcPr>
            <w:tcW w:w="4638" w:type="dxa"/>
            <w:tcBorders>
              <w:tl2br w:val="nil"/>
              <w:tr2bl w:val="nil"/>
            </w:tcBorders>
            <w:shd w:val="clear" w:color="auto" w:fill="auto"/>
            <w:vAlign w:val="center"/>
          </w:tcPr>
          <w:p>
            <w:pPr>
              <w:kinsoku/>
              <w:spacing w:line="360" w:lineRule="auto"/>
              <w:jc w:val="both"/>
              <w:rPr>
                <w:color w:val="auto"/>
              </w:rPr>
            </w:pPr>
            <w:r>
              <w:rPr>
                <w:rFonts w:hint="eastAsia" w:ascii="宋体" w:eastAsia="宋体" w:cs="宋体"/>
                <w:color w:val="auto"/>
                <w:sz w:val="24"/>
                <w:szCs w:val="24"/>
                <w:lang w:eastAsia="zh-CN"/>
              </w:rPr>
              <w:t>采购包1：</w:t>
            </w:r>
            <w:r>
              <w:rPr>
                <w:rFonts w:hint="eastAsia" w:ascii="宋体" w:eastAsia="宋体" w:cs="宋体"/>
                <w:color w:val="auto"/>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6</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获取磋商文件时间</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7</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磋商保证金缴纳截止时间</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不需要缴纳磋商保证金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8</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响应文件提交</w:t>
            </w:r>
          </w:p>
        </w:tc>
        <w:tc>
          <w:tcPr>
            <w:tcW w:w="4638" w:type="dxa"/>
            <w:tcBorders>
              <w:tl2br w:val="nil"/>
              <w:tr2bl w:val="nil"/>
            </w:tcBorders>
            <w:shd w:val="clear" w:color="auto" w:fill="auto"/>
            <w:vAlign w:val="center"/>
          </w:tcPr>
          <w:p>
            <w:pPr>
              <w:kinsoku/>
              <w:spacing w:line="360" w:lineRule="auto"/>
              <w:jc w:val="both"/>
              <w:rPr>
                <w:lang w:eastAsia="zh-CN"/>
              </w:rPr>
            </w:pPr>
            <w:r>
              <w:rPr>
                <w:rFonts w:hint="eastAsia" w:ascii="宋体" w:eastAsia="宋体" w:cs="宋体"/>
                <w:color w:val="auto"/>
                <w:sz w:val="24"/>
                <w:szCs w:val="24"/>
                <w:lang w:eastAsia="zh-CN"/>
              </w:rPr>
              <w:t>在响应文件提交截止时间前提交至内蒙古自治区赤峰市松山区中信大厦B座7楼会议室。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9</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响应文件数量</w:t>
            </w:r>
          </w:p>
        </w:tc>
        <w:tc>
          <w:tcPr>
            <w:tcW w:w="4638" w:type="dxa"/>
            <w:tcBorders>
              <w:tl2br w:val="nil"/>
              <w:tr2bl w:val="nil"/>
            </w:tcBorders>
            <w:shd w:val="clear" w:color="auto" w:fill="auto"/>
            <w:vAlign w:val="center"/>
          </w:tcPr>
          <w:p>
            <w:pPr>
              <w:pStyle w:val="15"/>
              <w:rPr>
                <w:rFonts w:ascii="宋体" w:eastAsia="宋体" w:cs="宋体"/>
                <w:color w:val="auto"/>
                <w:sz w:val="24"/>
                <w:szCs w:val="24"/>
                <w:lang w:eastAsia="zh-CN"/>
              </w:rPr>
            </w:pPr>
            <w:r>
              <w:rPr>
                <w:rFonts w:hint="eastAsia" w:ascii="宋体" w:eastAsia="宋体" w:cs="宋体"/>
                <w:color w:val="auto"/>
                <w:sz w:val="24"/>
                <w:szCs w:val="24"/>
                <w:lang w:eastAsia="zh-CN"/>
              </w:rPr>
              <w:t>纸质响应文件一正二副</w:t>
            </w:r>
          </w:p>
          <w:p>
            <w:pPr>
              <w:rPr>
                <w:lang w:eastAsia="zh-CN"/>
              </w:rPr>
            </w:pPr>
            <w:r>
              <w:rPr>
                <w:rFonts w:hint="eastAsia" w:ascii="宋体" w:eastAsia="宋体" w:cs="宋体"/>
                <w:color w:val="auto"/>
                <w:sz w:val="24"/>
                <w:szCs w:val="24"/>
                <w:lang w:eastAsia="zh-CN"/>
              </w:rPr>
              <w:t>电子响应文件为纸质响应文件的盖章版的扫描件，用U盘提交，单独密封。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10</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成交人确定</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采购人授权评审小组按照评审原则直接确定成交供应商。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11</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联合体响应</w:t>
            </w:r>
          </w:p>
        </w:tc>
        <w:tc>
          <w:tcPr>
            <w:tcW w:w="4638" w:type="dxa"/>
            <w:tcBorders>
              <w:tl2br w:val="nil"/>
              <w:tr2bl w:val="nil"/>
            </w:tcBorders>
            <w:shd w:val="clear" w:color="auto" w:fill="auto"/>
            <w:vAlign w:val="center"/>
          </w:tcPr>
          <w:p>
            <w:pPr>
              <w:pStyle w:val="2"/>
              <w:rPr>
                <w:color w:val="auto"/>
                <w:lang w:eastAsia="zh-CN"/>
              </w:rPr>
            </w:pPr>
            <w:r>
              <w:rPr>
                <w:rFonts w:hint="eastAsia" w:ascii="宋体" w:eastAsia="宋体" w:cs="宋体"/>
                <w:color w:val="auto"/>
                <w:sz w:val="24"/>
                <w:szCs w:val="24"/>
                <w:lang w:eastAsia="zh-CN"/>
              </w:rPr>
              <w:t>本次采购项目不接受联合体投标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12</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rPr>
              <w:t>磋商保证金</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13</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响应文件签字、盖章要求</w:t>
            </w:r>
          </w:p>
        </w:tc>
        <w:tc>
          <w:tcPr>
            <w:tcW w:w="4638" w:type="dxa"/>
            <w:tcBorders>
              <w:tl2br w:val="nil"/>
              <w:tr2bl w:val="nil"/>
            </w:tcBorders>
            <w:shd w:val="clear" w:color="auto" w:fill="auto"/>
            <w:vAlign w:val="center"/>
          </w:tcPr>
          <w:p>
            <w:pPr>
              <w:kinsoku/>
              <w:spacing w:line="360" w:lineRule="auto"/>
              <w:jc w:val="both"/>
              <w:rPr>
                <w:color w:val="auto"/>
                <w:lang w:eastAsia="zh-CN"/>
              </w:rPr>
            </w:pPr>
            <w:r>
              <w:rPr>
                <w:rFonts w:hint="eastAsia" w:ascii="宋体" w:eastAsia="宋体" w:cs="宋体"/>
                <w:color w:val="auto"/>
                <w:sz w:val="24"/>
                <w:szCs w:val="24"/>
                <w:lang w:eastAsia="zh-CN"/>
              </w:rPr>
              <w:t>应按照第七章“响应文件格式与要求”，进行签字、加盖公章。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14</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面向中小企业采购</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专门面向中小企业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15</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有效供应商家数</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采购包1：3家</w:t>
            </w:r>
          </w:p>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注：政府购买服务项目依照（财库〔2015〕124号）文件执行。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16</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rPr>
              <w:t>报价形式</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hAnsi="宋体" w:eastAsia="宋体" w:cs="宋体"/>
                <w:color w:val="auto"/>
                <w:sz w:val="24"/>
                <w:szCs w:val="24"/>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17</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现场踏勘</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采购包1：组织现场踏勘：否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rPr>
              <w:t>18</w:t>
            </w:r>
          </w:p>
        </w:tc>
        <w:tc>
          <w:tcPr>
            <w:tcW w:w="3358" w:type="dxa"/>
            <w:tcBorders>
              <w:tl2br w:val="nil"/>
              <w:tr2bl w:val="nil"/>
            </w:tcBorders>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rPr>
              <w:t>其他</w:t>
            </w:r>
          </w:p>
        </w:tc>
        <w:tc>
          <w:tcPr>
            <w:tcW w:w="4638" w:type="dxa"/>
            <w:tcBorders>
              <w:tl2br w:val="nil"/>
              <w:tr2bl w:val="nil"/>
            </w:tcBorders>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无</w:t>
            </w:r>
          </w:p>
        </w:tc>
      </w:tr>
    </w:tbl>
    <w:p>
      <w:pPr>
        <w:kinsoku/>
        <w:spacing w:before="240" w:beforeLines="100" w:line="360" w:lineRule="auto"/>
        <w:ind w:firstLine="481" w:firstLineChars="200"/>
        <w:outlineLvl w:val="1"/>
        <w:rPr>
          <w:rFonts w:ascii="宋体" w:eastAsia="宋体" w:cs="宋体"/>
          <w:b/>
          <w:bCs/>
          <w:color w:val="auto"/>
          <w:sz w:val="24"/>
          <w:szCs w:val="24"/>
        </w:rPr>
      </w:pPr>
      <w:bookmarkStart w:id="9" w:name="_Toc7554"/>
      <w:r>
        <w:rPr>
          <w:rFonts w:hint="eastAsia" w:ascii="宋体" w:eastAsia="宋体" w:cs="宋体"/>
          <w:b/>
          <w:bCs/>
          <w:color w:val="auto"/>
          <w:sz w:val="24"/>
          <w:szCs w:val="24"/>
        </w:rPr>
        <w:t>二、磋商须知</w:t>
      </w:r>
      <w:bookmarkEnd w:id="9"/>
    </w:p>
    <w:p>
      <w:pPr>
        <w:kinsoku/>
        <w:spacing w:line="360" w:lineRule="auto"/>
        <w:ind w:firstLine="481" w:firstLineChars="200"/>
        <w:jc w:val="both"/>
        <w:rPr>
          <w:rFonts w:ascii="宋体" w:eastAsia="宋体" w:cs="宋体"/>
          <w:b/>
          <w:bCs/>
          <w:color w:val="auto"/>
          <w:sz w:val="24"/>
          <w:szCs w:val="24"/>
          <w:lang w:eastAsia="zh-CN"/>
        </w:rPr>
      </w:pPr>
      <w:r>
        <w:rPr>
          <w:rFonts w:hint="eastAsia" w:ascii="宋体" w:eastAsia="宋体" w:cs="宋体"/>
          <w:b/>
          <w:bCs/>
          <w:color w:val="auto"/>
          <w:sz w:val="24"/>
          <w:szCs w:val="24"/>
          <w:lang w:eastAsia="zh-CN"/>
        </w:rPr>
        <w:t>1.响应方式</w:t>
      </w:r>
    </w:p>
    <w:p>
      <w:pPr>
        <w:kinsoku/>
        <w:spacing w:line="360" w:lineRule="auto"/>
        <w:ind w:firstLine="480" w:firstLineChars="200"/>
        <w:jc w:val="both"/>
        <w:rPr>
          <w:rFonts w:ascii="宋体" w:eastAsia="宋体" w:cs="宋体"/>
          <w:color w:val="auto"/>
          <w:sz w:val="24"/>
          <w:szCs w:val="24"/>
        </w:rPr>
      </w:pPr>
      <w:r>
        <w:rPr>
          <w:rFonts w:hint="eastAsia" w:ascii="宋体" w:eastAsia="宋体" w:cs="宋体"/>
          <w:color w:val="auto"/>
          <w:sz w:val="24"/>
          <w:szCs w:val="24"/>
          <w:lang w:eastAsia="zh-CN"/>
        </w:rPr>
        <w:t>线下提交响应文件。</w:t>
      </w:r>
    </w:p>
    <w:p>
      <w:pPr>
        <w:kinsoku/>
        <w:spacing w:line="360" w:lineRule="auto"/>
        <w:ind w:firstLine="481" w:firstLineChars="200"/>
        <w:jc w:val="both"/>
        <w:rPr>
          <w:rFonts w:ascii="宋体" w:eastAsia="宋体" w:cs="宋体"/>
          <w:color w:val="auto"/>
          <w:sz w:val="24"/>
          <w:szCs w:val="24"/>
        </w:rPr>
      </w:pPr>
      <w:r>
        <w:rPr>
          <w:rFonts w:hint="eastAsia" w:ascii="宋体" w:eastAsia="宋体" w:cs="宋体"/>
          <w:b/>
          <w:bCs/>
          <w:color w:val="auto"/>
          <w:sz w:val="24"/>
          <w:szCs w:val="24"/>
        </w:rPr>
        <w:t>2.</w:t>
      </w:r>
      <w:r>
        <w:rPr>
          <w:rFonts w:hint="eastAsia" w:ascii="宋体" w:eastAsia="宋体" w:cs="宋体"/>
          <w:b/>
          <w:bCs/>
          <w:color w:val="auto"/>
          <w:sz w:val="24"/>
          <w:szCs w:val="24"/>
          <w:lang w:eastAsia="zh-CN"/>
        </w:rPr>
        <w:t>投标</w:t>
      </w:r>
      <w:r>
        <w:rPr>
          <w:rFonts w:hint="eastAsia" w:ascii="宋体" w:eastAsia="宋体" w:cs="宋体"/>
          <w:b/>
          <w:bCs/>
          <w:color w:val="auto"/>
          <w:sz w:val="24"/>
          <w:szCs w:val="24"/>
        </w:rPr>
        <w:t>保证金：</w:t>
      </w:r>
      <w:r>
        <w:rPr>
          <w:rFonts w:hint="eastAsia" w:ascii="宋体" w:eastAsia="宋体" w:cs="宋体"/>
          <w:color w:val="auto"/>
          <w:sz w:val="24"/>
          <w:szCs w:val="24"/>
        </w:rPr>
        <w:t>无</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3.4 磋商</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磋商小组所有成员将集中与资格及符合性审查通过的供应商分别进行磋商，并给予所有参加磋商的供应商平等的磋商机会。供应商应及时关注磋商信息，如因个人原因未参与磋商，后果自负。具体内容详见第五章。</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3.5 最后报价</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磋商结束后，磋商小组将要求所有实质性响应的供应商在规定时间内提交最后报价。供应商应及时关注报价信息，如因个人原因未报价，后果自负。最后报价是供应商响应文件的有效组成部分。具体内容详见第五章。</w:t>
      </w:r>
    </w:p>
    <w:p>
      <w:pPr>
        <w:kinsoku/>
        <w:spacing w:line="360" w:lineRule="auto"/>
        <w:ind w:firstLine="481" w:firstLineChars="200"/>
        <w:outlineLvl w:val="1"/>
        <w:rPr>
          <w:rFonts w:ascii="宋体" w:eastAsia="宋体" w:cs="宋体"/>
          <w:color w:val="auto"/>
          <w:sz w:val="24"/>
          <w:szCs w:val="24"/>
          <w:lang w:eastAsia="zh-CN"/>
        </w:rPr>
      </w:pPr>
      <w:bookmarkStart w:id="10" w:name="_Toc24541"/>
      <w:r>
        <w:rPr>
          <w:rFonts w:hint="eastAsia" w:ascii="宋体" w:eastAsia="宋体" w:cs="宋体"/>
          <w:b/>
          <w:bCs/>
          <w:color w:val="auto"/>
          <w:sz w:val="24"/>
          <w:szCs w:val="24"/>
          <w:lang w:eastAsia="zh-CN"/>
        </w:rPr>
        <w:t>三、说明</w:t>
      </w:r>
      <w:bookmarkEnd w:id="10"/>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1.总则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本磋商文件参照《中华人民共和国政府采购法》《中华人民共和国政府采购法实施条例》和《政府采购竞争性磋商采购方式管理暂行办法》及依据国家和自治区有关法律、法规、规章制度编制。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供应商应仔细阅读本项目信息公告及磋商文件的所有内容（包括澄清或者修改），按照磋商文件要求以及格式编制响应文件，并保证其真实性，否则一切后果自负。</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2.适用范围</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本磋商文件仅适用于本次竞争性磋商公告中所涉及的项目和内容。</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3.相关费用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供应商应自行承担所有与准备、参加磋商有关的费用。不论磋商结果如何，采购人或采购代理机构均无义务和责任承担相关费用。</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4.各参与方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4.1 “采购人”是指依法进行政府采购的国家机关、事业单位、团体组织。本磋商文件的采购人特指赤峰市生态环境监控中心。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4.2“采购代理机构”是指集中采购机构和集中采购机构以外的采购代理机构。本磋商文件的采购代理机构特指内蒙古灏越项目管理有限公司。</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4.3 “供应商”是指向采购人提供货物、工程或者服务的法人、其他组织或者自然人。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4.4 “磋商小组”由采购人代表和评审专家组成。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4.5“成交供应商”是指取得与采购人签订合同资格的供应商。</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5.合格的供应商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5.1 符合本磋商文件规定的资格要求，并按照要求提供相关证明材料。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5.2 单位负责人为同一人或者存在直接控股、管理关系的不同供应商，不得参加同一合同项下的政府采购活动。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5.3 为采购项目提供整体设计、规范编制或者项目管理、监理、检测等服务的供应商，不得再参加该采购项目的其他采购活动。</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6.以联合体形式进行政府采购的，应符合以下规定：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6.1 联合体各方应签订联合体协议书，明确联合体牵头人和各方权利义务，并作为响应文件组成部分。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6.2 联合体各方均应当具备《中华人民共和国政府采购法》第二十二条规定的条件，并在响应文件中提供联合体各方的相关证明材料。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6.3 联合体成员存在不良信用记录的，视同联合体存在不良信用记录。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6.4 联合体中有同类资质的供应商按照联合体分工承担相同工作的，应当按照资质等级较低的供应商确定资质等级。</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6.5 以联合体形式参加政府采购活动的，联合体各方不得再单独参加或者与其他供应商另外组成联合体参加同一合同项下的政府采购活动。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6.6 联合体各方应当共同与采购人签订采购合同，就合同约定的事项对采购人承担连带责任。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6.7 如要求缴纳保证金，以联合体牵头人名义缴纳，对联合体各方均具有约束力。</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7.语言文字以及计量单位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7.1 所有文件使用的语言文字为简体中文。专用术语使用外文的，应附有简体中文注释，否则视为无效。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7.2 所有计量均采用中华人民共和国法定的计量单位。</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7.3 所有报价一律使用人民币，货币单位：元。</w:t>
      </w:r>
    </w:p>
    <w:p>
      <w:pPr>
        <w:kinsoku/>
        <w:spacing w:line="360" w:lineRule="auto"/>
        <w:ind w:firstLine="481" w:firstLineChars="200"/>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8.现场踏勘</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8.1 竞争性磋商文件规定组织现场踏勘的，采购人或者采购代理机构将按竞争性磋商文件规定的时间、地点组织供应商踏勘项目现场。</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8.2 供应商自行承担踏勘现场发生的责任、风险和自身费用。</w:t>
      </w:r>
    </w:p>
    <w:p>
      <w:pPr>
        <w:kinsoku/>
        <w:spacing w:line="360" w:lineRule="auto"/>
        <w:ind w:firstLine="480" w:firstLineChars="200"/>
        <w:rPr>
          <w:rFonts w:ascii="宋体" w:eastAsia="宋体" w:cs="宋体"/>
          <w:color w:val="auto"/>
          <w:sz w:val="24"/>
          <w:szCs w:val="24"/>
          <w:lang w:eastAsia="zh-CN"/>
        </w:rPr>
      </w:pPr>
      <w:r>
        <w:rPr>
          <w:rFonts w:hint="eastAsia" w:ascii="宋体" w:hAnsi="宋体" w:eastAsia="宋体" w:cs="宋体"/>
          <w:color w:val="auto"/>
          <w:sz w:val="24"/>
          <w:szCs w:val="24"/>
          <w:lang w:eastAsia="zh-CN"/>
        </w:rPr>
        <w:t>8.3 采购人在踏勘现场介绍的资料和数据等，不构成对磋商文件的修改或不作为供应商编制响应文件的依据。</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9.其他条款</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无论成交与否供应商递交的响应文件均不予退还。</w:t>
      </w:r>
    </w:p>
    <w:p>
      <w:pPr>
        <w:kinsoku/>
        <w:spacing w:line="360" w:lineRule="auto"/>
        <w:ind w:firstLine="481" w:firstLineChars="200"/>
        <w:outlineLvl w:val="1"/>
        <w:rPr>
          <w:rFonts w:ascii="宋体" w:eastAsia="宋体" w:cs="宋体"/>
          <w:b/>
          <w:bCs/>
          <w:color w:val="auto"/>
          <w:sz w:val="24"/>
          <w:szCs w:val="24"/>
        </w:rPr>
      </w:pPr>
      <w:bookmarkStart w:id="11" w:name="_Toc26056"/>
      <w:r>
        <w:rPr>
          <w:rFonts w:hint="eastAsia" w:ascii="宋体" w:eastAsia="宋体" w:cs="宋体"/>
          <w:b/>
          <w:bCs/>
          <w:color w:val="auto"/>
          <w:sz w:val="24"/>
          <w:szCs w:val="24"/>
        </w:rPr>
        <w:t>四、磋商文件的澄清或者修改</w:t>
      </w:r>
      <w:bookmarkEnd w:id="11"/>
    </w:p>
    <w:p>
      <w:pPr>
        <w:kinsoku/>
        <w:wordWrap w:val="0"/>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 5 日前，在</w:t>
      </w:r>
      <w:r>
        <w:rPr>
          <w:rFonts w:hint="eastAsia" w:ascii="宋体" w:hAnsi="宋体" w:eastAsia="宋体" w:cs="宋体"/>
          <w:snapToGrid w:val="0"/>
          <w:sz w:val="24"/>
          <w:szCs w:val="24"/>
          <w:lang w:eastAsia="zh-CN"/>
        </w:rPr>
        <w:t>《赤峰市生态环境局官网》（http://sthjj.chifeng.gov.cn）</w:t>
      </w:r>
      <w:r>
        <w:rPr>
          <w:rFonts w:hint="eastAsia" w:ascii="宋体" w:eastAsia="宋体" w:cs="宋体"/>
          <w:color w:val="auto"/>
          <w:sz w:val="24"/>
          <w:szCs w:val="24"/>
          <w:lang w:eastAsia="zh-CN"/>
        </w:rPr>
        <w:t>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pPr>
        <w:kinsoku/>
        <w:spacing w:line="360" w:lineRule="auto"/>
        <w:ind w:firstLine="481" w:firstLineChars="200"/>
        <w:outlineLvl w:val="1"/>
        <w:rPr>
          <w:rFonts w:ascii="宋体" w:eastAsia="宋体" w:cs="宋体"/>
          <w:b/>
          <w:bCs/>
          <w:color w:val="auto"/>
          <w:sz w:val="24"/>
          <w:szCs w:val="24"/>
          <w:lang w:eastAsia="zh-CN"/>
        </w:rPr>
      </w:pPr>
      <w:bookmarkStart w:id="12" w:name="_Toc6465"/>
      <w:r>
        <w:rPr>
          <w:rFonts w:hint="eastAsia" w:ascii="宋体" w:eastAsia="宋体" w:cs="宋体"/>
          <w:b/>
          <w:bCs/>
          <w:color w:val="auto"/>
          <w:sz w:val="24"/>
          <w:szCs w:val="24"/>
          <w:lang w:eastAsia="zh-CN"/>
        </w:rPr>
        <w:t>五、响应文件</w:t>
      </w:r>
      <w:bookmarkEnd w:id="12"/>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1.响应文件的构成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响应文件应按照磋商文件第七章“响应文件格式与要求”进行编写，可以增加附页，并作为响应文件的组成部分。</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供应商在制作响应文件时，应保证提供的证明材料清晰可见，否则评审小组可不予采信。</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供应商应按照磋商文件第三章“采购内容与技术要求”进行报价，</w:t>
      </w:r>
      <w:r>
        <w:rPr>
          <w:rFonts w:hint="eastAsia" w:ascii="宋体" w:hAnsi="宋体" w:eastAsia="宋体" w:cs="宋体"/>
          <w:color w:val="auto"/>
          <w:sz w:val="24"/>
          <w:szCs w:val="24"/>
          <w:lang w:eastAsia="zh-CN"/>
        </w:rPr>
        <w:t>报价取小数点后两位，小数点后第三位四舍五入。</w:t>
      </w:r>
      <w:r>
        <w:rPr>
          <w:rFonts w:hint="eastAsia" w:ascii="宋体" w:eastAsia="宋体" w:cs="宋体"/>
          <w:color w:val="auto"/>
          <w:sz w:val="24"/>
          <w:szCs w:val="24"/>
          <w:lang w:eastAsia="zh-CN"/>
        </w:rPr>
        <w:t>报价中不得包含磋商文件要求以外的内容，否则，在评审时不予核减。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报价包括本项目采购需求和投入使用、实施的所有费用，如主件、标准附件、备品备件、施工、服务、专用工具、安装、调试、检验、培训、运输、保险、税款等。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2.3 报价不得有选择性报价和附有条件的报价。</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2.4 供应商应在“投标文件制作工具”对投标报价进行填写，并保证响应文件中的投标报价信息内容一致。</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2.5 对报价的计算错误按以下原则修正</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（1）大写金额和小写金额不一致的，以大写金额为准；</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（2）单价金额小数点或者百分比有明显错位的，以总价为准，并修改单价。</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（3）总价金额与按单价汇总金额不一致的，以单价金额计算结果为准。</w:t>
      </w:r>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（4）同时出现两种以上不一致的，按照前款规定的顺序修正。</w:t>
      </w:r>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注：修正后的报价供应商应当加盖公章，或者由法定代表人或其授权代表签字确认后产生约束力，但不得超出响应文件的范围或者改变响应文件的实质性内容，供应商不确认的，其投标无效。</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3.响应文件的递交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供应商应当在提交响应文件截止时间前递交响应文件，否则视为自动放弃。</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4.响应文件的补充、修改或者撤回</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在提交响应文件截止时间前，可以对所提交的响应文件进行补充、修改或者撤回。供应商应当在提交响应文件截止时间前上传加密的最终版电子响应文件至“国资智采电子招投标交易平台”。在提交响应文件截止时间后，供应商不得补充、修改或者撤回其响应文件。</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5.样品</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5.1 磋商文件规定供应商提交样品的，样品属于响应文件的组成部分。样品的生产、运输、安装、保全等一切费用由供应商自理。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5.2 响应文件开启前，供应商应将样品送达至指定地点，按要求摆放并做好展示。若需要现场演示的，供应商应提前做好演示准备（包括演示设备）。</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5.3 采购活动结束后，对于未成交供应商提供的样品，应当及时退还或者经未成交供应商同意后自行处理；对于成交供应商提供的样品，应当按照磋商文件的规定进行保管、封存，并作为履约验收的参考。</w:t>
      </w:r>
    </w:p>
    <w:p>
      <w:pPr>
        <w:kinsoku/>
        <w:spacing w:line="360" w:lineRule="auto"/>
        <w:ind w:firstLine="481" w:firstLineChars="200"/>
        <w:outlineLvl w:val="1"/>
        <w:rPr>
          <w:rFonts w:ascii="宋体" w:eastAsia="宋体" w:cs="宋体"/>
          <w:color w:val="auto"/>
          <w:sz w:val="24"/>
          <w:szCs w:val="24"/>
          <w:lang w:eastAsia="zh-CN"/>
        </w:rPr>
      </w:pPr>
      <w:bookmarkStart w:id="13" w:name="_Toc27293"/>
      <w:r>
        <w:rPr>
          <w:rFonts w:hint="eastAsia" w:ascii="宋体" w:eastAsia="宋体" w:cs="宋体"/>
          <w:b/>
          <w:bCs/>
          <w:color w:val="auto"/>
          <w:sz w:val="24"/>
          <w:szCs w:val="24"/>
          <w:lang w:eastAsia="zh-CN"/>
        </w:rPr>
        <w:t>六、开启、评审、结果公告、成交通知书</w:t>
      </w:r>
      <w:bookmarkEnd w:id="13"/>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1.开启</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1.1 程序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（1）宣布纪律；</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（2）宣布相关人员；</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（3）评审专家对供应商进行资格性、符合性审查；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（4）通过资格性和符合性审查的供应商进行二轮报价；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（5）开启结束。</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1.2 疑义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供应商代表对开启过程和开启记录有疑义，以及认为采购人、采购代理机构相关工作人员有需要回避情形的，应当场提出询问或者回避申请。</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详见第五章</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3.结果公告</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成交供应商确定后，采购代理机构</w:t>
      </w:r>
      <w:r>
        <w:rPr>
          <w:rFonts w:hint="eastAsia" w:ascii="宋体" w:eastAsia="宋体" w:cs="宋体"/>
          <w:color w:val="auto"/>
          <w:sz w:val="24"/>
          <w:szCs w:val="24"/>
          <w:lang w:eastAsia="zh-CN"/>
        </w:rPr>
        <w:t>将在</w:t>
      </w:r>
      <w:r>
        <w:rPr>
          <w:rFonts w:hint="eastAsia" w:ascii="宋体" w:hAnsi="宋体" w:eastAsia="宋体" w:cs="宋体"/>
          <w:snapToGrid w:val="0"/>
          <w:color w:val="auto"/>
          <w:sz w:val="24"/>
          <w:szCs w:val="24"/>
          <w:lang w:eastAsia="zh-CN"/>
        </w:rPr>
        <w:t>《赤峰市生态环境局官网》（http://sthjj.chifeng.gov.cn）</w:t>
      </w:r>
      <w:r>
        <w:rPr>
          <w:rFonts w:hint="eastAsia" w:ascii="宋体" w:eastAsia="宋体" w:cs="宋体"/>
          <w:color w:val="auto"/>
          <w:sz w:val="24"/>
          <w:szCs w:val="24"/>
          <w:lang w:eastAsia="zh-CN"/>
        </w:rPr>
        <w:t>上</w:t>
      </w:r>
      <w:r>
        <w:rPr>
          <w:rFonts w:hint="eastAsia" w:ascii="宋体" w:eastAsia="宋体" w:cs="宋体"/>
          <w:color w:val="auto"/>
          <w:sz w:val="24"/>
          <w:szCs w:val="24"/>
        </w:rPr>
        <w:t>发布成交结果公告，将成交结果以公告形式通知未成交的供应商，成交结果公告期为</w:t>
      </w:r>
      <w:r>
        <w:rPr>
          <w:rFonts w:hint="eastAsia" w:ascii="宋体" w:eastAsia="宋体" w:cs="宋体"/>
          <w:color w:val="auto"/>
          <w:sz w:val="24"/>
          <w:szCs w:val="24"/>
          <w:lang w:eastAsia="zh-CN"/>
        </w:rPr>
        <w:t>3</w:t>
      </w:r>
      <w:r>
        <w:rPr>
          <w:rFonts w:hint="eastAsia" w:ascii="宋体" w:eastAsia="宋体" w:cs="宋体"/>
          <w:color w:val="auto"/>
          <w:sz w:val="24"/>
          <w:szCs w:val="24"/>
        </w:rPr>
        <w:t>个工作日。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项目“废标”后，采购代理机构将在</w:t>
      </w:r>
      <w:r>
        <w:rPr>
          <w:rFonts w:hint="eastAsia" w:ascii="宋体" w:hAnsi="宋体" w:eastAsia="宋体" w:cs="宋体"/>
          <w:snapToGrid w:val="0"/>
          <w:sz w:val="24"/>
          <w:szCs w:val="24"/>
          <w:lang w:eastAsia="zh-CN"/>
        </w:rPr>
        <w:t>《赤峰市生态环境局官网》</w:t>
      </w:r>
      <w:r>
        <w:rPr>
          <w:rFonts w:hint="eastAsia" w:ascii="宋体" w:eastAsia="宋体" w:cs="宋体"/>
          <w:color w:val="auto"/>
          <w:sz w:val="24"/>
          <w:szCs w:val="24"/>
          <w:lang w:eastAsia="zh-CN"/>
        </w:rPr>
        <w:t>上发布“废标公告”。</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4.成交通知书</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发布成交结果的同时，成交供应商可在招标代理处获取成交通知书，成交通知书是合同的组成部分，成交通知书对采购人和成交供应商具有同等法律效力。</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成交通知书发出后，采购人不得违法改变成交结果，供应商无正当理由不得放弃成交。</w:t>
      </w:r>
    </w:p>
    <w:p>
      <w:pPr>
        <w:kinsoku/>
        <w:spacing w:line="360" w:lineRule="auto"/>
        <w:ind w:firstLine="481" w:firstLineChars="200"/>
        <w:jc w:val="both"/>
        <w:outlineLvl w:val="1"/>
        <w:rPr>
          <w:rFonts w:ascii="宋体" w:eastAsia="宋体" w:cs="宋体"/>
          <w:color w:val="auto"/>
          <w:sz w:val="24"/>
          <w:szCs w:val="24"/>
          <w:lang w:eastAsia="zh-CN"/>
        </w:rPr>
      </w:pPr>
      <w:bookmarkStart w:id="14" w:name="_Toc16609"/>
      <w:r>
        <w:rPr>
          <w:rFonts w:hint="eastAsia" w:ascii="宋体" w:eastAsia="宋体" w:cs="宋体"/>
          <w:b/>
          <w:bCs/>
          <w:color w:val="auto"/>
          <w:sz w:val="24"/>
          <w:szCs w:val="24"/>
          <w:lang w:eastAsia="zh-CN"/>
        </w:rPr>
        <w:t>七、询问、质疑与举报</w:t>
      </w:r>
      <w:bookmarkEnd w:id="14"/>
    </w:p>
    <w:p>
      <w:pPr>
        <w:kinsoku/>
        <w:spacing w:line="360" w:lineRule="auto"/>
        <w:ind w:firstLine="481" w:firstLineChars="200"/>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1.询问</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供应商对政府采购活动事项有疑问的，可以向采购人或采购代理机构提出询问，采购人或采购代理机构应当在 3 个工作日内作出答复，但答复的内容不得涉及商业秘密。供应商提出的询问超出采购人对采购代理机构委托授权范围的，采购代理机构应当告知其向采购人提出。</w:t>
      </w:r>
    </w:p>
    <w:p>
      <w:pPr>
        <w:kinsoku/>
        <w:spacing w:line="360" w:lineRule="auto"/>
        <w:ind w:firstLine="481" w:firstLineChars="200"/>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2.质疑</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参照《内蒙古自治区财政厅关于规范限额标准以下项目采购的通知》（内财购〔2022〕186号）供应商认为限额标准以下项目的采购过程损害自身合法权益的可向采购人提起质疑。本项目采购人参照《政府采购质疑和投诉办法》相关规定予以受理：</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供应商在质疑投诉期内应当一次性提出针对同一采购程序环节的质疑。提出质疑的供应商应当是参与所质疑项目采购活动、已依法获取其可质疑的采购文件的供应商。</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供应商认为采购文件、采购过程、成交结果使自己的权益受到损害的，可以在知道或者应知其权益受到损害之日起 7 个工作日内，以书面形式向采购人、采购代理机构提出质疑。</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2.2 采购人、采购代理机构应当在收到供应商的书面质疑后 7 个工作日内作出答复，并以书面形式通知质疑供应商和其他有关供应商，但答复的内容不得涉及商业秘密。</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2.3 询问或者质疑事项可能影响成交结果的，采购人应当暂停签订合同，已经签订合同的，应当中止履行合同。</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2.4 供应商提出质疑应当提交质疑函和必要的证明材料。质疑函应按照中国政府采购网中的“质疑函范本”制作，包括下列内容：</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（一）供应商的姓名或者名称、地址、邮编、联系人及联系电话；</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（二）质疑项目的名称、编号、采购文件获取日期；</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（三）具体、明确的质疑事项和与质疑事项相关的请求；</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（四）事实依据；</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（五）必要的法律依据；</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（六）提出质疑的日期。</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供应商为自然人的，应当由本人签字；供应商为法人或者其他组织的，应当由法定代表人、主要负责人，或者其授权代表签字或者盖章，并加盖公章。</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供应商可以委托代理人进行质疑，代理人提出质疑投诉时应当提交供应商签署的授权委托书。其授权委托书应当载明代理人的姓名或者名称、代理事项、具体权限、期限和相关事项。</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2.5 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2.6 接收质疑函的联系部门、联系电话、通讯地址（详见第一章）。</w:t>
      </w:r>
    </w:p>
    <w:p>
      <w:pPr>
        <w:kinsoku/>
        <w:spacing w:line="360" w:lineRule="auto"/>
        <w:ind w:firstLine="481" w:firstLineChars="200"/>
        <w:rPr>
          <w:rFonts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3.举报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3.1 质疑人对采购人、采购代理机构的答复不满意或者采购人、采购代理机构未在规定的时间内做出书面答复的，可以在答复期满后十五个工作日内向采购人预算主管部门进行举报。举报程序按《政府采购法》及相关规定执行。供应商举报的事项不得超出已质疑事项的范围。</w:t>
      </w:r>
    </w:p>
    <w:p>
      <w:pPr>
        <w:kinsoku/>
        <w:spacing w:line="360" w:lineRule="auto"/>
        <w:ind w:firstLine="480" w:firstLineChars="200"/>
        <w:rPr>
          <w:rFonts w:ascii="宋体" w:eastAsia="宋体" w:cs="宋体"/>
          <w:color w:val="auto"/>
          <w:sz w:val="24"/>
          <w:szCs w:val="24"/>
          <w:lang w:eastAsia="zh-CN"/>
        </w:rPr>
        <w:sectPr>
          <w:footerReference r:id="rId7" w:type="default"/>
          <w:pgSz w:w="11906" w:h="16838"/>
          <w:pgMar w:top="1440" w:right="1080" w:bottom="1440" w:left="1080" w:header="0" w:footer="850" w:gutter="0"/>
          <w:cols w:space="0" w:num="1"/>
          <w:docGrid w:linePitch="312" w:charSpace="0"/>
        </w:sectPr>
      </w:pPr>
      <w:r>
        <w:rPr>
          <w:rFonts w:hint="eastAsia" w:ascii="宋体" w:eastAsia="宋体" w:cs="宋体"/>
          <w:color w:val="auto"/>
          <w:sz w:val="24"/>
          <w:szCs w:val="24"/>
          <w:lang w:eastAsia="zh-CN"/>
        </w:rPr>
        <w:t>3.2 限额标准以下项目采购，不适用《中华人民共和国政府采购法》第二条规定，各级财政部门不对争议事项进行受理或处理。</w:t>
      </w:r>
    </w:p>
    <w:p>
      <w:pPr>
        <w:kinsoku/>
        <w:spacing w:line="360" w:lineRule="auto"/>
        <w:ind w:firstLine="562" w:firstLineChars="200"/>
        <w:jc w:val="center"/>
        <w:outlineLvl w:val="0"/>
        <w:rPr>
          <w:rFonts w:ascii="宋体" w:eastAsia="宋体" w:cs="宋体"/>
          <w:color w:val="auto"/>
          <w:sz w:val="24"/>
          <w:szCs w:val="24"/>
          <w:lang w:eastAsia="zh-CN"/>
        </w:rPr>
      </w:pPr>
      <w:bookmarkStart w:id="15" w:name="_Toc30203"/>
      <w:r>
        <w:rPr>
          <w:rFonts w:hint="eastAsia" w:ascii="宋体" w:eastAsia="宋体" w:cs="宋体"/>
          <w:b/>
          <w:bCs/>
          <w:color w:val="auto"/>
          <w:sz w:val="28"/>
          <w:szCs w:val="28"/>
          <w:lang w:eastAsia="zh-CN"/>
        </w:rPr>
        <w:t>第三章  采购内容与技术要求</w:t>
      </w:r>
      <w:bookmarkEnd w:id="15"/>
    </w:p>
    <w:p>
      <w:pPr>
        <w:kinsoku/>
        <w:spacing w:line="360" w:lineRule="auto"/>
        <w:ind w:firstLine="481" w:firstLineChars="200"/>
        <w:outlineLvl w:val="1"/>
        <w:rPr>
          <w:rFonts w:ascii="宋体" w:eastAsia="宋体" w:cs="宋体"/>
          <w:b/>
          <w:bCs/>
          <w:color w:val="auto"/>
          <w:sz w:val="24"/>
          <w:szCs w:val="24"/>
          <w:lang w:eastAsia="zh-CN"/>
        </w:rPr>
      </w:pPr>
      <w:bookmarkStart w:id="16" w:name="_Toc10798"/>
      <w:r>
        <w:rPr>
          <w:rFonts w:hint="eastAsia" w:ascii="宋体" w:eastAsia="宋体" w:cs="宋体"/>
          <w:b/>
          <w:bCs/>
          <w:color w:val="auto"/>
          <w:sz w:val="24"/>
          <w:szCs w:val="24"/>
          <w:lang w:eastAsia="zh-CN"/>
        </w:rPr>
        <w:t>一、项目概况</w:t>
      </w:r>
      <w:bookmarkEnd w:id="16"/>
    </w:p>
    <w:p>
      <w:pPr>
        <w:spacing w:before="183" w:line="352" w:lineRule="auto"/>
        <w:ind w:left="24" w:right="167" w:firstLine="477"/>
        <w:jc w:val="both"/>
        <w:rPr>
          <w:rFonts w:ascii="宋体" w:hAnsi="宋体" w:eastAsia="宋体" w:cs="宋体"/>
          <w:sz w:val="24"/>
          <w:szCs w:val="24"/>
          <w:lang w:eastAsia="zh-CN"/>
        </w:rPr>
      </w:pPr>
      <w:r>
        <w:rPr>
          <w:rFonts w:hint="eastAsia" w:ascii="宋体" w:hAnsi="宋体" w:eastAsia="宋体" w:cs="宋体"/>
          <w:sz w:val="24"/>
          <w:szCs w:val="24"/>
          <w:lang w:eastAsia="zh-CN"/>
        </w:rPr>
        <w:t>对赤峰市生态环境监控中心资产清查及项目盘点项目提供服务，服务工作包括：1、对中心所有资产账目进行梳理盘查，对照一体化预算系统资产管理模块里资产信息，逐一查找每项资产的原始凭证。2、依据查清的原始凭证，梳理一体化预算系统资产管理模块里资产卡片信息，原值 100万元及以上的固定资产，补充完善整体、正面、内部结构等不同方位的三张照片，对房屋、土地（空地，不含建筑物坐落的土地）补充完善资产定位信息。对按规定应记入未记入系统的进行补记、对不需记入的进行删除、对资产卡片信息错误的进行修改。3、对国有资产逐科室，逐地点进行实地清点、核对、登记，做到资产实物管理责任落实到具体科室、具体人员。查清是否存在国有资产损失问题，制定可报废、暂时储存备用、在用三类资产清单。确保账实相符、账账相符。4、对预算一体化系统资产卡片信息进行全面核查，逐项梳理和修正资产分类、名称、数量、规格型号、地址、使用人（管理人）、使用状态等内容，将资产卡片信息更新至最新状态。5、补齐一体化预算系统资产管理模块里资产信息，并对资产进行“贴签”管理。6、对往来款项进行清理，需查找以前年度的原始凭证，确定供应商全称，发生时间、及与本单位的关系，确定是否发生损失，并按要求进行处理。7、按照《资产清查报表编制说明》通过一体化系统填报《行政事业单位资产清查报表》单户表。8、按照内蒙古自治区财政厅下发的规定格式编写资产清查工作报告。9、将中心计划报废的资产就行报废。10、负责将需处置的各项资产在预算管理一体化系统行政事业单位资产管理系统及会计核算系统中处理完毕，以保证账实相符。</w:t>
      </w:r>
    </w:p>
    <w:p>
      <w:pPr>
        <w:kinsoku/>
        <w:spacing w:line="360" w:lineRule="auto"/>
        <w:ind w:firstLine="481" w:firstLineChars="200"/>
        <w:outlineLvl w:val="1"/>
        <w:rPr>
          <w:rFonts w:ascii="宋体" w:eastAsia="宋体" w:cs="宋体"/>
          <w:color w:val="auto"/>
          <w:sz w:val="24"/>
          <w:szCs w:val="24"/>
          <w:lang w:eastAsia="zh-CN"/>
        </w:rPr>
      </w:pPr>
      <w:bookmarkStart w:id="17" w:name="_Toc24961"/>
      <w:r>
        <w:rPr>
          <w:rFonts w:hint="eastAsia" w:ascii="宋体" w:eastAsia="宋体" w:cs="宋体"/>
          <w:b/>
          <w:bCs/>
          <w:color w:val="auto"/>
          <w:sz w:val="24"/>
          <w:szCs w:val="24"/>
          <w:lang w:eastAsia="zh-CN"/>
        </w:rPr>
        <w:t>二、主要商务要求、技术要求</w:t>
      </w:r>
      <w:bookmarkEnd w:id="17"/>
    </w:p>
    <w:p>
      <w:pPr>
        <w:kinsoku/>
        <w:spacing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1.主要商务要求</w:t>
      </w:r>
    </w:p>
    <w:p>
      <w:pPr>
        <w:pStyle w:val="2"/>
        <w:spacing w:line="360" w:lineRule="auto"/>
        <w:ind w:firstLine="480" w:firstLineChars="200"/>
        <w:outlineLvl w:val="3"/>
        <w:rPr>
          <w:rFonts w:eastAsia="宋体"/>
          <w:color w:val="auto"/>
          <w:lang w:eastAsia="zh-CN"/>
        </w:rPr>
      </w:pPr>
      <w:r>
        <w:rPr>
          <w:rFonts w:hint="eastAsia" w:ascii="宋体" w:eastAsia="宋体" w:cs="宋体"/>
          <w:color w:val="auto"/>
          <w:sz w:val="24"/>
          <w:szCs w:val="24"/>
          <w:lang w:eastAsia="zh-CN"/>
        </w:rPr>
        <w:t>采购包1：赤峰市生态环境监控中心资产清查及项目盘点项目</w:t>
      </w:r>
    </w:p>
    <w:tbl>
      <w:tblPr>
        <w:tblStyle w:val="20"/>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6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交货或服务期限</w:t>
            </w:r>
          </w:p>
        </w:tc>
        <w:tc>
          <w:tcPr>
            <w:tcW w:w="6121" w:type="dxa"/>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2026年10月10日前完成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交货或服务地点</w:t>
            </w:r>
          </w:p>
        </w:tc>
        <w:tc>
          <w:tcPr>
            <w:tcW w:w="6121" w:type="dxa"/>
            <w:shd w:val="clear" w:color="auto" w:fill="auto"/>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赤峰市生态环境监控中心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付款方式</w:t>
            </w:r>
          </w:p>
        </w:tc>
        <w:tc>
          <w:tcPr>
            <w:tcW w:w="6121" w:type="dxa"/>
            <w:shd w:val="clear" w:color="auto" w:fill="auto"/>
            <w:vAlign w:val="center"/>
          </w:tcPr>
          <w:p>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第一期：</w:t>
            </w:r>
            <w:r>
              <w:rPr>
                <w:rFonts w:ascii="宋体" w:eastAsia="宋体" w:cs="宋体"/>
                <w:color w:val="auto"/>
                <w:sz w:val="24"/>
                <w:szCs w:val="24"/>
                <w:highlight w:val="none"/>
                <w:lang w:eastAsia="zh-CN"/>
              </w:rPr>
              <w:t>成交供应商</w:t>
            </w:r>
            <w:r>
              <w:rPr>
                <w:rFonts w:hint="eastAsia" w:ascii="宋体" w:eastAsia="宋体" w:cs="宋体"/>
                <w:color w:val="auto"/>
                <w:sz w:val="24"/>
                <w:szCs w:val="24"/>
                <w:highlight w:val="none"/>
                <w:lang w:eastAsia="zh-CN"/>
              </w:rPr>
              <w:t>进场承接业务，完成业务交接，经采购人确认后，即支付服务费的60%。</w:t>
            </w:r>
          </w:p>
          <w:p>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第二期：</w:t>
            </w:r>
            <w:r>
              <w:rPr>
                <w:rFonts w:ascii="宋体" w:eastAsia="宋体" w:cs="宋体"/>
                <w:color w:val="auto"/>
                <w:sz w:val="24"/>
                <w:szCs w:val="24"/>
                <w:highlight w:val="none"/>
                <w:lang w:eastAsia="zh-CN"/>
              </w:rPr>
              <w:t>成交供应商按照采购文件及采购合同要求完成全部服务内容后，由采购人据实支付</w:t>
            </w:r>
            <w:r>
              <w:rPr>
                <w:rFonts w:hint="eastAsia" w:ascii="宋体" w:eastAsia="宋体" w:cs="宋体"/>
                <w:color w:val="auto"/>
                <w:sz w:val="24"/>
                <w:szCs w:val="24"/>
                <w:highlight w:val="none"/>
                <w:lang w:eastAsia="zh-CN"/>
              </w:rPr>
              <w:t>剩余全部</w:t>
            </w:r>
            <w:r>
              <w:rPr>
                <w:rFonts w:ascii="宋体" w:eastAsia="宋体" w:cs="宋体"/>
                <w:color w:val="auto"/>
                <w:sz w:val="24"/>
                <w:szCs w:val="24"/>
                <w:highlight w:val="none"/>
                <w:lang w:eastAsia="zh-CN"/>
              </w:rPr>
              <w:t>服务费。</w:t>
            </w:r>
          </w:p>
          <w:p>
            <w:pPr>
              <w:kinsoku/>
              <w:spacing w:line="360" w:lineRule="auto"/>
              <w:jc w:val="both"/>
              <w:rPr>
                <w:rFonts w:ascii="宋体" w:eastAsia="宋体" w:cs="宋体"/>
                <w:color w:val="auto"/>
                <w:sz w:val="24"/>
                <w:szCs w:val="24"/>
                <w:lang w:eastAsia="zh-CN"/>
              </w:rPr>
            </w:pPr>
            <w:r>
              <w:rPr>
                <w:rFonts w:ascii="宋体" w:eastAsia="宋体" w:cs="宋体"/>
                <w:color w:val="auto"/>
                <w:sz w:val="24"/>
                <w:szCs w:val="24"/>
                <w:highlight w:val="none"/>
                <w:lang w:eastAsia="zh-CN"/>
              </w:rPr>
              <w:t>付款之前，成交供应商应向采购人提供相应金额的发票。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验收要求</w:t>
            </w:r>
          </w:p>
        </w:tc>
        <w:tc>
          <w:tcPr>
            <w:tcW w:w="6121" w:type="dxa"/>
            <w:shd w:val="clear" w:color="auto" w:fill="auto"/>
            <w:vAlign w:val="center"/>
          </w:tcPr>
          <w:p>
            <w:pPr>
              <w:kinsoku/>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成交供应商提供的相关服务符合国家（或行业）规定标准。成交供应商全部服务完成后由采购人组织履约验收。验收合格签署《履约验收书》。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履约保证金</w:t>
            </w:r>
          </w:p>
        </w:tc>
        <w:tc>
          <w:tcPr>
            <w:tcW w:w="6121" w:type="dxa"/>
            <w:shd w:val="clear" w:color="auto" w:fill="auto"/>
            <w:vAlign w:val="center"/>
          </w:tcPr>
          <w:p>
            <w:pPr>
              <w:pStyle w:val="18"/>
              <w:widowControl w:val="0"/>
              <w:kinsoku/>
              <w:wordWrap w:val="0"/>
              <w:autoSpaceDE/>
              <w:autoSpaceDN/>
              <w:adjustRightInd/>
              <w:snapToGrid/>
              <w:spacing w:line="400" w:lineRule="exact"/>
              <w:ind w:firstLine="0" w:firstLineChars="0"/>
              <w:rPr>
                <w:rFonts w:ascii="宋体" w:hAnsi="宋体" w:eastAsia="宋体" w:cs="宋体"/>
                <w:szCs w:val="24"/>
                <w:lang w:eastAsia="zh-CN"/>
              </w:rPr>
            </w:pPr>
            <w:r>
              <w:rPr>
                <w:rFonts w:hint="eastAsia" w:ascii="宋体" w:hAnsi="宋体" w:eastAsia="宋体" w:cs="宋体"/>
                <w:szCs w:val="24"/>
                <w:lang w:eastAsia="zh-CN"/>
              </w:rPr>
              <w:t>本项目不要求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其他要求</w:t>
            </w:r>
          </w:p>
        </w:tc>
        <w:tc>
          <w:tcPr>
            <w:tcW w:w="6121" w:type="dxa"/>
            <w:shd w:val="clear" w:color="auto" w:fill="auto"/>
            <w:vAlign w:val="center"/>
          </w:tcPr>
          <w:p>
            <w:pPr>
              <w:kinsoku/>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无</w:t>
            </w:r>
          </w:p>
        </w:tc>
      </w:tr>
    </w:tbl>
    <w:p>
      <w:pPr>
        <w:kinsoku/>
        <w:spacing w:before="240" w:beforeLines="100" w:line="360" w:lineRule="auto"/>
        <w:ind w:firstLine="481" w:firstLineChars="200"/>
        <w:outlineLvl w:val="2"/>
        <w:rPr>
          <w:rFonts w:ascii="宋体" w:eastAsia="宋体" w:cs="宋体"/>
          <w:b/>
          <w:bCs/>
          <w:color w:val="auto"/>
          <w:sz w:val="24"/>
          <w:szCs w:val="24"/>
        </w:rPr>
      </w:pPr>
      <w:r>
        <w:rPr>
          <w:rFonts w:hint="eastAsia" w:ascii="宋体" w:eastAsia="宋体" w:cs="宋体"/>
          <w:b/>
          <w:bCs/>
          <w:color w:val="auto"/>
          <w:sz w:val="24"/>
          <w:szCs w:val="24"/>
        </w:rPr>
        <w:t>2.技术要求</w:t>
      </w:r>
    </w:p>
    <w:p>
      <w:pPr>
        <w:kinsoku/>
        <w:spacing w:line="360" w:lineRule="auto"/>
        <w:ind w:firstLine="480" w:firstLineChars="200"/>
        <w:outlineLvl w:val="3"/>
        <w:rPr>
          <w:rFonts w:ascii="宋体" w:eastAsia="宋体" w:cs="宋体"/>
          <w:color w:val="auto"/>
          <w:sz w:val="24"/>
          <w:szCs w:val="24"/>
          <w:lang w:eastAsia="zh-CN"/>
        </w:rPr>
      </w:pPr>
      <w:r>
        <w:rPr>
          <w:rFonts w:hint="eastAsia" w:ascii="宋体" w:eastAsia="宋体" w:cs="宋体"/>
          <w:color w:val="auto"/>
          <w:sz w:val="24"/>
          <w:szCs w:val="24"/>
          <w:lang w:eastAsia="zh-CN"/>
        </w:rPr>
        <w:t>采购包1：赤峰市生态环境监控中心资产清查及项目盘点项目</w:t>
      </w:r>
    </w:p>
    <w:tbl>
      <w:tblPr>
        <w:tblStyle w:val="20"/>
        <w:tblW w:w="9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539"/>
        <w:gridCol w:w="8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insoku/>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参数性质</w:t>
            </w:r>
          </w:p>
        </w:tc>
        <w:tc>
          <w:tcPr>
            <w:tcW w:w="539" w:type="dxa"/>
            <w:shd w:val="clear" w:color="auto" w:fill="auto"/>
            <w:vAlign w:val="center"/>
          </w:tcPr>
          <w:p>
            <w:pPr>
              <w:kinsoku/>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8446" w:type="dxa"/>
            <w:shd w:val="clear" w:color="auto" w:fill="auto"/>
            <w:vAlign w:val="center"/>
          </w:tcPr>
          <w:p>
            <w:pPr>
              <w:kinsoku/>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insoku/>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539" w:type="dxa"/>
            <w:shd w:val="clear" w:color="auto" w:fill="auto"/>
            <w:vAlign w:val="center"/>
          </w:tcPr>
          <w:p>
            <w:pPr>
              <w:kinsoku/>
              <w:spacing w:line="360" w:lineRule="auto"/>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8446" w:type="dxa"/>
            <w:shd w:val="clear" w:color="auto" w:fill="auto"/>
            <w:vAlign w:val="center"/>
          </w:tcPr>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一、服务内容：</w:t>
            </w:r>
          </w:p>
          <w:p>
            <w:pPr>
              <w:spacing w:before="183" w:line="352" w:lineRule="auto"/>
              <w:ind w:left="24" w:right="167" w:firstLine="477"/>
              <w:jc w:val="both"/>
              <w:rPr>
                <w:lang w:eastAsia="zh-CN"/>
              </w:rPr>
            </w:pPr>
            <w:r>
              <w:rPr>
                <w:rFonts w:hint="eastAsia" w:ascii="宋体" w:hAnsi="宋体" w:eastAsia="宋体" w:cs="宋体"/>
                <w:sz w:val="24"/>
                <w:szCs w:val="24"/>
                <w:lang w:eastAsia="zh-CN"/>
              </w:rPr>
              <w:t>1、对中心所有资产账目进行梳理盘查，对照一体化预算系统资产管理模块里资产信息，逐一查找每项资产的原始凭证。2、依据查清的原始凭证，梳理一体化预算系统资产管理模块里资产卡片信息，原值 100万元及以上的固定资产，补充完善整体、正面、内部结构等不同方位的三张照片，对房屋、土地（空地，不含建筑物坐落的土地）补充完善资产定位信息。对按规定应记入未记入系统的进行补记、对不需记入的进行删除、对资产卡片信息错误的进行修改。3、对国有资产逐科室，逐地点进行实地清点、核对、登记，做到资产实物管理责任落实到具体科室、具体人员。查清是否存在国有资产损失问题，制定可报废、暂时储存备用、在用三类资产清单。确保账实相符、账账相符。4、对预算一体化系统资产卡片信息进行全面核查，逐项梳理和修正资产分类、名称、数量、规格型号、地址、使用人（管理人）、使用状态等内容，将资产卡片信息更新至最新状态。5、补齐一体化预算系统资产管理模块里资产信息，并对资产进行“贴签”管理。6、对往来款项进行清理，需查找以前年度的原始凭证，确定供应商全称，发生时间、及与本单位的关系，确定是否发生损失，并按要求进行处理。7、按照《资产清查报表编制说明》通过一体化系统填报《行政事业单位资产清查报表》单户表。8、按照内蒙古自治区财政厅下发的规定格式编写资产清查工作报告。9、将中心计划报废的资产就行报废。10、负责将需处置的各项资产在预算管理一体化系统行政事业单位资产管理系统及会计核算系统中处理完毕，以保证账实相符。</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二、技术要求</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1、清查盘点要求 </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对资产进行实地盘点，核对固定资产的名称、规格型号、数量、存放地点、使用状况等信息，确保账实相符。资产清产核资按有关文件规定执行。对于存在盘盈、盘亏的资产，详细记录相关情况。对流动资产进行清查。对于存在盘盈、盘亏的资产，详细记录相关情况。对流动资产进行清查，核对银行存款账户余额，核实往来账款的真实性，盘点存货的数量。对无形资产进行梳理，核实其权属证书、使用期限等信息。</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三、服务要求</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1.清查团队应具备丰富的资产清查经验和专业知识，团队成员应包括注册会计师等专业人员，人员安排能够保证按照合同约定的时间节点保质保量完成清查工作，确保清查工作不影响赤峰市生态环境监控中心的正常工作。</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2.针对该项目做出相应方案，方案要求目标明确，范围准确及完整，人员安排架构合理，流程具有可操行，时间安排合理等要求，整体方案符合该项目要求。方案制定严格遵守国家相关法律法规和行业规范，确保清查工作的合法性、公正性和准确性。</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3.保护赤峰市生态环境监控中心资产信息安全，不得泄露清查过程中获取的任何信息。</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4.项目实施阶段及后续阶段的服务。</w:t>
            </w:r>
          </w:p>
          <w:p>
            <w:pPr>
              <w:kinsoku/>
              <w:spacing w:line="360" w:lineRule="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（1）项目实施阶段能够保证项目组负责人及时与赤峰市生态环境监控中心的相关人员沟通。对发现的问题及时给与答复及建议。在清查过程中及时向赤峰市生态环境监控中心汇报工作进度及发现的问题。 </w:t>
            </w:r>
          </w:p>
          <w:p>
            <w:pPr>
              <w:kinsoku/>
              <w:spacing w:line="360" w:lineRule="auto"/>
              <w:rPr>
                <w:rFonts w:ascii="宋体" w:hAnsi="宋体" w:eastAsia="宋体" w:cs="宋体"/>
                <w:sz w:val="24"/>
                <w:szCs w:val="24"/>
                <w:lang w:eastAsia="zh-CN"/>
              </w:rPr>
            </w:pP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2</w:t>
            </w:r>
            <w:r>
              <w:rPr>
                <w:rFonts w:hint="eastAsia" w:ascii="宋体" w:hAnsi="宋体" w:eastAsia="宋体" w:cs="宋体"/>
                <w:color w:val="auto"/>
                <w:sz w:val="24"/>
                <w:szCs w:val="24"/>
                <w:lang w:eastAsia="zh-CN"/>
              </w:rPr>
              <w:t>）项目后续服务阶段，协助赤峰市生态环境监控中心对清查中发现的问题进行整改。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33" w:type="dxa"/>
            <w:shd w:val="clear" w:color="auto" w:fill="auto"/>
            <w:vAlign w:val="center"/>
          </w:tcPr>
          <w:p>
            <w:pPr>
              <w:kinsoku/>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说明</w:t>
            </w:r>
          </w:p>
        </w:tc>
        <w:tc>
          <w:tcPr>
            <w:tcW w:w="8985" w:type="dxa"/>
            <w:gridSpan w:val="2"/>
            <w:shd w:val="clear" w:color="auto" w:fill="auto"/>
            <w:vAlign w:val="center"/>
          </w:tcPr>
          <w:p>
            <w:pPr>
              <w:kinsoku/>
              <w:spacing w:line="360" w:lineRule="auto"/>
              <w:jc w:val="both"/>
              <w:rPr>
                <w:lang w:eastAsia="zh-CN"/>
              </w:rPr>
            </w:pPr>
            <w:r>
              <w:rPr>
                <w:rFonts w:hint="eastAsia" w:ascii="宋体" w:hAnsi="宋体" w:eastAsia="宋体" w:cs="宋体"/>
                <w:color w:val="auto"/>
                <w:sz w:val="24"/>
                <w:szCs w:val="24"/>
                <w:lang w:eastAsia="zh-CN"/>
              </w:rPr>
              <w:t>打“★”号条款为实质性条款，若有任何一条负偏离或不满足则导致响应无效。</w:t>
            </w:r>
          </w:p>
        </w:tc>
      </w:tr>
    </w:tbl>
    <w:p>
      <w:pPr>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562" w:firstLineChars="200"/>
        <w:jc w:val="center"/>
        <w:outlineLvl w:val="0"/>
        <w:rPr>
          <w:rFonts w:ascii="宋体" w:eastAsia="宋体" w:cs="宋体"/>
          <w:color w:val="auto"/>
          <w:sz w:val="24"/>
          <w:szCs w:val="24"/>
          <w:lang w:eastAsia="zh-CN"/>
        </w:rPr>
      </w:pPr>
      <w:bookmarkStart w:id="18" w:name="_Toc5231"/>
      <w:r>
        <w:rPr>
          <w:rFonts w:hint="eastAsia" w:ascii="宋体" w:eastAsia="宋体" w:cs="宋体"/>
          <w:b/>
          <w:bCs/>
          <w:color w:val="auto"/>
          <w:sz w:val="28"/>
          <w:szCs w:val="28"/>
          <w:lang w:eastAsia="zh-CN"/>
        </w:rPr>
        <w:t>第四章  供应商应当提交的资格、资信证明文件</w:t>
      </w:r>
      <w:bookmarkEnd w:id="18"/>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供应商应提交证明其有资格参加磋商和成交后有能力履行合同的相关文件，并作为其响应文件的一部分，所有文件必须真实可靠、不得伪造，否则将按相关规定予以处罚。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二、财务状况报告，依法缴纳税收和社会保障资金的相关材料（详见资格审查表）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三、具备履行合同所必需的设备和专业技术能力的相关材料。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四、参加政府采购活动前 3 年内在经营活动中没有重大违法记录的书面声明。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五、按照磋商文件要求，供应商应当提交的其他资格、资信证明文件。</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562" w:firstLineChars="200"/>
        <w:jc w:val="center"/>
        <w:outlineLvl w:val="0"/>
        <w:rPr>
          <w:rFonts w:ascii="宋体" w:eastAsia="宋体" w:cs="宋体"/>
          <w:b/>
          <w:bCs/>
          <w:color w:val="auto"/>
          <w:sz w:val="24"/>
          <w:szCs w:val="24"/>
          <w:lang w:eastAsia="zh-CN"/>
        </w:rPr>
      </w:pPr>
      <w:bookmarkStart w:id="19" w:name="_Toc13022"/>
      <w:r>
        <w:rPr>
          <w:rFonts w:hint="eastAsia" w:ascii="宋体" w:eastAsia="宋体" w:cs="宋体"/>
          <w:b/>
          <w:bCs/>
          <w:color w:val="auto"/>
          <w:sz w:val="28"/>
          <w:szCs w:val="28"/>
          <w:lang w:eastAsia="zh-CN"/>
        </w:rPr>
        <w:t>第五章  评审</w:t>
      </w:r>
      <w:bookmarkEnd w:id="19"/>
    </w:p>
    <w:p>
      <w:pPr>
        <w:kinsoku/>
        <w:spacing w:line="360" w:lineRule="auto"/>
        <w:ind w:firstLine="481" w:firstLineChars="200"/>
        <w:outlineLvl w:val="1"/>
        <w:rPr>
          <w:rFonts w:ascii="宋体" w:eastAsia="宋体" w:cs="宋体"/>
          <w:color w:val="auto"/>
          <w:sz w:val="24"/>
          <w:szCs w:val="24"/>
          <w:lang w:eastAsia="zh-CN"/>
        </w:rPr>
      </w:pPr>
      <w:bookmarkStart w:id="20" w:name="_Toc11287"/>
      <w:r>
        <w:rPr>
          <w:rFonts w:hint="eastAsia" w:ascii="宋体" w:eastAsia="宋体" w:cs="宋体"/>
          <w:b/>
          <w:bCs/>
          <w:color w:val="auto"/>
          <w:sz w:val="24"/>
          <w:szCs w:val="24"/>
          <w:lang w:eastAsia="zh-CN"/>
        </w:rPr>
        <w:t>一、评审要求</w:t>
      </w:r>
      <w:bookmarkEnd w:id="20"/>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1.评审方法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2.评审原则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磋商小组成员应当遵循客观、公正、审慎的原则，根据磋商文件规定的评审程序、评审方法和评审标准进行独立评审。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具体评审事项由磋商小组负责，并按磋商文件规定的办法进行评审。</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3.磋商小组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3.1 磋商小组由评审专家共 3 人以上单数组成。</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3.2 磋商小组成员有下列情形之一的，应当回避：</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（1）参加政府采购活动前 3 年内,与供应商存在劳动关系,或者担任过供应商的董事、监事,或者是供应商的控股股东或实际控制人；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（2）与供应商的法定代表人或者负责人有夫妻、直系血亲、三代以内旁系血亲或者近姻亲关系；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（3）与供应商有其他可能影响政府采购活动公平、公正进行的关系。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3.3 磋商小组负责具体评审事务，并独立履行下列职责：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（1）对响应文件的有效性、完整性和响应程度进行审查；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（2）要求供应商对响应文件有关事项作出澄清、说明或更正；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（3）磋商小组所有成员应当集中与单一供应商分别进行磋商；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（4）对响应文件进行比较和评价；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（5）确定成交候选人名单，以及根据采购人委托直接确定成交供应商；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（6）向采购人、采购代理机构或者有关部门报告评审中发现的违法行为；</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（7）法律法规规定的其他职责。</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4.澄清</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4.1 磋商小组不接受供应商主动提出的澄清、说明或更正。</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4.2 磋商小组对供应商提交的澄清、说明或更正有疑问的，可以要求供应商进一步澄清、说明或更正。</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5.有下列情形之一的，属于恶意串通，并追究法律责任：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（1）供应商直接或者间接从采购人或者采购代理机构处获得其他供应商的相关情况并修改其响应文件；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（2）供应商按照采购人或者采购代理机构的授意撤换、修改响应文件；</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（3）供应商之间协商报价、技术方案等响应文件的实质性内容；</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（4）属于同一集团、协会、商会等组织成员的供应商按照该组织要求协同参加政府采购活动；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（5）供应商之间事先约定由某一特定供应商成交；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（6）供应商之间商定部分供应商放弃参加政府采购活动或者放弃成交；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（7）供应商与采购人或者采购代理机构之间、供应商相互之间，为谋求特定供应商成交或者排斥其他供应商的其他串通行为。</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6.响应无效的情形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（1）供应商未按照磋商文件要求提交磋商保证金的，响应无效；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（2）在提交响应文件截止时间后递交响应文件的，响应无效；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（3）未实质性响应磋商文件的，响应无效；</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（4）法律、法规和磋商文件规定的其他无效情形。</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7.终止的情形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出现下列情形之一的，采购人或者采购代理机构应当终止竞争性磋商采购活动，发布公告并说明原因，重新开展采购活动：</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（1）因情况变化，不再符合规定的竞争性磋商采购方式适用情形的；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（2）出现影响采购公正的违法、违规行为的；</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（3）除《政府采购竞争性磋商采购方式管理暂行办法》及其补充通知规定的情形外，在采购过程中符合要求的供应商或者报价未超过采购预算的供应商不足 3 家的。</w:t>
      </w:r>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（4）法律、法规以及磋商文件规定的其他情形。</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8.成交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评审结束后，磋商小组根据采购文件要求直接确定成交供应商。</w:t>
      </w:r>
    </w:p>
    <w:p>
      <w:pPr>
        <w:kinsoku/>
        <w:spacing w:line="360" w:lineRule="auto"/>
        <w:ind w:firstLine="481" w:firstLineChars="200"/>
        <w:outlineLvl w:val="1"/>
        <w:rPr>
          <w:rFonts w:ascii="宋体" w:eastAsia="宋体" w:cs="宋体"/>
          <w:color w:val="auto"/>
          <w:sz w:val="24"/>
          <w:szCs w:val="24"/>
          <w:lang w:eastAsia="zh-CN"/>
        </w:rPr>
      </w:pPr>
      <w:bookmarkStart w:id="21" w:name="_Toc5195"/>
      <w:r>
        <w:rPr>
          <w:rFonts w:hint="eastAsia" w:ascii="宋体" w:eastAsia="宋体" w:cs="宋体"/>
          <w:b/>
          <w:bCs/>
          <w:color w:val="auto"/>
          <w:sz w:val="24"/>
          <w:szCs w:val="24"/>
          <w:lang w:eastAsia="zh-CN"/>
        </w:rPr>
        <w:t>二、落实政府采购政策</w:t>
      </w:r>
      <w:bookmarkEnd w:id="21"/>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1.节约能源、保护环境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kinsoku/>
        <w:spacing w:line="360" w:lineRule="auto"/>
        <w:ind w:firstLine="481" w:firstLineChars="200"/>
        <w:rPr>
          <w:rFonts w:ascii="宋体" w:eastAsia="宋体" w:cs="宋体"/>
          <w:b/>
          <w:bCs/>
          <w:color w:val="auto"/>
          <w:sz w:val="24"/>
          <w:szCs w:val="24"/>
          <w:lang w:eastAsia="zh-CN"/>
        </w:rPr>
      </w:pPr>
      <w:r>
        <w:rPr>
          <w:rFonts w:hint="eastAsia" w:ascii="宋体" w:eastAsia="宋体" w:cs="宋体"/>
          <w:b/>
          <w:bCs/>
          <w:color w:val="auto"/>
          <w:sz w:val="24"/>
          <w:szCs w:val="24"/>
          <w:lang w:eastAsia="zh-CN"/>
        </w:rPr>
        <w:t>2.促进中小企业发展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采购人在政府采购活动中应当通过加强采购需求管理，落实预留采购份额、价格评审优惠、优先采购等措施，提高中小企业在政府采购中的份额，支持中小企业发展。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2.3 在政府采购活动中，供应商提供的货物、工程或者服务符合下列情形的，享受《政府采购促进中小企业发展管理办法》规定的中小企业扶持政策：</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（1）在货物采购项目中，货物由中小企业制造，即货物由中小企业生产且使用该中小企业商号或者注册商标；</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（2）在工程采购项目中，工程由中小企业承建，即工程施工单位为中小企业；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（3）在服务采购项目中，服务由中小企业承接，即提供服务的人员为中小企业依照《中华人民共和国劳动合同法》订立劳动合同的从业人员。</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在货物采购项目中，供应商提供的货物既有中小企业制造货物，也有大型企业制造货物的，不享受《政府采购促进中小企业发展管理办法》规定的中小企业扶持政策。</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以联合体形式参加政府采购活动，联合体各方均为中小企业的，联合体视同中小企业。其中，联合体各方均为小微企业的，联合体视同小微企业。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2.4 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tbl>
      <w:tblPr>
        <w:tblStyle w:val="38"/>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66"/>
        <w:gridCol w:w="1140"/>
        <w:gridCol w:w="1906"/>
        <w:gridCol w:w="4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textDirection w:val="tbRlV"/>
          </w:tcPr>
          <w:p>
            <w:pPr>
              <w:spacing w:before="205" w:line="212" w:lineRule="auto"/>
              <w:ind w:left="40"/>
              <w:rPr>
                <w:rFonts w:ascii="宋体" w:hAnsi="宋体" w:eastAsia="宋体" w:cs="宋体"/>
                <w:sz w:val="24"/>
                <w:szCs w:val="24"/>
              </w:rPr>
            </w:pPr>
            <w:r>
              <w:rPr>
                <w:rFonts w:hint="eastAsia" w:ascii="宋体" w:hAnsi="宋体" w:eastAsia="宋体" w:cs="宋体"/>
                <w:spacing w:val="-1"/>
                <w:sz w:val="24"/>
                <w:szCs w:val="24"/>
              </w:rPr>
              <w:t>序号</w:t>
            </w:r>
          </w:p>
        </w:tc>
        <w:tc>
          <w:tcPr>
            <w:tcW w:w="1866" w:type="dxa"/>
          </w:tcPr>
          <w:p>
            <w:pPr>
              <w:spacing w:before="195" w:line="219" w:lineRule="auto"/>
              <w:ind w:left="598"/>
              <w:rPr>
                <w:rFonts w:ascii="宋体" w:hAnsi="宋体" w:eastAsia="宋体" w:cs="宋体"/>
                <w:sz w:val="24"/>
                <w:szCs w:val="24"/>
              </w:rPr>
            </w:pPr>
            <w:r>
              <w:rPr>
                <w:rFonts w:hint="eastAsia" w:ascii="宋体" w:hAnsi="宋体" w:eastAsia="宋体" w:cs="宋体"/>
                <w:spacing w:val="-6"/>
                <w:sz w:val="24"/>
                <w:szCs w:val="24"/>
              </w:rPr>
              <w:t>情形</w:t>
            </w:r>
          </w:p>
        </w:tc>
        <w:tc>
          <w:tcPr>
            <w:tcW w:w="1140" w:type="dxa"/>
          </w:tcPr>
          <w:p>
            <w:pPr>
              <w:spacing w:before="39" w:line="224" w:lineRule="auto"/>
              <w:ind w:left="403" w:right="146" w:hanging="248"/>
              <w:rPr>
                <w:rFonts w:ascii="宋体" w:hAnsi="宋体" w:eastAsia="宋体" w:cs="宋体"/>
                <w:sz w:val="24"/>
                <w:szCs w:val="24"/>
              </w:rPr>
            </w:pPr>
            <w:r>
              <w:rPr>
                <w:rFonts w:hint="eastAsia" w:ascii="宋体" w:hAnsi="宋体" w:eastAsia="宋体" w:cs="宋体"/>
                <w:spacing w:val="-4"/>
                <w:sz w:val="24"/>
                <w:szCs w:val="24"/>
              </w:rPr>
              <w:t>适用对</w:t>
            </w:r>
            <w:r>
              <w:rPr>
                <w:rFonts w:hint="eastAsia" w:ascii="宋体" w:hAnsi="宋体" w:eastAsia="宋体" w:cs="宋体"/>
                <w:spacing w:val="1"/>
                <w:sz w:val="24"/>
                <w:szCs w:val="24"/>
              </w:rPr>
              <w:t xml:space="preserve"> </w:t>
            </w:r>
            <w:r>
              <w:rPr>
                <w:rFonts w:hint="eastAsia" w:ascii="宋体" w:hAnsi="宋体" w:eastAsia="宋体" w:cs="宋体"/>
                <w:sz w:val="24"/>
                <w:szCs w:val="24"/>
              </w:rPr>
              <w:t>象</w:t>
            </w:r>
          </w:p>
        </w:tc>
        <w:tc>
          <w:tcPr>
            <w:tcW w:w="1906" w:type="dxa"/>
          </w:tcPr>
          <w:p>
            <w:pPr>
              <w:spacing w:before="195" w:line="222" w:lineRule="auto"/>
              <w:ind w:left="137"/>
              <w:rPr>
                <w:rFonts w:ascii="宋体" w:hAnsi="宋体" w:eastAsia="宋体" w:cs="宋体"/>
                <w:sz w:val="24"/>
                <w:szCs w:val="24"/>
              </w:rPr>
            </w:pPr>
            <w:r>
              <w:rPr>
                <w:rFonts w:hint="eastAsia" w:ascii="宋体" w:hAnsi="宋体" w:eastAsia="宋体" w:cs="宋体"/>
                <w:spacing w:val="-2"/>
                <w:sz w:val="24"/>
                <w:szCs w:val="24"/>
              </w:rPr>
              <w:t>价格扣除比例</w:t>
            </w:r>
          </w:p>
        </w:tc>
        <w:tc>
          <w:tcPr>
            <w:tcW w:w="4069" w:type="dxa"/>
          </w:tcPr>
          <w:p>
            <w:pPr>
              <w:spacing w:before="196" w:line="203" w:lineRule="auto"/>
              <w:ind w:left="1340"/>
              <w:rPr>
                <w:rFonts w:ascii="宋体" w:hAnsi="宋体" w:eastAsia="宋体" w:cs="宋体"/>
                <w:sz w:val="24"/>
                <w:szCs w:val="24"/>
              </w:rPr>
            </w:pPr>
            <w:r>
              <w:rPr>
                <w:rFonts w:hint="eastAsia" w:ascii="宋体" w:hAnsi="宋体" w:eastAsia="宋体" w:cs="宋体"/>
                <w:spacing w:val="-3"/>
                <w:sz w:val="24"/>
                <w:szCs w:val="24"/>
              </w:rPr>
              <w:t>计算公式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17" w:type="dxa"/>
            <w:gridSpan w:val="5"/>
          </w:tcPr>
          <w:p>
            <w:pPr>
              <w:spacing w:before="39" w:line="203" w:lineRule="auto"/>
              <w:ind w:left="141"/>
              <w:rPr>
                <w:rFonts w:ascii="宋体" w:hAnsi="宋体" w:eastAsia="宋体" w:cs="宋体"/>
                <w:sz w:val="24"/>
                <w:szCs w:val="24"/>
                <w:lang w:eastAsia="zh-CN"/>
              </w:rPr>
            </w:pPr>
            <w:r>
              <w:rPr>
                <w:rFonts w:hint="eastAsia" w:ascii="宋体" w:hAnsi="宋体" w:eastAsia="宋体" w:cs="宋体"/>
                <w:spacing w:val="2"/>
                <w:sz w:val="24"/>
                <w:szCs w:val="24"/>
                <w:lang w:eastAsia="zh-CN"/>
              </w:rPr>
              <w:t>注</w:t>
            </w:r>
            <w:r>
              <w:rPr>
                <w:rFonts w:hint="eastAsia" w:ascii="宋体" w:hAnsi="宋体" w:eastAsia="宋体" w:cs="宋体"/>
                <w:spacing w:val="-28"/>
                <w:w w:val="98"/>
                <w:sz w:val="24"/>
                <w:szCs w:val="24"/>
                <w:lang w:eastAsia="zh-CN"/>
              </w:rPr>
              <w:t>：（</w:t>
            </w:r>
            <w:r>
              <w:rPr>
                <w:rFonts w:hint="eastAsia" w:ascii="宋体" w:hAnsi="宋体" w:eastAsia="宋体" w:cs="宋体"/>
                <w:spacing w:val="2"/>
                <w:sz w:val="24"/>
                <w:szCs w:val="24"/>
                <w:lang w:eastAsia="zh-CN"/>
              </w:rPr>
              <w:t>1）上述评标价仅用于计算价格评分，成交</w:t>
            </w:r>
            <w:r>
              <w:rPr>
                <w:rFonts w:hint="eastAsia" w:ascii="宋体" w:hAnsi="宋体" w:eastAsia="宋体" w:cs="宋体"/>
                <w:spacing w:val="1"/>
                <w:sz w:val="24"/>
                <w:szCs w:val="24"/>
                <w:lang w:eastAsia="zh-CN"/>
              </w:rPr>
              <w:t>金额以实际投标价为准。（2）</w:t>
            </w:r>
            <w:r>
              <w:rPr>
                <w:rFonts w:hint="eastAsia" w:ascii="宋体" w:hAnsi="宋体" w:eastAsia="宋体" w:cs="宋体"/>
                <w:sz w:val="24"/>
                <w:szCs w:val="24"/>
                <w:lang w:eastAsia="zh-CN"/>
              </w:rPr>
              <w:t>组成联合体的大中型企业和其他自然人、法人或</w:t>
            </w:r>
            <w:r>
              <w:rPr>
                <w:rFonts w:hint="eastAsia" w:ascii="宋体" w:hAnsi="宋体" w:eastAsia="宋体" w:cs="宋体"/>
                <w:spacing w:val="-1"/>
                <w:sz w:val="24"/>
                <w:szCs w:val="24"/>
                <w:lang w:eastAsia="zh-CN"/>
              </w:rPr>
              <w:t>者其他组织，与小型、微型企业</w:t>
            </w:r>
            <w:r>
              <w:rPr>
                <w:rFonts w:hint="eastAsia" w:ascii="宋体" w:hAnsi="宋体" w:eastAsia="宋体" w:cs="宋体"/>
                <w:spacing w:val="-2"/>
                <w:sz w:val="24"/>
                <w:szCs w:val="24"/>
                <w:lang w:eastAsia="zh-CN"/>
              </w:rPr>
              <w:t>之间不得存在投资关系。</w:t>
            </w:r>
          </w:p>
        </w:tc>
      </w:tr>
    </w:tbl>
    <w:p>
      <w:pPr>
        <w:kinsoku/>
        <w:spacing w:before="240" w:beforeLines="100"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2.5 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供应商应当对提供材料的真实性负责，若有虚假，将追究其法律责任。</w:t>
      </w:r>
    </w:p>
    <w:p>
      <w:pPr>
        <w:kinsoku/>
        <w:spacing w:line="360" w:lineRule="auto"/>
        <w:ind w:firstLine="481" w:firstLineChars="200"/>
        <w:outlineLvl w:val="1"/>
        <w:rPr>
          <w:rFonts w:ascii="宋体" w:eastAsia="宋体" w:cs="宋体"/>
          <w:color w:val="auto"/>
          <w:sz w:val="24"/>
          <w:szCs w:val="24"/>
          <w:lang w:eastAsia="zh-CN"/>
        </w:rPr>
      </w:pPr>
      <w:bookmarkStart w:id="22" w:name="_Toc11203"/>
      <w:r>
        <w:rPr>
          <w:rFonts w:hint="eastAsia" w:ascii="宋体" w:eastAsia="宋体" w:cs="宋体"/>
          <w:b/>
          <w:bCs/>
          <w:color w:val="auto"/>
          <w:sz w:val="24"/>
          <w:szCs w:val="24"/>
          <w:lang w:eastAsia="zh-CN"/>
        </w:rPr>
        <w:t>三、评审程序</w:t>
      </w:r>
      <w:bookmarkEnd w:id="22"/>
    </w:p>
    <w:p>
      <w:pPr>
        <w:kinsoku/>
        <w:spacing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1.资格审查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1.1 磋商小组依据法律法规和磋商文件的规定，对响应文件中的资格证明文件等进行审查，以确定供应商是否具备响应资格。</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1.2 资格审查中有任意一项未通过的，审查结果为未通过，未通过资格审查的供应商按无效响应处理。</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1.3 信用记录查询</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查询渠道：通过“信用中国”网站(www.creditchina.gov.cn)和“中国政府采购网”（www.ccgp.gov.cn）进行查询；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查询截止时点：本项目资格审查时查询；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查询记录：对列入失信被执行人、重大税收违法失信主体名单、政府采购严重违法失信行为记录名单进行查询；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磋商小组应当按照查询渠道、查询时间节点、查询记录内容进行查询</w:t>
      </w:r>
      <w:r>
        <w:rPr>
          <w:rFonts w:ascii="宋体" w:hAnsi="宋体" w:eastAsia="宋体" w:cs="宋体"/>
          <w:color w:val="auto"/>
          <w:sz w:val="24"/>
          <w:szCs w:val="24"/>
          <w:lang w:eastAsia="zh-CN"/>
        </w:rPr>
        <w:t>。</w:t>
      </w:r>
      <w:r>
        <w:rPr>
          <w:rFonts w:hint="eastAsia" w:ascii="宋体" w:eastAsia="宋体" w:cs="宋体"/>
          <w:color w:val="auto"/>
          <w:sz w:val="24"/>
          <w:szCs w:val="24"/>
          <w:lang w:eastAsia="zh-CN"/>
        </w:rPr>
        <w:t>对信用记录查询结果中显示被列入失信被执行人、重大税收违法失信主体名单、政府采购严重违法失信行为记录名单的供应商将被拒绝参与政府采购活动。</w:t>
      </w:r>
    </w:p>
    <w:p>
      <w:pPr>
        <w:kinsoku/>
        <w:spacing w:line="360" w:lineRule="auto"/>
        <w:jc w:val="center"/>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资格审查表</w:t>
      </w:r>
    </w:p>
    <w:p>
      <w:pPr>
        <w:pStyle w:val="2"/>
        <w:spacing w:before="240" w:beforeLines="100" w:line="360" w:lineRule="auto"/>
        <w:ind w:firstLine="480" w:firstLineChars="200"/>
        <w:outlineLvl w:val="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采购包1：赤峰市生态环境监控中心资产清查及项目盘点项目</w:t>
      </w:r>
    </w:p>
    <w:tbl>
      <w:tblPr>
        <w:tblStyle w:val="20"/>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33"/>
        <w:gridCol w:w="4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ascii="宋体" w:eastAsia="宋体" w:cs="宋体"/>
                <w:b/>
                <w:bCs/>
                <w:color w:val="auto"/>
                <w:sz w:val="24"/>
                <w:szCs w:val="24"/>
                <w:lang w:eastAsia="zh-CN"/>
              </w:rPr>
            </w:pPr>
            <w:r>
              <w:rPr>
                <w:rFonts w:hint="eastAsia" w:ascii="宋体" w:eastAsia="宋体" w:cs="宋体"/>
                <w:b/>
                <w:bCs/>
                <w:color w:val="auto"/>
                <w:sz w:val="24"/>
                <w:szCs w:val="24"/>
                <w:lang w:eastAsia="zh-CN"/>
              </w:rPr>
              <w:t>序号</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b/>
                <w:bCs/>
                <w:color w:val="auto"/>
                <w:sz w:val="24"/>
                <w:szCs w:val="24"/>
                <w:lang w:eastAsia="zh-CN"/>
              </w:rPr>
              <w:t>资格审查要求概况</w:t>
            </w:r>
          </w:p>
        </w:tc>
        <w:tc>
          <w:tcPr>
            <w:tcW w:w="4912" w:type="dxa"/>
            <w:shd w:val="clear" w:color="auto" w:fill="auto"/>
            <w:vAlign w:val="center"/>
          </w:tcPr>
          <w:p>
            <w:pPr>
              <w:spacing w:before="65" w:line="360" w:lineRule="auto"/>
              <w:jc w:val="center"/>
              <w:rPr>
                <w:rFonts w:ascii="宋体" w:eastAsia="宋体" w:cs="宋体"/>
                <w:color w:val="auto"/>
                <w:sz w:val="24"/>
                <w:szCs w:val="24"/>
                <w:lang w:eastAsia="zh-CN"/>
              </w:rPr>
            </w:pPr>
            <w:r>
              <w:rPr>
                <w:rFonts w:hint="eastAsia" w:ascii="宋体" w:eastAsia="宋体" w:cs="宋体"/>
                <w:b/>
                <w:bCs/>
                <w:color w:val="auto"/>
                <w:sz w:val="24"/>
                <w:szCs w:val="24"/>
                <w:lang w:eastAsia="zh-CN"/>
              </w:rP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1</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具有独立承担民事责任的能力</w:t>
            </w:r>
          </w:p>
        </w:tc>
        <w:tc>
          <w:tcPr>
            <w:tcW w:w="4912" w:type="dxa"/>
            <w:shd w:val="clear" w:color="auto" w:fill="auto"/>
            <w:vAlign w:val="center"/>
          </w:tcPr>
          <w:p>
            <w:pPr>
              <w:spacing w:before="65"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审查供应商有效的营业执照或事业单位法人证书或执业许可证或自然人的身份证明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2</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具有良好的商业信誉和健全的财务会计制度</w:t>
            </w:r>
          </w:p>
        </w:tc>
        <w:tc>
          <w:tcPr>
            <w:tcW w:w="4912" w:type="dxa"/>
            <w:shd w:val="clear" w:color="auto" w:fill="auto"/>
            <w:vAlign w:val="center"/>
          </w:tcPr>
          <w:p>
            <w:pPr>
              <w:spacing w:before="65"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供应商出具的2024或2025年度经会计师事务所出具的财务审计报告或其基本开户银行出具的近一年内的银行资信证明或“具有良好的商业信誉和健全的财务会计制度”的承诺书；（格式自拟）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3</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有依法缴纳税收和社会保障资金的良好记录</w:t>
            </w:r>
          </w:p>
        </w:tc>
        <w:tc>
          <w:tcPr>
            <w:tcW w:w="4912" w:type="dxa"/>
            <w:shd w:val="clear" w:color="auto" w:fill="auto"/>
            <w:vAlign w:val="center"/>
          </w:tcPr>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供应商出具的1.提供递交响应文件截止之日前一年内（任意一个月）的良好缴纳税收的相关凭据。（以税务机关提供的纳税凭据或银行入账单为准）</w:t>
            </w:r>
          </w:p>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2.提供递交响应文件截止之日前一年内（任意一个月）缴纳社会保险的凭证。（以专用收据或社会保险缴纳清单为准）</w:t>
            </w:r>
          </w:p>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或“具有依法缴纳税收和社会保障资金的良好记录”的承诺书；（格式自拟）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4</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具有履行合同所必需的设备和专业技术能力</w:t>
            </w:r>
          </w:p>
        </w:tc>
        <w:tc>
          <w:tcPr>
            <w:tcW w:w="4912" w:type="dxa"/>
            <w:shd w:val="clear" w:color="auto" w:fill="auto"/>
            <w:vAlign w:val="center"/>
          </w:tcPr>
          <w:p>
            <w:pPr>
              <w:spacing w:before="165" w:line="300" w:lineRule="auto"/>
              <w:ind w:right="76"/>
              <w:jc w:val="both"/>
              <w:rPr>
                <w:rFonts w:ascii="宋体" w:eastAsia="宋体" w:cs="宋体"/>
                <w:color w:val="auto"/>
                <w:sz w:val="24"/>
                <w:szCs w:val="24"/>
              </w:rPr>
            </w:pPr>
            <w:r>
              <w:rPr>
                <w:rFonts w:hint="eastAsia" w:ascii="宋体" w:eastAsia="宋体" w:cs="宋体"/>
                <w:color w:val="auto"/>
                <w:sz w:val="24"/>
                <w:szCs w:val="24"/>
                <w:lang w:eastAsia="zh-CN"/>
              </w:rPr>
              <w:t>审查供应商提供的具有履行合同所必需的设备和专业技术能力的书面声明。</w:t>
            </w:r>
            <w:r>
              <w:rPr>
                <w:rFonts w:hint="eastAsia" w:ascii="宋体" w:eastAsia="宋体" w:cs="宋体"/>
                <w:color w:val="auto"/>
                <w:sz w:val="24"/>
                <w:szCs w:val="24"/>
              </w:rPr>
              <w:t>（格式自拟）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5</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参加政府采购活动前 3 年内在经营活动中没有重大违法记录</w:t>
            </w:r>
          </w:p>
        </w:tc>
        <w:tc>
          <w:tcPr>
            <w:tcW w:w="4912" w:type="dxa"/>
            <w:shd w:val="clear" w:color="auto" w:fill="auto"/>
            <w:vAlign w:val="center"/>
          </w:tcPr>
          <w:p>
            <w:pPr>
              <w:spacing w:before="65" w:line="300" w:lineRule="auto"/>
              <w:ind w:right="76"/>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审查供应商出具的“参加政府采购活动前三年内在经营活动中没有重大违法记录的书面声明”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6</w:t>
            </w:r>
          </w:p>
        </w:tc>
        <w:tc>
          <w:tcPr>
            <w:tcW w:w="3533" w:type="dxa"/>
            <w:shd w:val="clear" w:color="auto" w:fill="auto"/>
            <w:vAlign w:val="center"/>
          </w:tcPr>
          <w:p>
            <w:pPr>
              <w:kinsoku/>
              <w:jc w:val="center"/>
              <w:rPr>
                <w:rFonts w:ascii="宋体" w:eastAsia="宋体" w:cs="宋体"/>
                <w:color w:val="auto"/>
                <w:sz w:val="24"/>
                <w:szCs w:val="24"/>
              </w:rPr>
            </w:pPr>
            <w:r>
              <w:rPr>
                <w:rFonts w:hint="eastAsia" w:ascii="宋体" w:eastAsia="宋体" w:cs="宋体"/>
                <w:color w:val="auto"/>
                <w:sz w:val="24"/>
                <w:szCs w:val="24"/>
              </w:rPr>
              <w:t>信用记录</w:t>
            </w:r>
          </w:p>
        </w:tc>
        <w:tc>
          <w:tcPr>
            <w:tcW w:w="4912" w:type="dxa"/>
            <w:shd w:val="clear" w:color="auto" w:fill="auto"/>
            <w:vAlign w:val="center"/>
          </w:tcPr>
          <w:p>
            <w:pPr>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供应商需提供自本项目公告发布至提交响应文件的截止时间内：</w:t>
            </w:r>
          </w:p>
          <w:p>
            <w:pPr>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（1）经“信用中国”网站查询的供应商未被列入“失信被执行人”、“重大税收违法失信主体名单”、“政府采购严重违法失信行为记录名单”的网页截图；</w:t>
            </w:r>
          </w:p>
          <w:p>
            <w:pPr>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（2）经“中国政府采购网”网站查询的供应商未被列入“政府采购严重违法失信行为记录名单”的网页截图。</w:t>
            </w:r>
          </w:p>
          <w:p>
            <w:pPr>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注：上述截图信息如供应商提供的不完善，磋商小组可在评审现场进行查询核实；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7</w:t>
            </w:r>
          </w:p>
        </w:tc>
        <w:tc>
          <w:tcPr>
            <w:tcW w:w="3533"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落实政府采购政策需满足的资格要求</w:t>
            </w:r>
          </w:p>
        </w:tc>
        <w:tc>
          <w:tcPr>
            <w:tcW w:w="4912" w:type="dxa"/>
            <w:shd w:val="clear" w:color="auto" w:fill="auto"/>
            <w:vAlign w:val="center"/>
          </w:tcPr>
          <w:p>
            <w:pPr>
              <w:spacing w:line="360" w:lineRule="auto"/>
              <w:jc w:val="both"/>
              <w:rPr>
                <w:rFonts w:ascii="宋体" w:eastAsia="宋体" w:cs="宋体"/>
                <w:color w:val="auto"/>
                <w:sz w:val="24"/>
                <w:szCs w:val="24"/>
                <w:lang w:eastAsia="zh-CN"/>
              </w:rPr>
            </w:pPr>
            <w:r>
              <w:rPr>
                <w:rFonts w:hint="eastAsia" w:ascii="宋体" w:hAnsi="宋体" w:eastAsia="宋体" w:cs="宋体"/>
                <w:color w:val="auto"/>
                <w:sz w:val="24"/>
                <w:szCs w:val="24"/>
                <w:lang w:eastAsia="zh-CN"/>
              </w:rPr>
              <w:t>专门面向中小企业（参与的供应商为符合政策要求的中小企业，响应文件中应正确填写“中小企业声明函”或“残疾人福利性单位声明函”或监狱管理局、戒毒管理局（含新疆生产建设兵团）出具的“属于监狱企业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8</w:t>
            </w:r>
          </w:p>
        </w:tc>
        <w:tc>
          <w:tcPr>
            <w:tcW w:w="3533" w:type="dxa"/>
            <w:shd w:val="clear" w:color="auto" w:fill="auto"/>
            <w:vAlign w:val="center"/>
          </w:tcPr>
          <w:p>
            <w:pPr>
              <w:spacing w:before="166" w:line="302" w:lineRule="auto"/>
              <w:jc w:val="center"/>
              <w:rPr>
                <w:rFonts w:ascii="宋体" w:eastAsia="宋体" w:cs="宋体"/>
                <w:color w:val="auto"/>
                <w:sz w:val="24"/>
                <w:szCs w:val="24"/>
                <w:lang w:eastAsia="zh-CN"/>
              </w:rPr>
            </w:pPr>
            <w:r>
              <w:rPr>
                <w:rFonts w:hint="eastAsia" w:ascii="宋体" w:eastAsia="宋体" w:cs="宋体"/>
                <w:color w:val="auto"/>
                <w:sz w:val="24"/>
                <w:szCs w:val="24"/>
              </w:rPr>
              <w:t>特定资格要求</w:t>
            </w:r>
          </w:p>
        </w:tc>
        <w:tc>
          <w:tcPr>
            <w:tcW w:w="4912" w:type="dxa"/>
            <w:shd w:val="clear" w:color="auto" w:fill="auto"/>
            <w:vAlign w:val="center"/>
          </w:tcPr>
          <w:p>
            <w:pPr>
              <w:spacing w:before="166" w:line="302" w:lineRule="auto"/>
              <w:ind w:right="78"/>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供应商需提供会计师事务所执业证书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spacing w:before="166" w:line="302"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9</w:t>
            </w:r>
          </w:p>
        </w:tc>
        <w:tc>
          <w:tcPr>
            <w:tcW w:w="3533" w:type="dxa"/>
            <w:shd w:val="clear" w:color="auto" w:fill="auto"/>
            <w:vAlign w:val="center"/>
          </w:tcPr>
          <w:p>
            <w:pPr>
              <w:kinsoku/>
              <w:spacing w:line="360" w:lineRule="auto"/>
              <w:jc w:val="center"/>
              <w:rPr>
                <w:rFonts w:ascii="宋体" w:eastAsia="宋体" w:cs="宋体"/>
                <w:color w:val="auto"/>
                <w:sz w:val="24"/>
                <w:szCs w:val="24"/>
              </w:rPr>
            </w:pPr>
            <w:r>
              <w:rPr>
                <w:rFonts w:hint="eastAsia" w:ascii="宋体" w:eastAsia="宋体" w:cs="宋体"/>
                <w:color w:val="auto"/>
                <w:sz w:val="24"/>
                <w:szCs w:val="24"/>
                <w:lang w:eastAsia="zh-CN"/>
              </w:rPr>
              <w:t>联合体响应（若有）</w:t>
            </w:r>
          </w:p>
        </w:tc>
        <w:tc>
          <w:tcPr>
            <w:tcW w:w="4912" w:type="dxa"/>
            <w:shd w:val="clear" w:color="auto" w:fill="auto"/>
            <w:vAlign w:val="center"/>
          </w:tcPr>
          <w:p>
            <w:pPr>
              <w:spacing w:line="360" w:lineRule="auto"/>
              <w:jc w:val="both"/>
              <w:rPr>
                <w:rFonts w:ascii="宋体" w:eastAsia="宋体" w:cs="宋体"/>
                <w:color w:val="auto"/>
                <w:sz w:val="24"/>
                <w:szCs w:val="24"/>
                <w:lang w:eastAsia="zh-CN"/>
              </w:rPr>
            </w:pPr>
            <w:r>
              <w:rPr>
                <w:rFonts w:ascii="宋体" w:hAnsi="宋体" w:eastAsia="宋体" w:cs="宋体"/>
                <w:color w:val="auto"/>
                <w:sz w:val="24"/>
                <w:szCs w:val="24"/>
                <w:lang w:eastAsia="zh-CN"/>
              </w:rPr>
              <w:t>符合关于联合体响应的相关规定。</w:t>
            </w:r>
          </w:p>
        </w:tc>
      </w:tr>
    </w:tbl>
    <w:p>
      <w:pPr>
        <w:kinsoku/>
        <w:spacing w:before="240" w:beforeLines="100"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2.符合性审查</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2.1 磋商小组依据磋商文件的规定，从响应文件的有效性、完整性和对磋商文件的响应程度进行审查，以确定是否对磋商文件的实质性要求作出响应。</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2.2 符合性审查中有任意一项未通过的，评审结果为未通过，未通过符合性审查的供应商按无效响应处理。</w:t>
      </w:r>
    </w:p>
    <w:p>
      <w:pPr>
        <w:kinsoku/>
        <w:spacing w:line="360" w:lineRule="auto"/>
        <w:ind w:firstLine="562" w:firstLineChars="200"/>
        <w:jc w:val="center"/>
        <w:rPr>
          <w:rFonts w:ascii="宋体" w:eastAsia="宋体" w:cs="宋体"/>
          <w:b/>
          <w:bCs/>
          <w:color w:val="auto"/>
          <w:sz w:val="28"/>
          <w:szCs w:val="28"/>
          <w:lang w:eastAsia="zh-CN"/>
        </w:rPr>
      </w:pPr>
      <w:r>
        <w:rPr>
          <w:rFonts w:hint="eastAsia" w:ascii="宋体" w:eastAsia="宋体" w:cs="宋体"/>
          <w:b/>
          <w:bCs/>
          <w:color w:val="auto"/>
          <w:sz w:val="28"/>
          <w:szCs w:val="28"/>
          <w:lang w:eastAsia="zh-CN"/>
        </w:rPr>
        <w:t>符合性审查表</w:t>
      </w:r>
    </w:p>
    <w:p>
      <w:pPr>
        <w:pStyle w:val="2"/>
        <w:spacing w:before="240" w:beforeLines="100" w:line="360" w:lineRule="auto"/>
        <w:ind w:firstLine="480" w:firstLineChars="200"/>
        <w:outlineLvl w:val="3"/>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采购包1：赤峰市生态环境监控中心资产清查及项目盘点项目</w:t>
      </w:r>
    </w:p>
    <w:tbl>
      <w:tblPr>
        <w:tblStyle w:val="20"/>
        <w:tblW w:w="9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3045"/>
        <w:gridCol w:w="5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ascii="宋体" w:eastAsia="宋体" w:cs="宋体"/>
                <w:b/>
                <w:bCs/>
                <w:color w:val="auto"/>
                <w:sz w:val="24"/>
                <w:szCs w:val="24"/>
                <w:lang w:eastAsia="zh-CN"/>
              </w:rPr>
            </w:pPr>
            <w:r>
              <w:rPr>
                <w:rFonts w:hint="eastAsia" w:ascii="宋体" w:eastAsia="宋体" w:cs="宋体"/>
                <w:b/>
                <w:bCs/>
                <w:color w:val="auto"/>
                <w:sz w:val="24"/>
                <w:szCs w:val="24"/>
                <w:lang w:eastAsia="zh-CN"/>
              </w:rPr>
              <w:t>序号</w:t>
            </w:r>
          </w:p>
        </w:tc>
        <w:tc>
          <w:tcPr>
            <w:tcW w:w="3045" w:type="dxa"/>
            <w:vAlign w:val="center"/>
          </w:tcPr>
          <w:p>
            <w:pPr>
              <w:kinsoku/>
              <w:jc w:val="center"/>
              <w:rPr>
                <w:rFonts w:ascii="宋体" w:eastAsia="宋体" w:cs="宋体"/>
                <w:color w:val="auto"/>
                <w:sz w:val="24"/>
                <w:szCs w:val="24"/>
                <w:lang w:eastAsia="zh-CN"/>
              </w:rPr>
            </w:pPr>
            <w:r>
              <w:rPr>
                <w:rFonts w:hint="eastAsia" w:ascii="宋体" w:eastAsia="宋体" w:cs="宋体"/>
                <w:b/>
                <w:bCs/>
                <w:color w:val="auto"/>
                <w:sz w:val="24"/>
                <w:szCs w:val="24"/>
                <w:lang w:eastAsia="zh-CN"/>
              </w:rPr>
              <w:t>符合审查要求概况</w:t>
            </w:r>
          </w:p>
        </w:tc>
        <w:tc>
          <w:tcPr>
            <w:tcW w:w="5202" w:type="dxa"/>
            <w:vAlign w:val="center"/>
          </w:tcPr>
          <w:p>
            <w:pPr>
              <w:kinsoku/>
              <w:spacing w:line="360" w:lineRule="auto"/>
              <w:jc w:val="center"/>
              <w:rPr>
                <w:rFonts w:ascii="宋体" w:eastAsia="宋体" w:cs="宋体"/>
                <w:color w:val="auto"/>
                <w:sz w:val="24"/>
                <w:szCs w:val="24"/>
              </w:rPr>
            </w:pPr>
            <w:r>
              <w:rPr>
                <w:rFonts w:hint="eastAsia" w:ascii="宋体" w:eastAsia="宋体" w:cs="宋体"/>
                <w:b/>
                <w:bCs/>
                <w:color w:val="auto"/>
                <w:sz w:val="24"/>
                <w:szCs w:val="24"/>
                <w:lang w:eastAsia="zh-CN"/>
              </w:rPr>
              <w:t>评审点具体描述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1</w:t>
            </w:r>
          </w:p>
        </w:tc>
        <w:tc>
          <w:tcPr>
            <w:tcW w:w="3045"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磋商保证金缴纳情况</w:t>
            </w:r>
          </w:p>
        </w:tc>
        <w:tc>
          <w:tcPr>
            <w:tcW w:w="5202" w:type="dxa"/>
            <w:vAlign w:val="center"/>
          </w:tcPr>
          <w:p>
            <w:pPr>
              <w:kinsoku/>
              <w:spacing w:line="360" w:lineRule="auto"/>
              <w:jc w:val="both"/>
              <w:rPr>
                <w:rFonts w:ascii="宋体" w:eastAsia="宋体" w:cs="宋体"/>
                <w:color w:val="auto"/>
                <w:sz w:val="24"/>
                <w:szCs w:val="24"/>
              </w:rPr>
            </w:pPr>
            <w:r>
              <w:rPr>
                <w:rFonts w:hint="eastAsia" w:ascii="宋体" w:eastAsia="宋体" w:cs="宋体"/>
                <w:color w:val="auto"/>
                <w:sz w:val="24"/>
                <w:szCs w:val="24"/>
              </w:rPr>
              <w:t>本项不作要求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2</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lang w:eastAsia="zh-CN"/>
              </w:rPr>
              <w:t>投标</w:t>
            </w:r>
            <w:r>
              <w:rPr>
                <w:rFonts w:hint="eastAsia" w:ascii="宋体" w:eastAsia="宋体" w:cs="宋体"/>
                <w:color w:val="auto"/>
                <w:sz w:val="24"/>
                <w:szCs w:val="24"/>
              </w:rPr>
              <w:t>报价</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投标报价（包括分项报价、总报价）只能有一个有效报价且不超过采购预算或最高限价，投标报价不得缺项漏项。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3</w:t>
            </w:r>
          </w:p>
        </w:tc>
        <w:tc>
          <w:tcPr>
            <w:tcW w:w="3045"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响应文件规范性、符合性</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响应文件的签署、盖章、涂改、删除、插字、公章使用等符合竞争性磋商文件要求；响应文件的格式、文字、目录等符合竞争性磋商文件要求或对投标无实质性影响。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4</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主要商务条款</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审查供应商出具的“主要商务要求承诺书”。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5</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技术部分实质性内容</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1.明确所投标的</w:t>
            </w:r>
            <w:r>
              <w:rPr>
                <w:rFonts w:hint="eastAsia" w:ascii="宋体" w:eastAsia="宋体" w:cs="宋体"/>
                <w:color w:val="auto"/>
                <w:sz w:val="24"/>
                <w:szCs w:val="24"/>
                <w:highlight w:val="none"/>
                <w:lang w:eastAsia="zh-CN"/>
              </w:rPr>
              <w:t>的产品品牌、规格型号或</w:t>
            </w:r>
            <w:r>
              <w:rPr>
                <w:rFonts w:hint="eastAsia" w:ascii="宋体" w:eastAsia="宋体" w:cs="宋体"/>
                <w:color w:val="auto"/>
                <w:sz w:val="24"/>
                <w:szCs w:val="24"/>
                <w:lang w:eastAsia="zh-CN"/>
              </w:rPr>
              <w:t>服务内容或工程量；</w:t>
            </w:r>
          </w:p>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2.响应文件应当对磋商文件提出的要求和条件作出明确响应并满足磋商文件全部实质性要求。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ascii="宋体" w:eastAsia="宋体" w:cs="宋体"/>
                <w:color w:val="auto"/>
                <w:sz w:val="24"/>
                <w:szCs w:val="24"/>
                <w:lang w:eastAsia="zh-CN"/>
              </w:rPr>
            </w:pPr>
            <w:r>
              <w:rPr>
                <w:rFonts w:hint="eastAsia" w:ascii="宋体" w:eastAsia="宋体" w:cs="宋体"/>
                <w:color w:val="auto"/>
                <w:sz w:val="24"/>
                <w:szCs w:val="24"/>
                <w:lang w:eastAsia="zh-CN"/>
              </w:rPr>
              <w:t>6</w:t>
            </w:r>
          </w:p>
        </w:tc>
        <w:tc>
          <w:tcPr>
            <w:tcW w:w="3045" w:type="dxa"/>
            <w:vAlign w:val="center"/>
          </w:tcPr>
          <w:p>
            <w:pPr>
              <w:kinsoku/>
              <w:jc w:val="center"/>
              <w:rPr>
                <w:rFonts w:ascii="宋体" w:eastAsia="宋体" w:cs="宋体"/>
                <w:color w:val="auto"/>
                <w:sz w:val="24"/>
                <w:szCs w:val="24"/>
              </w:rPr>
            </w:pPr>
            <w:r>
              <w:rPr>
                <w:rFonts w:hint="eastAsia" w:ascii="宋体" w:eastAsia="宋体" w:cs="宋体"/>
                <w:color w:val="auto"/>
                <w:sz w:val="24"/>
                <w:szCs w:val="24"/>
              </w:rPr>
              <w:t>其他要求</w:t>
            </w:r>
          </w:p>
        </w:tc>
        <w:tc>
          <w:tcPr>
            <w:tcW w:w="5202" w:type="dxa"/>
            <w:vAlign w:val="center"/>
          </w:tcPr>
          <w:p>
            <w:pPr>
              <w:kinsoku/>
              <w:spacing w:line="360" w:lineRule="auto"/>
              <w:jc w:val="both"/>
              <w:rPr>
                <w:rFonts w:ascii="宋体" w:eastAsia="宋体" w:cs="宋体"/>
                <w:color w:val="auto"/>
                <w:sz w:val="24"/>
                <w:szCs w:val="24"/>
                <w:lang w:eastAsia="zh-CN"/>
              </w:rPr>
            </w:pPr>
            <w:r>
              <w:rPr>
                <w:rFonts w:hint="eastAsia" w:ascii="宋体" w:eastAsia="宋体" w:cs="宋体"/>
                <w:color w:val="auto"/>
                <w:sz w:val="24"/>
                <w:szCs w:val="24"/>
                <w:lang w:eastAsia="zh-CN"/>
              </w:rPr>
              <w:t>磋商文件要求的其他无效投标情形；围标、串标和法律法规规定的其它无效投标条款。</w:t>
            </w:r>
          </w:p>
        </w:tc>
      </w:tr>
    </w:tbl>
    <w:p>
      <w:pPr>
        <w:kinsoku/>
        <w:spacing w:before="240" w:beforeLines="100"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3.磋商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磋商小组所有成员应当集中与单一供应商分别进行磋商，并给予所有参加磋商的供应商平等的磋商机会。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对磋商文件作出的实质性变动是磋商文件的有效组成部分，磋商小组应当及时通过国资智采电子招投标交易平台通知所有参加磋商的供应商。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insoku/>
        <w:spacing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4.最后报价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磋商结束后，磋商小组应当要求所有实质性响应的供应商在规定时间内提交最后报价。最后报价是供应商响应文件的有效组成部分。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已提交响应文件的供应商，在提交最后报价之前，可以根据磋商情况退出磋商。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磋商结束后，确认继续响应的供应商应在规定时间内提交最后报价。</w:t>
      </w:r>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未在最终轮次规定时间内进行响应的，视为不再参与该政府采购活动。</w:t>
      </w:r>
    </w:p>
    <w:p>
      <w:pPr>
        <w:kinsoku/>
        <w:spacing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5.报价评审</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评审中出现下列情形之一的，评审委员会应当启动异常低价投标（响应）审查程序：</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1.投标（响应）报价低于全部通过符合性审查供应商投标（响应）报价平均值50%的，即投标（响应）报价&lt;全部通过符合性审查供应商投标（响应）报价平均值×50%；</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2.投标（响应）报价低于通过符合性审查的次低报价供应商投标（响应）报价50%的，即投标（响应）报价&lt;通过符合性审查的次低报价供应商投标（响应）报价×50%；</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3.投标（响应）报价低于采购项目最高限价45%的，即投标（响应）报价&lt;采购项目最高限价×45%；</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4.评审委员会基于专业判断，认为供应商报价过低，有可能影响产品质量或者不能诚信履约的其他情形。</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采购人可以结合具体项目实际情况，提高上述第1项至第3项中启动异常低价投标（响应）审查的数值标准，但是最高不得超过65%。</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相关法律法规对供应商报价有规定的，从其规定。</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insoku/>
        <w:spacing w:line="360" w:lineRule="auto"/>
        <w:ind w:firstLine="480" w:firstLineChars="200"/>
        <w:rPr>
          <w:rFonts w:ascii="宋体" w:eastAsia="宋体" w:cs="宋体"/>
          <w:b/>
          <w:bCs/>
          <w:color w:val="auto"/>
          <w:sz w:val="24"/>
          <w:szCs w:val="24"/>
          <w:lang w:eastAsia="zh-CN"/>
        </w:rPr>
      </w:pPr>
      <w:r>
        <w:rPr>
          <w:rFonts w:hint="eastAsia" w:ascii="宋体" w:eastAsia="宋体" w:cs="宋体"/>
          <w:color w:val="auto"/>
          <w:sz w:val="24"/>
          <w:szCs w:val="24"/>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insoku/>
        <w:spacing w:line="360" w:lineRule="auto"/>
        <w:ind w:firstLine="481" w:firstLineChars="200"/>
        <w:jc w:val="both"/>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6.综合评分</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由磋商小组采用综合评分法对提交最后报价的供应商的响应文件和最后报价进行综合评分（得分四舍五入保留两位小数）。</w:t>
      </w:r>
    </w:p>
    <w:p>
      <w:pPr>
        <w:pStyle w:val="2"/>
        <w:spacing w:before="240" w:beforeLines="100" w:line="360" w:lineRule="auto"/>
        <w:ind w:firstLine="480" w:firstLineChars="200"/>
        <w:outlineLvl w:val="3"/>
        <w:rPr>
          <w:color w:val="auto"/>
          <w:sz w:val="24"/>
          <w:szCs w:val="24"/>
          <w:lang w:eastAsia="zh-CN"/>
        </w:rPr>
      </w:pPr>
      <w:r>
        <w:rPr>
          <w:rFonts w:hint="eastAsia" w:ascii="宋体" w:eastAsia="宋体" w:cs="宋体"/>
          <w:color w:val="auto"/>
          <w:sz w:val="24"/>
          <w:szCs w:val="24"/>
          <w:lang w:eastAsia="zh-CN"/>
        </w:rPr>
        <w:t>采购包1：赤峰市生态环境监控中心资产清查及项目盘点项目</w:t>
      </w:r>
    </w:p>
    <w:tbl>
      <w:tblPr>
        <w:tblStyle w:val="20"/>
        <w:tblW w:w="5010" w:type="pct"/>
        <w:jc w:val="center"/>
        <w:tblLayout w:type="autofit"/>
        <w:tblCellMar>
          <w:top w:w="0" w:type="dxa"/>
          <w:left w:w="11" w:type="dxa"/>
          <w:bottom w:w="0" w:type="dxa"/>
          <w:right w:w="11" w:type="dxa"/>
        </w:tblCellMar>
      </w:tblPr>
      <w:tblGrid>
        <w:gridCol w:w="1073"/>
        <w:gridCol w:w="2502"/>
        <w:gridCol w:w="6213"/>
      </w:tblGrid>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vAlign w:val="center"/>
          </w:tcPr>
          <w:p>
            <w:pPr>
              <w:widowControl w:val="0"/>
              <w:kinsoku/>
              <w:wordWrap w:val="0"/>
              <w:adjustRightInd/>
              <w:snapToGrid/>
              <w:spacing w:line="42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3173" w:type="pct"/>
            <w:tcBorders>
              <w:top w:val="single" w:color="auto" w:sz="4" w:space="0"/>
              <w:left w:val="single" w:color="auto" w:sz="4" w:space="0"/>
              <w:bottom w:val="single" w:color="auto" w:sz="4" w:space="0"/>
              <w:right w:val="single" w:color="auto" w:sz="4" w:space="0"/>
            </w:tcBorders>
            <w:vAlign w:val="center"/>
          </w:tcPr>
          <w:p>
            <w:pPr>
              <w:widowControl w:val="0"/>
              <w:kinsoku/>
              <w:wordWrap w:val="0"/>
              <w:adjustRightInd/>
              <w:snapToGrid/>
              <w:spacing w:line="420" w:lineRule="exact"/>
              <w:jc w:val="center"/>
              <w:rPr>
                <w:rFonts w:ascii="宋体" w:hAnsi="宋体" w:eastAsia="宋体" w:cs="宋体"/>
                <w:b/>
                <w:bCs/>
                <w:color w:val="auto"/>
                <w:highlight w:val="none"/>
              </w:rPr>
            </w:pPr>
            <w:r>
              <w:rPr>
                <w:rFonts w:hint="eastAsia" w:ascii="宋体" w:hAnsi="宋体" w:eastAsia="宋体" w:cs="宋体"/>
                <w:b/>
                <w:bCs/>
                <w:color w:val="auto"/>
                <w:highlight w:val="none"/>
              </w:rPr>
              <w:t>评审标准</w:t>
            </w:r>
          </w:p>
        </w:tc>
      </w:tr>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vAlign w:val="center"/>
          </w:tcPr>
          <w:p>
            <w:pPr>
              <w:widowControl w:val="0"/>
              <w:kinsoku/>
              <w:wordWrap w:val="0"/>
              <w:adjustRightInd/>
              <w:snapToGrid/>
              <w:spacing w:line="42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分值构成</w:t>
            </w:r>
          </w:p>
        </w:tc>
        <w:tc>
          <w:tcPr>
            <w:tcW w:w="3173" w:type="pct"/>
            <w:tcBorders>
              <w:top w:val="single" w:color="auto" w:sz="4" w:space="0"/>
              <w:left w:val="single" w:color="auto" w:sz="4" w:space="0"/>
              <w:bottom w:val="single" w:color="auto" w:sz="4" w:space="0"/>
              <w:right w:val="single" w:color="auto" w:sz="4" w:space="0"/>
            </w:tcBorders>
          </w:tcPr>
          <w:p>
            <w:pPr>
              <w:widowControl w:val="0"/>
              <w:kinsoku/>
              <w:wordWrap w:val="0"/>
              <w:adjustRightInd/>
              <w:snapToGrid/>
              <w:spacing w:line="420" w:lineRule="exact"/>
              <w:jc w:val="both"/>
              <w:rPr>
                <w:rFonts w:ascii="宋体" w:hAnsi="宋体" w:eastAsia="宋体" w:cs="宋体"/>
                <w:color w:val="auto"/>
                <w:highlight w:val="none"/>
                <w:lang w:eastAsia="zh-CN"/>
              </w:rPr>
            </w:pPr>
            <w:r>
              <w:rPr>
                <w:rFonts w:hint="eastAsia" w:ascii="宋体" w:hAnsi="宋体" w:eastAsia="宋体" w:cs="宋体"/>
                <w:color w:val="auto"/>
                <w:highlight w:val="none"/>
                <w:lang w:eastAsia="zh-CN"/>
              </w:rPr>
              <w:t>1、技术部分</w:t>
            </w:r>
            <w:r>
              <w:rPr>
                <w:rFonts w:hint="eastAsia" w:ascii="宋体" w:hAnsi="宋体" w:eastAsia="宋体" w:cs="宋体"/>
                <w:color w:val="auto"/>
                <w:highlight w:val="none"/>
                <w:lang w:val="en-US" w:eastAsia="zh-CN"/>
              </w:rPr>
              <w:t>68</w:t>
            </w:r>
            <w:r>
              <w:rPr>
                <w:rFonts w:hint="eastAsia" w:ascii="宋体" w:hAnsi="宋体" w:eastAsia="宋体" w:cs="宋体"/>
                <w:color w:val="auto"/>
                <w:highlight w:val="none"/>
                <w:lang w:eastAsia="zh-CN"/>
              </w:rPr>
              <w:t>分</w:t>
            </w:r>
          </w:p>
          <w:p>
            <w:pPr>
              <w:widowControl w:val="0"/>
              <w:kinsoku/>
              <w:wordWrap w:val="0"/>
              <w:adjustRightInd/>
              <w:snapToGrid/>
              <w:spacing w:line="420" w:lineRule="exact"/>
              <w:jc w:val="both"/>
              <w:rPr>
                <w:rFonts w:ascii="宋体" w:hAnsi="宋体" w:eastAsia="宋体" w:cs="宋体"/>
                <w:color w:val="auto"/>
                <w:highlight w:val="none"/>
                <w:lang w:eastAsia="zh-CN"/>
              </w:rPr>
            </w:pPr>
            <w:r>
              <w:rPr>
                <w:rFonts w:hint="eastAsia" w:ascii="宋体" w:hAnsi="宋体" w:eastAsia="宋体" w:cs="宋体"/>
                <w:color w:val="auto"/>
                <w:highlight w:val="none"/>
                <w:lang w:eastAsia="zh-CN"/>
              </w:rPr>
              <w:t>2、商务部分</w:t>
            </w:r>
            <w:r>
              <w:rPr>
                <w:rFonts w:hint="eastAsia" w:ascii="宋体" w:hAnsi="宋体" w:eastAsia="宋体" w:cs="宋体"/>
                <w:color w:val="auto"/>
                <w:highlight w:val="none"/>
                <w:lang w:val="en-US" w:eastAsia="zh-CN"/>
              </w:rPr>
              <w:t>22</w:t>
            </w:r>
            <w:r>
              <w:rPr>
                <w:rFonts w:hint="eastAsia" w:ascii="宋体" w:hAnsi="宋体" w:eastAsia="宋体" w:cs="宋体"/>
                <w:color w:val="auto"/>
                <w:highlight w:val="none"/>
                <w:lang w:eastAsia="zh-CN"/>
              </w:rPr>
              <w:t>分</w:t>
            </w:r>
          </w:p>
          <w:p>
            <w:pPr>
              <w:widowControl w:val="0"/>
              <w:kinsoku/>
              <w:wordWrap w:val="0"/>
              <w:adjustRightInd/>
              <w:snapToGrid/>
              <w:spacing w:line="420" w:lineRule="exact"/>
              <w:jc w:val="both"/>
              <w:rPr>
                <w:rFonts w:ascii="宋体" w:hAnsi="宋体" w:eastAsia="宋体" w:cs="宋体"/>
                <w:color w:val="auto"/>
                <w:highlight w:val="none"/>
                <w:lang w:eastAsia="zh-CN"/>
              </w:rPr>
            </w:pPr>
            <w:r>
              <w:rPr>
                <w:rFonts w:hint="eastAsia" w:ascii="宋体" w:hAnsi="宋体" w:eastAsia="宋体" w:cs="宋体"/>
                <w:color w:val="auto"/>
                <w:highlight w:val="none"/>
                <w:lang w:eastAsia="zh-CN"/>
              </w:rPr>
              <w:t>3、报价得分10分</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vAlign w:val="center"/>
          </w:tcPr>
          <w:p>
            <w:pPr>
              <w:widowControl w:val="0"/>
              <w:kinsoku/>
              <w:wordWrap w:val="0"/>
              <w:adjustRightInd/>
              <w:snapToGrid/>
              <w:spacing w:line="440" w:lineRule="exact"/>
              <w:jc w:val="center"/>
              <w:rPr>
                <w:rFonts w:ascii="宋体" w:hAnsi="宋体" w:eastAsia="宋体" w:cs="宋体"/>
                <w:color w:val="auto"/>
                <w:highlight w:val="none"/>
                <w:lang w:eastAsia="zh-CN"/>
              </w:rPr>
            </w:pPr>
            <w:r>
              <w:rPr>
                <w:rFonts w:hint="eastAsia" w:ascii="宋体" w:hAnsi="宋体" w:eastAsia="宋体" w:cs="宋体"/>
                <w:color w:val="auto"/>
                <w:highlight w:val="none"/>
                <w:lang w:eastAsia="zh-CN"/>
              </w:rPr>
              <w:t>技术部分(70分）</w:t>
            </w:r>
          </w:p>
          <w:p>
            <w:pPr>
              <w:pStyle w:val="17"/>
              <w:wordWrap w:val="0"/>
              <w:jc w:val="center"/>
              <w:rPr>
                <w:rFonts w:ascii="宋体" w:hAnsi="宋体" w:cs="宋体"/>
                <w:sz w:val="21"/>
                <w:szCs w:val="21"/>
                <w:highlight w:val="none"/>
                <w:lang w:eastAsia="zh-CN"/>
              </w:rPr>
            </w:pPr>
          </w:p>
        </w:tc>
        <w:tc>
          <w:tcPr>
            <w:tcW w:w="12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highlight w:val="none"/>
                <w:lang w:eastAsia="zh-CN"/>
              </w:rPr>
            </w:pPr>
            <w:r>
              <w:rPr>
                <w:rFonts w:hint="eastAsia" w:ascii="宋体" w:hAnsi="宋体" w:eastAsia="宋体" w:cs="宋体"/>
                <w:highlight w:val="none"/>
                <w:lang w:eastAsia="zh-CN"/>
              </w:rPr>
              <w:t>1.</w:t>
            </w:r>
            <w:r>
              <w:rPr>
                <w:rFonts w:hint="eastAsia" w:ascii="宋体" w:hAnsi="宋体" w:eastAsia="宋体" w:cs="宋体"/>
                <w:highlight w:val="none"/>
              </w:rPr>
              <w:t>对项目的理解</w:t>
            </w:r>
            <w:r>
              <w:rPr>
                <w:rFonts w:hint="eastAsia" w:ascii="宋体" w:hAnsi="宋体" w:eastAsia="宋体" w:cs="宋体"/>
                <w:highlight w:val="none"/>
                <w:lang w:eastAsia="zh-CN"/>
              </w:rPr>
              <w:t>(12分)</w:t>
            </w:r>
          </w:p>
        </w:tc>
        <w:tc>
          <w:tcPr>
            <w:tcW w:w="317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highlight w:val="none"/>
                <w:lang w:eastAsia="zh-CN"/>
              </w:rPr>
            </w:pPr>
            <w:bookmarkStart w:id="23" w:name="OLE_LINK2"/>
            <w:r>
              <w:rPr>
                <w:rFonts w:hint="eastAsia" w:ascii="宋体" w:hAnsi="宋体" w:eastAsia="宋体" w:cs="宋体"/>
                <w:highlight w:val="none"/>
                <w:lang w:eastAsia="zh-CN"/>
              </w:rPr>
              <w:t>根据供应商对本项目的整体情况、工作实施任务、要求的理解把握准确性进行评审，内容包含但不限于：（1）项目特点分析（2）项目需求（3）项目服务主要工作等；每缺少一项内容扣4分，每有一处理解存在缺陷或偏差、内容不完整或不符合项目实际情况的扣</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分，本项最多扣12分。</w:t>
            </w:r>
            <w:bookmarkEnd w:id="23"/>
            <w:r>
              <w:rPr>
                <w:rFonts w:hint="eastAsia" w:ascii="宋体" w:hAnsi="宋体" w:eastAsia="宋体" w:cs="宋体"/>
                <w:highlight w:val="none"/>
                <w:lang w:eastAsia="zh-CN"/>
              </w:rPr>
              <w:t xml:space="preserve"> 注：缺陷或偏差是指内容逻辑混乱，不符合相关的国家、行业标准。不完整指内容具有明显缺陷，前后内容无法连贯；不符合项目实际情况指内容脱离了实际情况，不利于采购人实施。</w:t>
            </w:r>
          </w:p>
        </w:tc>
      </w:tr>
      <w:tr>
        <w:tblPrEx>
          <w:tblCellMar>
            <w:top w:w="0" w:type="dxa"/>
            <w:left w:w="11" w:type="dxa"/>
            <w:bottom w:w="0" w:type="dxa"/>
            <w:right w:w="11" w:type="dxa"/>
          </w:tblCellMar>
        </w:tblPrEx>
        <w:trPr>
          <w:trHeight w:val="4226" w:hRule="atLeast"/>
          <w:jc w:val="center"/>
        </w:trPr>
        <w:tc>
          <w:tcPr>
            <w:tcW w:w="548" w:type="pct"/>
            <w:vMerge w:val="continue"/>
            <w:tcBorders>
              <w:top w:val="single" w:color="auto" w:sz="4" w:space="0"/>
              <w:left w:val="single" w:color="auto" w:sz="4" w:space="0"/>
              <w:bottom w:val="single" w:color="auto" w:sz="4" w:space="0"/>
              <w:right w:val="single" w:color="auto" w:sz="4" w:space="0"/>
            </w:tcBorders>
            <w:vAlign w:val="center"/>
          </w:tcPr>
          <w:p>
            <w:pPr>
              <w:pStyle w:val="17"/>
              <w:wordWrap w:val="0"/>
              <w:jc w:val="center"/>
              <w:rPr>
                <w:rFonts w:ascii="宋体" w:hAnsi="宋体" w:cs="宋体"/>
                <w:sz w:val="21"/>
                <w:szCs w:val="21"/>
                <w:highlight w:val="none"/>
                <w:lang w:eastAsia="zh-CN"/>
              </w:rPr>
            </w:pPr>
          </w:p>
        </w:tc>
        <w:tc>
          <w:tcPr>
            <w:tcW w:w="12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highlight w:val="none"/>
                <w:lang w:eastAsia="zh-CN"/>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服务</w:t>
            </w:r>
            <w:r>
              <w:rPr>
                <w:rFonts w:hint="eastAsia" w:ascii="宋体" w:hAnsi="宋体" w:eastAsia="宋体" w:cs="宋体"/>
                <w:highlight w:val="none"/>
              </w:rPr>
              <w:t>方案</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分）</w:t>
            </w:r>
          </w:p>
        </w:tc>
        <w:tc>
          <w:tcPr>
            <w:tcW w:w="317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highlight w:val="none"/>
                <w:lang w:eastAsia="zh-CN"/>
              </w:rPr>
            </w:pPr>
            <w:r>
              <w:rPr>
                <w:rFonts w:hint="eastAsia" w:ascii="宋体" w:hAnsi="宋体" w:eastAsia="宋体" w:cs="宋体"/>
                <w:highlight w:val="none"/>
                <w:lang w:eastAsia="zh-CN"/>
              </w:rPr>
              <w:t>根据供应商针对本项目所提供的整体方案的合理性、可控性、可操作性及完整性进行评审，内容包含但不限于：（1）整体工作的策划实施方案（2）工作流程（收集资料、审核资料、现场审核、核对等（</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）各环节各实施部门的沟通协调工作（</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）进度计划（</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）关键性问题及重点、难点分析等；每缺少一项内容扣4分，每有一处存在缺陷或不足、内容不完整或不符合项目实际情况的扣</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分，本项最多扣</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分。 注：缺陷或不足是指内容逻辑混乱，不符合相关的国家、行业标准。不完整指内容具有明显缺陷，前后内容无法连贯；不符合项目实际情况指内容脱离了实际情况，不利于采购人实施。</w:t>
            </w:r>
          </w:p>
        </w:tc>
      </w:tr>
      <w:tr>
        <w:tblPrEx>
          <w:tblCellMar>
            <w:top w:w="0" w:type="dxa"/>
            <w:left w:w="11" w:type="dxa"/>
            <w:bottom w:w="0" w:type="dxa"/>
            <w:right w:w="11" w:type="dxa"/>
          </w:tblCellMar>
        </w:tblPrEx>
        <w:trPr>
          <w:trHeight w:val="986" w:hRule="atLeast"/>
          <w:jc w:val="center"/>
        </w:trPr>
        <w:tc>
          <w:tcPr>
            <w:tcW w:w="548" w:type="pct"/>
            <w:vMerge w:val="continue"/>
            <w:tcBorders>
              <w:top w:val="single" w:color="auto" w:sz="4" w:space="0"/>
              <w:left w:val="single" w:color="auto" w:sz="4" w:space="0"/>
              <w:bottom w:val="single" w:color="auto" w:sz="4" w:space="0"/>
              <w:right w:val="single" w:color="auto" w:sz="4" w:space="0"/>
            </w:tcBorders>
            <w:vAlign w:val="center"/>
          </w:tcPr>
          <w:p>
            <w:pPr>
              <w:pStyle w:val="17"/>
              <w:wordWrap w:val="0"/>
              <w:jc w:val="center"/>
              <w:rPr>
                <w:rFonts w:ascii="宋体" w:hAnsi="宋体" w:cs="宋体"/>
                <w:sz w:val="21"/>
                <w:szCs w:val="21"/>
                <w:highlight w:val="none"/>
                <w:lang w:eastAsia="zh-CN"/>
              </w:rPr>
            </w:pPr>
          </w:p>
        </w:tc>
        <w:tc>
          <w:tcPr>
            <w:tcW w:w="12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3.资源配备（8分）</w:t>
            </w:r>
          </w:p>
        </w:tc>
        <w:tc>
          <w:tcPr>
            <w:tcW w:w="3173"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宋体" w:hAnsi="宋体" w:eastAsia="宋体" w:cs="宋体"/>
                <w:highlight w:val="none"/>
                <w:lang w:val="en-US" w:eastAsia="zh-CN"/>
              </w:rPr>
            </w:pPr>
            <w:r>
              <w:rPr>
                <w:rFonts w:hint="eastAsia" w:ascii="宋体" w:hAnsi="宋体" w:eastAsia="宋体" w:cs="宋体"/>
                <w:highlight w:val="none"/>
                <w:lang w:eastAsia="zh-CN"/>
              </w:rPr>
              <w:t>根据供应商针对本项目所提供的（</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）有利于清查工作的设备设施（</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）人员配备，</w:t>
            </w:r>
            <w:r>
              <w:rPr>
                <w:rFonts w:hint="eastAsia" w:ascii="宋体" w:hAnsi="宋体" w:eastAsia="宋体" w:cs="宋体"/>
                <w:highlight w:val="none"/>
                <w:lang w:val="en-US" w:eastAsia="zh-CN"/>
              </w:rPr>
              <w:t>进行评分</w:t>
            </w:r>
            <w:r>
              <w:rPr>
                <w:rFonts w:hint="eastAsia" w:ascii="宋体" w:hAnsi="宋体" w:eastAsia="宋体" w:cs="宋体"/>
                <w:highlight w:val="none"/>
                <w:lang w:eastAsia="zh-CN"/>
              </w:rPr>
              <w:t>每缺少一项内容扣4分，每有一处存在缺陷或不足、内容不完整或不符合项目实际情况的扣</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分，本项最多扣</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分。 注：缺陷或不足是指内容逻辑混乱，不符合相关的国家、行业标准。不完整指内容具有明显缺陷，前后内容无法连贯；不符合项目实际情况指内容脱离了实际情况，不利于采购人实施。</w:t>
            </w:r>
          </w:p>
        </w:tc>
      </w:tr>
      <w:tr>
        <w:tblPrEx>
          <w:tblCellMar>
            <w:top w:w="0" w:type="dxa"/>
            <w:left w:w="11" w:type="dxa"/>
            <w:bottom w:w="0" w:type="dxa"/>
            <w:right w:w="11" w:type="dxa"/>
          </w:tblCellMar>
        </w:tblPrEx>
        <w:trPr>
          <w:trHeight w:val="254" w:hRule="atLeast"/>
          <w:jc w:val="center"/>
        </w:trPr>
        <w:tc>
          <w:tcPr>
            <w:tcW w:w="548" w:type="pct"/>
            <w:vMerge w:val="continue"/>
            <w:tcBorders>
              <w:top w:val="single" w:color="auto" w:sz="4" w:space="0"/>
              <w:left w:val="single" w:color="auto" w:sz="4" w:space="0"/>
              <w:bottom w:val="single" w:color="auto" w:sz="4" w:space="0"/>
              <w:right w:val="single" w:color="auto" w:sz="4" w:space="0"/>
            </w:tcBorders>
            <w:vAlign w:val="center"/>
          </w:tcPr>
          <w:p>
            <w:pPr>
              <w:pStyle w:val="17"/>
              <w:wordWrap w:val="0"/>
              <w:jc w:val="center"/>
              <w:rPr>
                <w:rFonts w:ascii="宋体" w:hAnsi="宋体" w:cs="宋体"/>
                <w:sz w:val="21"/>
                <w:szCs w:val="21"/>
                <w:highlight w:val="none"/>
                <w:lang w:eastAsia="zh-CN"/>
              </w:rPr>
            </w:pPr>
          </w:p>
        </w:tc>
        <w:tc>
          <w:tcPr>
            <w:tcW w:w="12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4.保障措施（12分）</w:t>
            </w:r>
          </w:p>
        </w:tc>
        <w:tc>
          <w:tcPr>
            <w:tcW w:w="3173" w:type="pc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highlight w:val="none"/>
                <w:lang w:eastAsia="zh-CN"/>
              </w:rPr>
            </w:pPr>
            <w:r>
              <w:rPr>
                <w:rFonts w:hint="eastAsia" w:ascii="宋体" w:hAnsi="宋体" w:eastAsia="宋体" w:cs="宋体"/>
                <w:highlight w:val="none"/>
                <w:lang w:eastAsia="zh-CN"/>
              </w:rPr>
              <w:t>根据供应商针对本项目所提供的（</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）保密措施（</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）项目服务及项目后期服务保障措施（</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）风险防范措施，</w:t>
            </w:r>
            <w:r>
              <w:rPr>
                <w:rFonts w:hint="eastAsia" w:ascii="宋体" w:hAnsi="宋体" w:eastAsia="宋体" w:cs="宋体"/>
                <w:highlight w:val="none"/>
                <w:lang w:val="en-US" w:eastAsia="zh-CN"/>
              </w:rPr>
              <w:t>进行评分，</w:t>
            </w:r>
            <w:r>
              <w:rPr>
                <w:rFonts w:hint="eastAsia" w:ascii="宋体" w:hAnsi="宋体" w:eastAsia="宋体" w:cs="宋体"/>
                <w:highlight w:val="none"/>
                <w:lang w:eastAsia="zh-CN"/>
              </w:rPr>
              <w:t>每有一处存在缺陷或不足、内容不完整或不符合项目实际情况的扣</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分，本项最多扣</w:t>
            </w:r>
            <w:r>
              <w:rPr>
                <w:rFonts w:hint="eastAsia" w:ascii="宋体" w:hAnsi="宋体" w:eastAsia="宋体" w:cs="宋体"/>
                <w:highlight w:val="none"/>
                <w:lang w:val="en-US" w:eastAsia="zh-CN"/>
              </w:rPr>
              <w:t>12</w:t>
            </w:r>
            <w:r>
              <w:rPr>
                <w:rFonts w:hint="eastAsia" w:ascii="宋体" w:hAnsi="宋体" w:eastAsia="宋体" w:cs="宋体"/>
                <w:highlight w:val="none"/>
                <w:lang w:eastAsia="zh-CN"/>
              </w:rPr>
              <w:t>分。 注：缺陷或不足是指内容逻辑混乱，不符合相关的国家、行业标准。不完整指内容具有明显缺陷，前后内容无法连贯；不符合项目实际情况指内容脱离了实际情况，不利于采购人实施。</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vAlign w:val="center"/>
          </w:tcPr>
          <w:p>
            <w:pPr>
              <w:pStyle w:val="17"/>
              <w:wordWrap w:val="0"/>
              <w:jc w:val="center"/>
              <w:rPr>
                <w:rFonts w:ascii="宋体" w:hAnsi="宋体" w:cs="宋体"/>
                <w:sz w:val="21"/>
                <w:szCs w:val="21"/>
                <w:highlight w:val="none"/>
                <w:lang w:eastAsia="zh-CN"/>
              </w:rPr>
            </w:pPr>
          </w:p>
        </w:tc>
        <w:tc>
          <w:tcPr>
            <w:tcW w:w="1278" w:type="pct"/>
            <w:tcBorders>
              <w:top w:val="single" w:color="auto" w:sz="4" w:space="0"/>
              <w:left w:val="single" w:color="auto" w:sz="4" w:space="0"/>
              <w:bottom w:val="single" w:color="auto" w:sz="4" w:space="0"/>
              <w:right w:val="single" w:color="auto" w:sz="4" w:space="0"/>
            </w:tcBorders>
            <w:vAlign w:val="center"/>
          </w:tcPr>
          <w:p>
            <w:pPr>
              <w:widowControl w:val="0"/>
              <w:kinsoku/>
              <w:wordWrap w:val="0"/>
              <w:autoSpaceDE/>
              <w:autoSpaceDN/>
              <w:adjustRightInd/>
              <w:snapToGrid/>
              <w:spacing w:line="400" w:lineRule="exact"/>
              <w:jc w:val="center"/>
              <w:rPr>
                <w:rFonts w:ascii="宋体" w:hAnsi="宋体" w:eastAsia="宋体" w:cs="宋体"/>
                <w:highlight w:val="none"/>
                <w:lang w:eastAsia="zh-CN"/>
              </w:rPr>
            </w:pPr>
            <w:r>
              <w:rPr>
                <w:rFonts w:hint="eastAsia" w:ascii="宋体" w:hAnsi="宋体" w:eastAsia="宋体" w:cs="宋体"/>
                <w:highlight w:val="none"/>
                <w:lang w:eastAsia="zh-CN"/>
              </w:rPr>
              <w:t>3.管理制度（</w:t>
            </w:r>
            <w:r>
              <w:rPr>
                <w:rFonts w:hint="eastAsia" w:ascii="宋体" w:hAnsi="宋体" w:eastAsia="宋体" w:cs="宋体"/>
                <w:highlight w:val="none"/>
                <w:lang w:val="en-US" w:eastAsia="zh-CN"/>
              </w:rPr>
              <w:t>16</w:t>
            </w:r>
            <w:r>
              <w:rPr>
                <w:rFonts w:hint="eastAsia" w:ascii="宋体" w:hAnsi="宋体" w:eastAsia="宋体" w:cs="宋体"/>
                <w:highlight w:val="none"/>
                <w:lang w:eastAsia="zh-CN"/>
              </w:rPr>
              <w:t>分）</w:t>
            </w:r>
          </w:p>
        </w:tc>
        <w:tc>
          <w:tcPr>
            <w:tcW w:w="317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highlight w:val="none"/>
                <w:lang w:eastAsia="zh-CN"/>
              </w:rPr>
            </w:pPr>
            <w:r>
              <w:rPr>
                <w:rFonts w:hint="eastAsia" w:ascii="宋体" w:hAnsi="宋体" w:eastAsia="宋体" w:cs="宋体"/>
                <w:highlight w:val="none"/>
                <w:lang w:eastAsia="zh-CN"/>
              </w:rPr>
              <w:t>根据投标人提供针对本项目的管理制度的合理性、可控性、可操作性及完整性进行评审，内容包含但不限于：（1）质量控制制度（</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）管理机制与职责（</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）风险防范控制措施（</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）档案管理制度等；每缺少一项内容扣</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分，每有一处存在缺陷或不足、内容不完整或不符合项目实际情况的扣</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分，本项最多扣18分。 注：缺陷或不足是指内容逻辑混乱，不符合相关的国家、行业标准。不完整指内容具有明显缺陷，前后内容无法连贯；不符合项目实际情况指内容脱离了实际情况，不利于采购人实施。</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vAlign w:val="center"/>
          </w:tcPr>
          <w:p>
            <w:pPr>
              <w:pStyle w:val="42"/>
              <w:kinsoku/>
              <w:wordWrap w:val="0"/>
              <w:adjustRightInd/>
              <w:snapToGrid/>
              <w:spacing w:line="440" w:lineRule="exact"/>
              <w:jc w:val="center"/>
              <w:rPr>
                <w:color w:val="auto"/>
                <w:kern w:val="2"/>
                <w:sz w:val="21"/>
                <w:szCs w:val="21"/>
                <w:highlight w:val="none"/>
                <w:lang w:val="en-US" w:eastAsia="zh-CN" w:bidi="ar-SA"/>
              </w:rPr>
            </w:pPr>
            <w:r>
              <w:rPr>
                <w:rFonts w:hint="eastAsia"/>
                <w:color w:val="auto"/>
                <w:kern w:val="2"/>
                <w:sz w:val="21"/>
                <w:szCs w:val="21"/>
                <w:highlight w:val="none"/>
                <w:lang w:val="en-US" w:eastAsia="zh-CN" w:bidi="ar-SA"/>
              </w:rPr>
              <w:t>商务</w:t>
            </w:r>
          </w:p>
          <w:p>
            <w:pPr>
              <w:pStyle w:val="42"/>
              <w:kinsoku/>
              <w:wordWrap w:val="0"/>
              <w:adjustRightInd/>
              <w:snapToGrid/>
              <w:spacing w:line="440" w:lineRule="exact"/>
              <w:jc w:val="center"/>
              <w:rPr>
                <w:color w:val="auto"/>
                <w:kern w:val="2"/>
                <w:sz w:val="21"/>
                <w:szCs w:val="21"/>
                <w:highlight w:val="none"/>
                <w:lang w:val="en-US" w:eastAsia="zh-CN" w:bidi="ar-SA"/>
              </w:rPr>
            </w:pPr>
            <w:r>
              <w:rPr>
                <w:rFonts w:hint="eastAsia"/>
                <w:color w:val="auto"/>
                <w:kern w:val="2"/>
                <w:sz w:val="21"/>
                <w:szCs w:val="21"/>
                <w:highlight w:val="none"/>
                <w:lang w:val="en-US" w:eastAsia="zh-CN" w:bidi="ar-SA"/>
              </w:rPr>
              <w:t>部分</w:t>
            </w:r>
          </w:p>
          <w:p>
            <w:pPr>
              <w:pStyle w:val="42"/>
              <w:kinsoku/>
              <w:wordWrap w:val="0"/>
              <w:adjustRightInd/>
              <w:snapToGrid/>
              <w:spacing w:line="440" w:lineRule="exact"/>
              <w:jc w:val="center"/>
              <w:rPr>
                <w:color w:val="auto"/>
                <w:kern w:val="2"/>
                <w:sz w:val="21"/>
                <w:szCs w:val="21"/>
                <w:highlight w:val="none"/>
                <w:lang w:val="en-US" w:eastAsia="zh-CN" w:bidi="ar-SA"/>
              </w:rPr>
            </w:pPr>
            <w:r>
              <w:rPr>
                <w:rFonts w:hint="eastAsia"/>
                <w:color w:val="auto"/>
                <w:kern w:val="2"/>
                <w:sz w:val="21"/>
                <w:szCs w:val="21"/>
                <w:highlight w:val="none"/>
                <w:lang w:val="en-US" w:eastAsia="zh-CN" w:bidi="ar-SA"/>
              </w:rPr>
              <w:t>（22分）</w:t>
            </w:r>
          </w:p>
        </w:tc>
        <w:tc>
          <w:tcPr>
            <w:tcW w:w="12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kern w:val="2"/>
                <w:highlight w:val="none"/>
                <w:lang w:val="zh-CN" w:eastAsia="zh-CN"/>
              </w:rPr>
            </w:pPr>
            <w:r>
              <w:rPr>
                <w:rFonts w:hint="eastAsia" w:ascii="宋体" w:hAnsi="宋体" w:eastAsia="宋体" w:cs="宋体"/>
                <w:color w:val="auto"/>
                <w:kern w:val="2"/>
                <w:highlight w:val="none"/>
                <w:lang w:eastAsia="zh-CN"/>
              </w:rPr>
              <w:t>1.类似</w:t>
            </w:r>
            <w:r>
              <w:rPr>
                <w:rFonts w:hint="eastAsia" w:ascii="宋体" w:hAnsi="宋体" w:eastAsia="宋体" w:cs="宋体"/>
                <w:color w:val="auto"/>
                <w:kern w:val="2"/>
                <w:highlight w:val="none"/>
                <w:lang w:val="zh-CN" w:eastAsia="zh-CN"/>
              </w:rPr>
              <w:t>项目业绩(</w:t>
            </w:r>
            <w:r>
              <w:rPr>
                <w:rFonts w:hint="eastAsia" w:ascii="宋体" w:hAnsi="宋体" w:eastAsia="宋体" w:cs="宋体"/>
                <w:color w:val="auto"/>
                <w:kern w:val="2"/>
                <w:highlight w:val="none"/>
                <w:lang w:eastAsia="zh-CN"/>
              </w:rPr>
              <w:t>10</w:t>
            </w:r>
            <w:r>
              <w:rPr>
                <w:rFonts w:hint="eastAsia" w:ascii="宋体" w:hAnsi="宋体" w:eastAsia="宋体" w:cs="宋体"/>
                <w:color w:val="auto"/>
                <w:kern w:val="2"/>
                <w:highlight w:val="none"/>
                <w:lang w:val="zh-CN" w:eastAsia="zh-CN"/>
              </w:rPr>
              <w:t>分)</w:t>
            </w:r>
          </w:p>
        </w:tc>
        <w:tc>
          <w:tcPr>
            <w:tcW w:w="3173" w:type="pct"/>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eastAsia="宋体" w:cs="宋体"/>
                <w:color w:val="auto"/>
                <w:kern w:val="2"/>
                <w:highlight w:val="none"/>
                <w:lang w:val="zh-CN" w:eastAsia="zh-CN"/>
              </w:rPr>
            </w:pPr>
            <w:r>
              <w:rPr>
                <w:rFonts w:hint="eastAsia" w:ascii="宋体" w:hAnsi="宋体" w:eastAsia="宋体" w:cs="宋体"/>
                <w:color w:val="auto"/>
                <w:kern w:val="2"/>
                <w:highlight w:val="none"/>
                <w:lang w:val="zh-CN" w:eastAsia="zh-CN"/>
              </w:rPr>
              <w:t>近三年（202</w:t>
            </w:r>
            <w:r>
              <w:rPr>
                <w:rFonts w:hint="eastAsia" w:ascii="宋体" w:hAnsi="宋体" w:eastAsia="宋体" w:cs="宋体"/>
                <w:color w:val="auto"/>
                <w:kern w:val="2"/>
                <w:highlight w:val="none"/>
                <w:lang w:eastAsia="zh-CN"/>
              </w:rPr>
              <w:t>3</w:t>
            </w:r>
            <w:r>
              <w:rPr>
                <w:rFonts w:hint="eastAsia" w:ascii="宋体" w:hAnsi="宋体" w:eastAsia="宋体" w:cs="宋体"/>
                <w:color w:val="auto"/>
                <w:kern w:val="2"/>
                <w:highlight w:val="none"/>
                <w:lang w:val="zh-CN" w:eastAsia="zh-CN"/>
              </w:rPr>
              <w:t>年</w:t>
            </w:r>
            <w:r>
              <w:rPr>
                <w:rFonts w:hint="default" w:ascii="宋体" w:hAnsi="宋体" w:eastAsia="宋体" w:cs="宋体"/>
                <w:color w:val="auto"/>
                <w:kern w:val="2"/>
                <w:highlight w:val="none"/>
                <w:lang w:val="en" w:eastAsia="zh-CN"/>
              </w:rPr>
              <w:t>4</w:t>
            </w:r>
            <w:r>
              <w:rPr>
                <w:rFonts w:hint="eastAsia" w:ascii="宋体" w:hAnsi="宋体" w:eastAsia="宋体" w:cs="宋体"/>
                <w:color w:val="auto"/>
                <w:kern w:val="2"/>
                <w:highlight w:val="none"/>
                <w:lang w:val="zh-CN" w:eastAsia="zh-CN"/>
              </w:rPr>
              <w:t>月至递交投标文件截止之日，以合同签订时间为准）完成的类似项目业绩，每提供一个得</w:t>
            </w:r>
            <w:r>
              <w:rPr>
                <w:rFonts w:hint="eastAsia" w:ascii="宋体" w:hAnsi="宋体" w:eastAsia="宋体" w:cs="宋体"/>
                <w:color w:val="auto"/>
                <w:kern w:val="2"/>
                <w:highlight w:val="none"/>
                <w:lang w:eastAsia="zh-CN"/>
              </w:rPr>
              <w:t>2</w:t>
            </w:r>
            <w:r>
              <w:rPr>
                <w:rFonts w:hint="eastAsia" w:ascii="宋体" w:hAnsi="宋体" w:eastAsia="宋体" w:cs="宋体"/>
                <w:color w:val="auto"/>
                <w:kern w:val="2"/>
                <w:highlight w:val="none"/>
                <w:lang w:val="zh-CN" w:eastAsia="zh-CN"/>
              </w:rPr>
              <w:t>分,最高得</w:t>
            </w:r>
            <w:r>
              <w:rPr>
                <w:rFonts w:hint="eastAsia" w:ascii="宋体" w:hAnsi="宋体" w:eastAsia="宋体" w:cs="宋体"/>
                <w:color w:val="auto"/>
                <w:kern w:val="2"/>
                <w:highlight w:val="none"/>
                <w:lang w:eastAsia="zh-CN"/>
              </w:rPr>
              <w:t>10</w:t>
            </w:r>
            <w:r>
              <w:rPr>
                <w:rFonts w:hint="eastAsia" w:ascii="宋体" w:hAnsi="宋体" w:eastAsia="宋体" w:cs="宋体"/>
                <w:color w:val="auto"/>
                <w:kern w:val="2"/>
                <w:highlight w:val="none"/>
                <w:lang w:val="zh-CN" w:eastAsia="zh-CN"/>
              </w:rPr>
              <w:t>分（需提供证明文件：合同首页、金额页、签章页）。</w:t>
            </w:r>
          </w:p>
        </w:tc>
      </w:tr>
      <w:tr>
        <w:tblPrEx>
          <w:tblCellMar>
            <w:top w:w="0" w:type="dxa"/>
            <w:left w:w="11" w:type="dxa"/>
            <w:bottom w:w="0" w:type="dxa"/>
            <w:right w:w="11" w:type="dxa"/>
          </w:tblCellMar>
        </w:tblPrEx>
        <w:trPr>
          <w:trHeight w:val="1390" w:hRule="atLeast"/>
          <w:jc w:val="center"/>
        </w:trPr>
        <w:tc>
          <w:tcPr>
            <w:tcW w:w="548" w:type="pct"/>
            <w:vMerge w:val="continue"/>
            <w:tcBorders>
              <w:top w:val="single" w:color="auto" w:sz="4" w:space="0"/>
              <w:left w:val="single" w:color="auto" w:sz="4" w:space="0"/>
              <w:bottom w:val="single" w:color="auto" w:sz="4" w:space="0"/>
              <w:right w:val="single" w:color="auto" w:sz="4" w:space="0"/>
            </w:tcBorders>
            <w:vAlign w:val="center"/>
          </w:tcPr>
          <w:p>
            <w:pPr>
              <w:pStyle w:val="42"/>
              <w:kinsoku/>
              <w:wordWrap w:val="0"/>
              <w:adjustRightInd/>
              <w:snapToGrid/>
              <w:spacing w:line="440" w:lineRule="exact"/>
              <w:jc w:val="center"/>
              <w:rPr>
                <w:color w:val="auto"/>
                <w:kern w:val="2"/>
                <w:sz w:val="21"/>
                <w:szCs w:val="21"/>
                <w:highlight w:val="none"/>
                <w:lang w:val="en-US" w:eastAsia="zh-CN" w:bidi="ar-SA"/>
              </w:rPr>
            </w:pPr>
          </w:p>
        </w:tc>
        <w:tc>
          <w:tcPr>
            <w:tcW w:w="12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highlight w:val="none"/>
                <w:lang w:eastAsia="zh-CN"/>
              </w:rPr>
            </w:pPr>
            <w:r>
              <w:rPr>
                <w:rFonts w:hint="eastAsia" w:ascii="宋体" w:hAnsi="宋体" w:eastAsia="宋体" w:cs="宋体"/>
                <w:highlight w:val="none"/>
                <w:lang w:eastAsia="zh-CN"/>
              </w:rPr>
              <w:t>2.项目团队人员1</w:t>
            </w:r>
          </w:p>
          <w:p>
            <w:pPr>
              <w:spacing w:line="400" w:lineRule="exact"/>
              <w:jc w:val="center"/>
              <w:rPr>
                <w:rFonts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w:t>
            </w:r>
            <w:r>
              <w:rPr>
                <w:rFonts w:hint="eastAsia" w:ascii="宋体" w:hAnsi="宋体" w:eastAsia="宋体" w:cs="宋体"/>
                <w:color w:val="auto"/>
                <w:kern w:val="2"/>
                <w:highlight w:val="none"/>
                <w:lang w:val="en-US" w:eastAsia="zh-CN"/>
              </w:rPr>
              <w:t>8</w:t>
            </w:r>
            <w:r>
              <w:rPr>
                <w:rFonts w:hint="eastAsia" w:ascii="宋体" w:hAnsi="宋体" w:eastAsia="宋体" w:cs="宋体"/>
                <w:color w:val="auto"/>
                <w:kern w:val="2"/>
                <w:highlight w:val="none"/>
                <w:lang w:eastAsia="zh-CN"/>
              </w:rPr>
              <w:t>分)</w:t>
            </w:r>
          </w:p>
        </w:tc>
        <w:tc>
          <w:tcPr>
            <w:tcW w:w="317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2"/>
                <w:highlight w:val="none"/>
                <w:lang w:val="zh-CN" w:eastAsia="zh-CN"/>
              </w:rPr>
            </w:pPr>
            <w:r>
              <w:rPr>
                <w:rFonts w:hint="eastAsia" w:ascii="宋体" w:hAnsi="宋体" w:eastAsia="宋体" w:cs="宋体"/>
                <w:color w:val="auto"/>
                <w:kern w:val="2"/>
                <w:highlight w:val="none"/>
                <w:lang w:val="zh-CN" w:eastAsia="zh-CN"/>
              </w:rPr>
              <w:t>供应商拟投入本项目团队人员中（</w:t>
            </w:r>
            <w:r>
              <w:rPr>
                <w:rFonts w:hint="eastAsia" w:ascii="宋体" w:hAnsi="宋体" w:eastAsia="宋体" w:cs="宋体"/>
                <w:color w:val="auto"/>
                <w:kern w:val="2"/>
                <w:highlight w:val="none"/>
                <w:lang w:eastAsia="zh-CN"/>
              </w:rPr>
              <w:t>含</w:t>
            </w:r>
            <w:r>
              <w:rPr>
                <w:rFonts w:hint="eastAsia" w:ascii="宋体" w:hAnsi="宋体" w:eastAsia="宋体" w:cs="宋体"/>
                <w:color w:val="auto"/>
                <w:kern w:val="2"/>
                <w:highlight w:val="none"/>
                <w:lang w:val="zh-CN" w:eastAsia="zh-CN"/>
              </w:rPr>
              <w:t>项目负责人）每配备一名在本单位注册的注册会计师得</w:t>
            </w:r>
            <w:r>
              <w:rPr>
                <w:rFonts w:hint="eastAsia" w:ascii="宋体" w:hAnsi="宋体" w:eastAsia="宋体" w:cs="宋体"/>
                <w:color w:val="auto"/>
                <w:kern w:val="2"/>
                <w:highlight w:val="none"/>
                <w:lang w:val="en-US" w:eastAsia="zh-CN"/>
              </w:rPr>
              <w:t>4</w:t>
            </w:r>
            <w:r>
              <w:rPr>
                <w:rFonts w:hint="eastAsia" w:ascii="宋体" w:hAnsi="宋体" w:eastAsia="宋体" w:cs="宋体"/>
                <w:color w:val="auto"/>
                <w:kern w:val="2"/>
                <w:highlight w:val="none"/>
                <w:lang w:val="zh-CN" w:eastAsia="zh-CN"/>
              </w:rPr>
              <w:t>分，最多得</w:t>
            </w:r>
            <w:r>
              <w:rPr>
                <w:rFonts w:hint="eastAsia" w:ascii="宋体" w:hAnsi="宋体" w:eastAsia="宋体" w:cs="宋体"/>
                <w:color w:val="auto"/>
                <w:kern w:val="2"/>
                <w:highlight w:val="none"/>
                <w:lang w:val="en-US" w:eastAsia="zh-CN"/>
              </w:rPr>
              <w:t>8</w:t>
            </w:r>
            <w:r>
              <w:rPr>
                <w:rFonts w:hint="eastAsia" w:ascii="宋体" w:hAnsi="宋体" w:eastAsia="宋体" w:cs="宋体"/>
                <w:color w:val="auto"/>
                <w:kern w:val="2"/>
                <w:highlight w:val="none"/>
                <w:lang w:val="zh-CN" w:eastAsia="zh-CN"/>
              </w:rPr>
              <w:t>分（需提供证书扫描件、劳动合同、202</w:t>
            </w:r>
            <w:r>
              <w:rPr>
                <w:rFonts w:hint="eastAsia" w:ascii="宋体" w:hAnsi="宋体" w:eastAsia="宋体" w:cs="宋体"/>
                <w:color w:val="auto"/>
                <w:kern w:val="2"/>
                <w:highlight w:val="none"/>
                <w:lang w:eastAsia="zh-CN"/>
              </w:rPr>
              <w:t>5</w:t>
            </w:r>
            <w:r>
              <w:rPr>
                <w:rFonts w:hint="eastAsia" w:ascii="宋体" w:hAnsi="宋体" w:eastAsia="宋体" w:cs="宋体"/>
                <w:color w:val="auto"/>
                <w:kern w:val="2"/>
                <w:highlight w:val="none"/>
                <w:lang w:val="zh-CN" w:eastAsia="zh-CN"/>
              </w:rPr>
              <w:t>年</w:t>
            </w:r>
            <w:r>
              <w:rPr>
                <w:rFonts w:hint="eastAsia" w:ascii="宋体" w:hAnsi="宋体" w:eastAsia="宋体" w:cs="宋体"/>
                <w:color w:val="auto"/>
                <w:kern w:val="2"/>
                <w:highlight w:val="none"/>
                <w:lang w:eastAsia="zh-CN"/>
              </w:rPr>
              <w:t>4</w:t>
            </w:r>
            <w:r>
              <w:rPr>
                <w:rFonts w:hint="eastAsia" w:ascii="宋体" w:hAnsi="宋体" w:eastAsia="宋体" w:cs="宋体"/>
                <w:color w:val="auto"/>
                <w:kern w:val="2"/>
                <w:highlight w:val="none"/>
                <w:lang w:val="zh-CN" w:eastAsia="zh-CN"/>
              </w:rPr>
              <w:t>月以来近</w:t>
            </w:r>
            <w:r>
              <w:rPr>
                <w:rFonts w:hint="eastAsia" w:ascii="宋体" w:hAnsi="宋体" w:eastAsia="宋体" w:cs="宋体"/>
                <w:color w:val="auto"/>
                <w:kern w:val="2"/>
                <w:highlight w:val="none"/>
                <w:lang w:eastAsia="zh-CN"/>
              </w:rPr>
              <w:t>3</w:t>
            </w:r>
            <w:r>
              <w:rPr>
                <w:rFonts w:hint="eastAsia" w:ascii="宋体" w:hAnsi="宋体" w:eastAsia="宋体" w:cs="宋体"/>
                <w:color w:val="auto"/>
                <w:kern w:val="2"/>
                <w:highlight w:val="none"/>
                <w:lang w:val="zh-CN" w:eastAsia="zh-CN"/>
              </w:rPr>
              <w:t>个月的社保证明，如为退休人员需提</w:t>
            </w:r>
          </w:p>
          <w:p>
            <w:pPr>
              <w:spacing w:line="400" w:lineRule="exact"/>
              <w:rPr>
                <w:rFonts w:ascii="宋体" w:hAnsi="宋体" w:eastAsia="宋体" w:cs="宋体"/>
                <w:color w:val="auto"/>
                <w:kern w:val="2"/>
                <w:highlight w:val="none"/>
                <w:lang w:val="zh-CN" w:eastAsia="zh-CN"/>
              </w:rPr>
            </w:pPr>
            <w:r>
              <w:rPr>
                <w:rFonts w:hint="eastAsia" w:ascii="宋体" w:hAnsi="宋体" w:eastAsia="宋体" w:cs="宋体"/>
                <w:color w:val="auto"/>
                <w:kern w:val="2"/>
                <w:highlight w:val="none"/>
                <w:lang w:val="zh-CN" w:eastAsia="zh-CN"/>
              </w:rPr>
              <w:t>供退休证明文件、</w:t>
            </w:r>
            <w:r>
              <w:rPr>
                <w:rFonts w:hint="eastAsia" w:ascii="宋体" w:hAnsi="宋体" w:eastAsia="宋体" w:cs="宋体"/>
                <w:color w:val="auto"/>
                <w:kern w:val="2"/>
                <w:highlight w:val="none"/>
                <w:lang w:val="en-US" w:eastAsia="zh-CN"/>
              </w:rPr>
              <w:t>返</w:t>
            </w:r>
            <w:r>
              <w:rPr>
                <w:rFonts w:hint="eastAsia" w:ascii="宋体" w:hAnsi="宋体" w:eastAsia="宋体" w:cs="宋体"/>
                <w:color w:val="auto"/>
                <w:kern w:val="2"/>
                <w:highlight w:val="none"/>
                <w:lang w:eastAsia="zh-CN"/>
              </w:rPr>
              <w:t>聘</w:t>
            </w:r>
            <w:r>
              <w:rPr>
                <w:rFonts w:hint="eastAsia" w:ascii="宋体" w:hAnsi="宋体" w:eastAsia="宋体" w:cs="宋体"/>
                <w:color w:val="auto"/>
                <w:kern w:val="2"/>
                <w:highlight w:val="none"/>
                <w:lang w:val="zh-CN" w:eastAsia="zh-CN"/>
              </w:rPr>
              <w:t>合同）</w:t>
            </w:r>
          </w:p>
        </w:tc>
      </w:tr>
      <w:tr>
        <w:tblPrEx>
          <w:tblCellMar>
            <w:top w:w="0" w:type="dxa"/>
            <w:left w:w="11" w:type="dxa"/>
            <w:bottom w:w="0" w:type="dxa"/>
            <w:right w:w="11" w:type="dxa"/>
          </w:tblCellMar>
        </w:tblPrEx>
        <w:trPr>
          <w:trHeight w:val="220" w:hRule="atLeast"/>
          <w:jc w:val="center"/>
        </w:trPr>
        <w:tc>
          <w:tcPr>
            <w:tcW w:w="548" w:type="pct"/>
            <w:vMerge w:val="continue"/>
            <w:tcBorders>
              <w:left w:val="single" w:color="auto" w:sz="4" w:space="0"/>
              <w:bottom w:val="single" w:color="auto" w:sz="4" w:space="0"/>
              <w:right w:val="single" w:color="auto" w:sz="4" w:space="0"/>
            </w:tcBorders>
            <w:vAlign w:val="center"/>
          </w:tcPr>
          <w:p>
            <w:pPr>
              <w:pStyle w:val="42"/>
              <w:kinsoku/>
              <w:wordWrap w:val="0"/>
              <w:adjustRightInd/>
              <w:snapToGrid/>
              <w:spacing w:line="440" w:lineRule="exact"/>
              <w:jc w:val="center"/>
              <w:rPr>
                <w:color w:val="auto"/>
                <w:kern w:val="2"/>
                <w:sz w:val="21"/>
                <w:szCs w:val="21"/>
                <w:highlight w:val="none"/>
                <w:lang w:val="en-US" w:eastAsia="zh-CN" w:bidi="ar-SA"/>
              </w:rPr>
            </w:pPr>
          </w:p>
        </w:tc>
        <w:tc>
          <w:tcPr>
            <w:tcW w:w="12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highlight w:val="none"/>
                <w:lang w:eastAsia="zh-CN"/>
              </w:rPr>
            </w:pPr>
            <w:r>
              <w:rPr>
                <w:rFonts w:hint="eastAsia" w:ascii="宋体" w:hAnsi="宋体" w:eastAsia="宋体" w:cs="宋体"/>
                <w:highlight w:val="none"/>
                <w:lang w:eastAsia="zh-CN"/>
              </w:rPr>
              <w:t>3.项目团队人员2</w:t>
            </w:r>
          </w:p>
          <w:p>
            <w:pPr>
              <w:pStyle w:val="2"/>
              <w:jc w:val="center"/>
              <w:rPr>
                <w:rFonts w:ascii="宋体" w:hAnsi="宋体" w:eastAsia="宋体" w:cs="宋体"/>
                <w:color w:val="auto"/>
                <w:kern w:val="2"/>
                <w:highlight w:val="none"/>
                <w:lang w:eastAsia="zh-CN"/>
              </w:rPr>
            </w:pPr>
            <w:r>
              <w:rPr>
                <w:rFonts w:hint="eastAsia" w:ascii="宋体" w:hAnsi="宋体" w:eastAsia="宋体" w:cs="宋体"/>
                <w:highlight w:val="none"/>
                <w:lang w:eastAsia="zh-CN"/>
              </w:rPr>
              <w:t>（4分）</w:t>
            </w:r>
          </w:p>
        </w:tc>
        <w:tc>
          <w:tcPr>
            <w:tcW w:w="3173"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2"/>
                <w:highlight w:val="none"/>
                <w:lang w:val="zh-CN" w:eastAsia="zh-CN"/>
              </w:rPr>
            </w:pPr>
            <w:r>
              <w:rPr>
                <w:rFonts w:hint="eastAsia" w:ascii="宋体" w:hAnsi="宋体" w:eastAsia="宋体" w:cs="宋体"/>
                <w:color w:val="auto"/>
                <w:kern w:val="2"/>
                <w:highlight w:val="none"/>
                <w:lang w:val="zh-CN" w:eastAsia="zh-CN"/>
              </w:rPr>
              <w:t>供应商拟投入本项目团队人员中（</w:t>
            </w:r>
            <w:r>
              <w:rPr>
                <w:rFonts w:hint="eastAsia" w:ascii="宋体" w:hAnsi="宋体" w:eastAsia="宋体" w:cs="宋体"/>
                <w:color w:val="auto"/>
                <w:kern w:val="2"/>
                <w:highlight w:val="none"/>
                <w:lang w:eastAsia="zh-CN"/>
              </w:rPr>
              <w:t>除注册会计师以外</w:t>
            </w:r>
            <w:r>
              <w:rPr>
                <w:rFonts w:hint="eastAsia" w:ascii="宋体" w:hAnsi="宋体" w:eastAsia="宋体" w:cs="宋体"/>
                <w:color w:val="auto"/>
                <w:kern w:val="2"/>
                <w:highlight w:val="none"/>
                <w:lang w:val="zh-CN" w:eastAsia="zh-CN"/>
              </w:rPr>
              <w:t>）每配备一</w:t>
            </w:r>
            <w:r>
              <w:rPr>
                <w:rFonts w:hint="eastAsia" w:ascii="宋体" w:hAnsi="宋体" w:eastAsia="宋体" w:cs="宋体"/>
                <w:color w:val="auto"/>
                <w:kern w:val="2"/>
                <w:highlight w:val="none"/>
                <w:lang w:eastAsia="zh-CN"/>
              </w:rPr>
              <w:t>名中级及以上会计师2</w:t>
            </w:r>
            <w:r>
              <w:rPr>
                <w:rFonts w:hint="eastAsia" w:ascii="宋体" w:hAnsi="宋体" w:eastAsia="宋体" w:cs="宋体"/>
                <w:color w:val="auto"/>
                <w:kern w:val="2"/>
                <w:highlight w:val="none"/>
                <w:lang w:val="zh-CN" w:eastAsia="zh-CN"/>
              </w:rPr>
              <w:t>分，最多得</w:t>
            </w:r>
            <w:r>
              <w:rPr>
                <w:rFonts w:hint="eastAsia" w:ascii="宋体" w:hAnsi="宋体" w:eastAsia="宋体" w:cs="宋体"/>
                <w:color w:val="auto"/>
                <w:kern w:val="2"/>
                <w:highlight w:val="none"/>
                <w:lang w:eastAsia="zh-CN"/>
              </w:rPr>
              <w:t>4</w:t>
            </w:r>
            <w:r>
              <w:rPr>
                <w:rFonts w:hint="eastAsia" w:ascii="宋体" w:hAnsi="宋体" w:eastAsia="宋体" w:cs="宋体"/>
                <w:color w:val="auto"/>
                <w:kern w:val="2"/>
                <w:highlight w:val="none"/>
                <w:lang w:val="zh-CN" w:eastAsia="zh-CN"/>
              </w:rPr>
              <w:t>分（需提供证书扫描件、</w:t>
            </w:r>
            <w:bookmarkStart w:id="66" w:name="_GoBack"/>
            <w:bookmarkEnd w:id="66"/>
            <w:r>
              <w:rPr>
                <w:rFonts w:hint="eastAsia" w:ascii="宋体" w:hAnsi="宋体" w:eastAsia="宋体" w:cs="宋体"/>
                <w:color w:val="auto"/>
                <w:kern w:val="2"/>
                <w:highlight w:val="none"/>
                <w:lang w:val="zh-CN" w:eastAsia="zh-CN"/>
              </w:rPr>
              <w:t>劳动合同、202</w:t>
            </w:r>
            <w:r>
              <w:rPr>
                <w:rFonts w:hint="eastAsia" w:ascii="宋体" w:hAnsi="宋体" w:eastAsia="宋体" w:cs="宋体"/>
                <w:color w:val="auto"/>
                <w:kern w:val="2"/>
                <w:highlight w:val="none"/>
                <w:lang w:eastAsia="zh-CN"/>
              </w:rPr>
              <w:t>5</w:t>
            </w:r>
            <w:r>
              <w:rPr>
                <w:rFonts w:hint="eastAsia" w:ascii="宋体" w:hAnsi="宋体" w:eastAsia="宋体" w:cs="宋体"/>
                <w:color w:val="auto"/>
                <w:kern w:val="2"/>
                <w:highlight w:val="none"/>
                <w:lang w:val="zh-CN" w:eastAsia="zh-CN"/>
              </w:rPr>
              <w:t>年</w:t>
            </w:r>
            <w:r>
              <w:rPr>
                <w:rFonts w:hint="eastAsia" w:ascii="宋体" w:hAnsi="宋体" w:eastAsia="宋体" w:cs="宋体"/>
                <w:color w:val="auto"/>
                <w:kern w:val="2"/>
                <w:highlight w:val="none"/>
                <w:lang w:eastAsia="zh-CN"/>
              </w:rPr>
              <w:t>4</w:t>
            </w:r>
            <w:r>
              <w:rPr>
                <w:rFonts w:hint="eastAsia" w:ascii="宋体" w:hAnsi="宋体" w:eastAsia="宋体" w:cs="宋体"/>
                <w:color w:val="auto"/>
                <w:kern w:val="2"/>
                <w:highlight w:val="none"/>
                <w:lang w:val="zh-CN" w:eastAsia="zh-CN"/>
              </w:rPr>
              <w:t>月以来近</w:t>
            </w:r>
            <w:r>
              <w:rPr>
                <w:rFonts w:hint="eastAsia" w:ascii="宋体" w:hAnsi="宋体" w:eastAsia="宋体" w:cs="宋体"/>
                <w:color w:val="auto"/>
                <w:kern w:val="2"/>
                <w:highlight w:val="none"/>
                <w:lang w:eastAsia="zh-CN"/>
              </w:rPr>
              <w:t>3</w:t>
            </w:r>
            <w:r>
              <w:rPr>
                <w:rFonts w:hint="eastAsia" w:ascii="宋体" w:hAnsi="宋体" w:eastAsia="宋体" w:cs="宋体"/>
                <w:color w:val="auto"/>
                <w:kern w:val="2"/>
                <w:highlight w:val="none"/>
                <w:lang w:val="zh-CN" w:eastAsia="zh-CN"/>
              </w:rPr>
              <w:t>个月的社保证明，如为退休人员需提供退休证明文件、</w:t>
            </w:r>
            <w:r>
              <w:rPr>
                <w:rFonts w:hint="eastAsia" w:ascii="宋体" w:hAnsi="宋体" w:eastAsia="宋体" w:cs="宋体"/>
                <w:color w:val="auto"/>
                <w:kern w:val="2"/>
                <w:highlight w:val="none"/>
                <w:lang w:val="en-US" w:eastAsia="zh-CN"/>
              </w:rPr>
              <w:t>返</w:t>
            </w:r>
            <w:r>
              <w:rPr>
                <w:rFonts w:hint="eastAsia" w:ascii="宋体" w:hAnsi="宋体" w:eastAsia="宋体" w:cs="宋体"/>
                <w:color w:val="auto"/>
                <w:kern w:val="2"/>
                <w:highlight w:val="none"/>
                <w:lang w:eastAsia="zh-CN"/>
              </w:rPr>
              <w:t>聘</w:t>
            </w:r>
            <w:r>
              <w:rPr>
                <w:rFonts w:hint="eastAsia" w:ascii="宋体" w:hAnsi="宋体" w:eastAsia="宋体" w:cs="宋体"/>
                <w:color w:val="auto"/>
                <w:kern w:val="2"/>
                <w:highlight w:val="none"/>
                <w:lang w:val="zh-CN" w:eastAsia="zh-CN"/>
              </w:rPr>
              <w:t>合同）</w:t>
            </w:r>
          </w:p>
        </w:tc>
      </w:tr>
      <w:tr>
        <w:tblPrEx>
          <w:tblCellMar>
            <w:top w:w="0" w:type="dxa"/>
            <w:left w:w="11" w:type="dxa"/>
            <w:bottom w:w="0" w:type="dxa"/>
            <w:right w:w="11" w:type="dxa"/>
          </w:tblCellMar>
        </w:tblPrEx>
        <w:trPr>
          <w:trHeight w:val="567" w:hRule="atLeast"/>
          <w:jc w:val="center"/>
        </w:trPr>
        <w:tc>
          <w:tcPr>
            <w:tcW w:w="548" w:type="pct"/>
            <w:tcBorders>
              <w:top w:val="single" w:color="auto" w:sz="4" w:space="0"/>
              <w:left w:val="single" w:color="auto" w:sz="4" w:space="0"/>
              <w:bottom w:val="single" w:color="auto" w:sz="4" w:space="0"/>
              <w:right w:val="single" w:color="auto" w:sz="4" w:space="0"/>
            </w:tcBorders>
            <w:vAlign w:val="center"/>
          </w:tcPr>
          <w:p>
            <w:pPr>
              <w:pStyle w:val="42"/>
              <w:kinsoku/>
              <w:wordWrap w:val="0"/>
              <w:adjustRightInd/>
              <w:snapToGrid/>
              <w:spacing w:line="400" w:lineRule="exact"/>
              <w:jc w:val="center"/>
              <w:rPr>
                <w:color w:val="auto"/>
                <w:sz w:val="21"/>
                <w:szCs w:val="21"/>
                <w:highlight w:val="none"/>
              </w:rPr>
            </w:pPr>
            <w:r>
              <w:rPr>
                <w:rFonts w:hint="eastAsia"/>
                <w:color w:val="auto"/>
                <w:sz w:val="21"/>
                <w:szCs w:val="21"/>
                <w:highlight w:val="none"/>
              </w:rPr>
              <w:t>投</w:t>
            </w:r>
          </w:p>
          <w:p>
            <w:pPr>
              <w:pStyle w:val="42"/>
              <w:kinsoku/>
              <w:wordWrap w:val="0"/>
              <w:adjustRightInd/>
              <w:snapToGrid/>
              <w:spacing w:line="400" w:lineRule="exact"/>
              <w:jc w:val="center"/>
              <w:rPr>
                <w:color w:val="auto"/>
                <w:sz w:val="21"/>
                <w:szCs w:val="21"/>
                <w:highlight w:val="none"/>
              </w:rPr>
            </w:pPr>
            <w:r>
              <w:rPr>
                <w:rFonts w:hint="eastAsia"/>
                <w:color w:val="auto"/>
                <w:sz w:val="21"/>
                <w:szCs w:val="21"/>
                <w:highlight w:val="none"/>
              </w:rPr>
              <w:t>标</w:t>
            </w:r>
          </w:p>
          <w:p>
            <w:pPr>
              <w:pStyle w:val="42"/>
              <w:kinsoku/>
              <w:wordWrap w:val="0"/>
              <w:adjustRightInd/>
              <w:snapToGrid/>
              <w:spacing w:line="400" w:lineRule="exact"/>
              <w:jc w:val="center"/>
              <w:rPr>
                <w:color w:val="auto"/>
                <w:sz w:val="21"/>
                <w:szCs w:val="21"/>
                <w:highlight w:val="none"/>
              </w:rPr>
            </w:pPr>
            <w:r>
              <w:rPr>
                <w:rFonts w:hint="eastAsia"/>
                <w:color w:val="auto"/>
                <w:sz w:val="21"/>
                <w:szCs w:val="21"/>
                <w:highlight w:val="none"/>
              </w:rPr>
              <w:t>报</w:t>
            </w:r>
          </w:p>
          <w:p>
            <w:pPr>
              <w:pStyle w:val="42"/>
              <w:kinsoku/>
              <w:wordWrap w:val="0"/>
              <w:adjustRightInd/>
              <w:snapToGrid/>
              <w:spacing w:line="400" w:lineRule="exact"/>
              <w:jc w:val="center"/>
              <w:rPr>
                <w:color w:val="auto"/>
                <w:sz w:val="21"/>
                <w:szCs w:val="21"/>
                <w:highlight w:val="none"/>
              </w:rPr>
            </w:pPr>
            <w:r>
              <w:rPr>
                <w:rFonts w:hint="eastAsia"/>
                <w:color w:val="auto"/>
                <w:sz w:val="21"/>
                <w:szCs w:val="21"/>
                <w:highlight w:val="none"/>
              </w:rPr>
              <w:t>价</w:t>
            </w:r>
          </w:p>
        </w:tc>
        <w:tc>
          <w:tcPr>
            <w:tcW w:w="1278" w:type="pct"/>
            <w:tcBorders>
              <w:top w:val="single" w:color="auto" w:sz="4" w:space="0"/>
              <w:left w:val="single" w:color="auto" w:sz="4" w:space="0"/>
              <w:bottom w:val="single" w:color="auto" w:sz="4" w:space="0"/>
            </w:tcBorders>
            <w:vAlign w:val="center"/>
          </w:tcPr>
          <w:p>
            <w:pPr>
              <w:pStyle w:val="42"/>
              <w:kinsoku/>
              <w:wordWrap w:val="0"/>
              <w:adjustRightInd/>
              <w:snapToGrid/>
              <w:spacing w:line="400" w:lineRule="exact"/>
              <w:jc w:val="center"/>
              <w:rPr>
                <w:color w:val="auto"/>
                <w:sz w:val="21"/>
                <w:szCs w:val="21"/>
                <w:highlight w:val="none"/>
              </w:rPr>
            </w:pPr>
            <w:r>
              <w:rPr>
                <w:rFonts w:hint="eastAsia"/>
                <w:color w:val="auto"/>
                <w:sz w:val="21"/>
                <w:szCs w:val="21"/>
                <w:highlight w:val="none"/>
              </w:rPr>
              <w:t>磋商报价得分</w:t>
            </w:r>
          </w:p>
          <w:p>
            <w:pPr>
              <w:pStyle w:val="42"/>
              <w:kinsoku/>
              <w:wordWrap w:val="0"/>
              <w:adjustRightInd/>
              <w:snapToGrid/>
              <w:spacing w:line="400" w:lineRule="exact"/>
              <w:jc w:val="center"/>
              <w:rPr>
                <w:color w:val="auto"/>
                <w:sz w:val="21"/>
                <w:szCs w:val="21"/>
                <w:highlight w:val="none"/>
              </w:rPr>
            </w:pPr>
            <w:r>
              <w:rPr>
                <w:rFonts w:hint="eastAsia"/>
                <w:color w:val="auto"/>
                <w:sz w:val="21"/>
                <w:szCs w:val="21"/>
                <w:highlight w:val="none"/>
                <w:lang w:val="en-US" w:eastAsia="zh-CN" w:bidi="en-US"/>
              </w:rPr>
              <w:t>（10.0分）</w:t>
            </w:r>
          </w:p>
        </w:tc>
        <w:tc>
          <w:tcPr>
            <w:tcW w:w="3173" w:type="pct"/>
            <w:tcBorders>
              <w:top w:val="single" w:color="auto" w:sz="4" w:space="0"/>
              <w:left w:val="single" w:color="auto" w:sz="4" w:space="0"/>
              <w:bottom w:val="single" w:color="auto" w:sz="4" w:space="0"/>
              <w:right w:val="single" w:color="auto" w:sz="4" w:space="0"/>
            </w:tcBorders>
          </w:tcPr>
          <w:p>
            <w:pPr>
              <w:kinsoku/>
              <w:wordWrap w:val="0"/>
              <w:adjustRightInd/>
              <w:snapToGrid/>
              <w:spacing w:line="400" w:lineRule="exact"/>
              <w:jc w:val="both"/>
              <w:rPr>
                <w:rFonts w:ascii="宋体" w:hAnsi="宋体" w:eastAsia="宋体" w:cs="宋体"/>
                <w:color w:val="auto"/>
                <w:highlight w:val="none"/>
                <w:lang w:eastAsia="zh-CN"/>
              </w:rPr>
            </w:pPr>
            <w:r>
              <w:rPr>
                <w:rFonts w:hint="eastAsia" w:ascii="宋体" w:hAnsi="宋体" w:eastAsia="宋体" w:cs="宋体"/>
                <w:color w:val="auto"/>
                <w:highlight w:val="none"/>
                <w:lang w:eastAsia="zh-CN"/>
              </w:rPr>
              <w:t>采用低价优先法计算，即满足磋商文件要求且最后报价最低的为磋商基准价，其磋商报价得分为满分。其他服务商的得分按下列公式计算：磋商报价得分=（磋商基准价/最后磋商报价）×价格权值（10％）×100 。</w:t>
            </w:r>
          </w:p>
          <w:p>
            <w:pPr>
              <w:kinsoku/>
              <w:wordWrap w:val="0"/>
              <w:adjustRightInd/>
              <w:snapToGrid/>
              <w:spacing w:line="400" w:lineRule="exact"/>
              <w:jc w:val="both"/>
              <w:rPr>
                <w:rFonts w:ascii="宋体" w:hAnsi="宋体" w:eastAsia="宋体" w:cs="宋体"/>
                <w:color w:val="auto"/>
                <w:highlight w:val="none"/>
                <w:lang w:eastAsia="zh-CN"/>
              </w:rPr>
            </w:pPr>
            <w:r>
              <w:rPr>
                <w:rFonts w:hint="eastAsia" w:ascii="宋体" w:hAnsi="宋体" w:eastAsia="宋体" w:cs="宋体"/>
                <w:color w:val="auto"/>
                <w:highlight w:val="none"/>
                <w:lang w:eastAsia="zh-CN"/>
              </w:rPr>
              <w:t>最低报价不是成交的唯一依据。</w:t>
            </w:r>
          </w:p>
        </w:tc>
      </w:tr>
    </w:tbl>
    <w:p>
      <w:pPr>
        <w:kinsoku/>
        <w:spacing w:before="240" w:beforeLines="100" w:line="360" w:lineRule="auto"/>
        <w:ind w:firstLine="481" w:firstLineChars="200"/>
        <w:outlineLvl w:val="2"/>
        <w:rPr>
          <w:rFonts w:ascii="宋体" w:eastAsia="宋体" w:cs="宋体"/>
          <w:b/>
          <w:bCs/>
          <w:color w:val="auto"/>
          <w:sz w:val="24"/>
          <w:szCs w:val="24"/>
          <w:lang w:eastAsia="zh-CN"/>
        </w:rPr>
      </w:pPr>
      <w:r>
        <w:rPr>
          <w:rFonts w:hint="eastAsia" w:ascii="宋体" w:eastAsia="宋体" w:cs="宋体"/>
          <w:b/>
          <w:bCs/>
          <w:color w:val="auto"/>
          <w:sz w:val="24"/>
          <w:szCs w:val="24"/>
          <w:lang w:eastAsia="zh-CN"/>
        </w:rPr>
        <w:t>7.汇总、排序</w:t>
      </w:r>
    </w:p>
    <w:p>
      <w:pPr>
        <w:kinsoku/>
        <w:spacing w:line="360" w:lineRule="auto"/>
        <w:ind w:firstLine="480" w:firstLineChars="200"/>
        <w:rPr>
          <w:rFonts w:ascii="宋体" w:eastAsia="宋体" w:cs="宋体"/>
          <w:color w:val="auto"/>
          <w:sz w:val="24"/>
          <w:szCs w:val="24"/>
          <w:lang w:eastAsia="zh-CN"/>
        </w:rPr>
        <w:sectPr>
          <w:footerReference r:id="rId8" w:type="default"/>
          <w:pgSz w:w="11906" w:h="16838"/>
          <w:pgMar w:top="1440" w:right="1080" w:bottom="1440" w:left="1080" w:header="0" w:footer="850" w:gutter="0"/>
          <w:cols w:space="0" w:num="1"/>
          <w:docGrid w:linePitch="312" w:charSpace="0"/>
        </w:sectPr>
      </w:pPr>
      <w:r>
        <w:rPr>
          <w:rFonts w:hint="eastAsia" w:ascii="宋体" w:eastAsia="宋体" w:cs="宋体"/>
          <w:color w:val="auto"/>
          <w:sz w:val="24"/>
          <w:szCs w:val="24"/>
          <w:lang w:eastAsia="zh-CN"/>
        </w:rPr>
        <w:t>磋商小组根据综合评分情况，按照评审得分由高到低顺序推荐 3 名以上成交候选供应商，同时依据采购文件要求确定排名第一的成交候选供应商为成交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pPr>
        <w:kinsoku/>
        <w:spacing w:line="360" w:lineRule="auto"/>
        <w:jc w:val="center"/>
        <w:outlineLvl w:val="0"/>
        <w:rPr>
          <w:rFonts w:ascii="宋体" w:hAnsi="宋体" w:eastAsia="宋体" w:cs="宋体"/>
          <w:b/>
          <w:bCs/>
          <w:color w:val="auto"/>
          <w:sz w:val="28"/>
          <w:szCs w:val="28"/>
        </w:rPr>
      </w:pPr>
      <w:bookmarkStart w:id="24" w:name="_Toc21012"/>
      <w:r>
        <w:rPr>
          <w:rFonts w:hint="eastAsia" w:ascii="宋体" w:hAnsi="宋体" w:eastAsia="宋体" w:cs="宋体"/>
          <w:b/>
          <w:bCs/>
          <w:color w:val="auto"/>
          <w:sz w:val="28"/>
          <w:szCs w:val="28"/>
        </w:rPr>
        <w:t>第六章  合同</w:t>
      </w:r>
      <w:bookmarkEnd w:id="24"/>
    </w:p>
    <w:p>
      <w:pPr>
        <w:keepNext/>
        <w:keepLines/>
        <w:widowControl w:val="0"/>
        <w:spacing w:before="260" w:after="260" w:line="360" w:lineRule="auto"/>
        <w:jc w:val="both"/>
        <w:outlineLvl w:val="1"/>
        <w:rPr>
          <w:rFonts w:ascii="宋体" w:hAnsi="宋体" w:eastAsia="宋体" w:cs="宋体"/>
          <w:b/>
          <w:kern w:val="2"/>
          <w:sz w:val="24"/>
          <w:szCs w:val="24"/>
          <w:lang w:eastAsia="zh-CN"/>
        </w:rPr>
      </w:pPr>
      <w:bookmarkStart w:id="25" w:name="_Toc1689"/>
      <w:bookmarkStart w:id="26" w:name="_Toc16935"/>
      <w:bookmarkStart w:id="27" w:name="_Toc199841597"/>
      <w:bookmarkStart w:id="28" w:name="_Toc4992"/>
      <w:bookmarkStart w:id="29" w:name="_Toc25832"/>
      <w:bookmarkStart w:id="30" w:name="_Toc16343"/>
      <w:r>
        <w:rPr>
          <w:rFonts w:hint="eastAsia" w:ascii="宋体" w:hAnsi="宋体" w:eastAsia="宋体" w:cs="宋体"/>
          <w:b/>
          <w:kern w:val="2"/>
          <w:sz w:val="24"/>
          <w:szCs w:val="24"/>
          <w:lang w:eastAsia="zh-CN"/>
        </w:rPr>
        <w:t>一、合同要求</w:t>
      </w:r>
      <w:bookmarkEnd w:id="25"/>
      <w:bookmarkEnd w:id="26"/>
      <w:bookmarkEnd w:id="27"/>
      <w:bookmarkEnd w:id="28"/>
      <w:bookmarkEnd w:id="29"/>
      <w:bookmarkEnd w:id="30"/>
    </w:p>
    <w:p>
      <w:pPr>
        <w:widowControl w:val="0"/>
        <w:kinsoku/>
        <w:autoSpaceDE/>
        <w:autoSpaceDN/>
        <w:adjustRightInd/>
        <w:snapToGrid/>
        <w:spacing w:line="360" w:lineRule="auto"/>
        <w:jc w:val="both"/>
        <w:outlineLvl w:val="2"/>
        <w:rPr>
          <w:rFonts w:ascii="宋体" w:hAnsi="宋体" w:eastAsia="宋体" w:cs="宋体"/>
          <w:b/>
          <w:bCs/>
          <w:kern w:val="2"/>
          <w:sz w:val="24"/>
          <w:szCs w:val="24"/>
          <w:lang w:eastAsia="zh-CN"/>
        </w:rPr>
      </w:pPr>
      <w:bookmarkStart w:id="31" w:name="_Toc2180"/>
      <w:bookmarkStart w:id="32" w:name="_Toc7550"/>
      <w:bookmarkStart w:id="33" w:name="_Toc11213"/>
      <w:bookmarkStart w:id="34" w:name="_Toc5413"/>
      <w:bookmarkStart w:id="35" w:name="_Toc3945"/>
      <w:bookmarkStart w:id="36" w:name="_Toc199841598"/>
      <w:r>
        <w:rPr>
          <w:rFonts w:hint="eastAsia" w:ascii="宋体" w:hAnsi="宋体" w:eastAsia="宋体" w:cs="宋体"/>
          <w:b/>
          <w:bCs/>
          <w:kern w:val="2"/>
          <w:sz w:val="24"/>
          <w:szCs w:val="24"/>
          <w:lang w:eastAsia="zh-CN"/>
        </w:rPr>
        <w:t>(一) 一般要求</w:t>
      </w:r>
      <w:bookmarkEnd w:id="31"/>
      <w:bookmarkEnd w:id="32"/>
      <w:bookmarkEnd w:id="33"/>
      <w:bookmarkEnd w:id="34"/>
      <w:bookmarkEnd w:id="35"/>
      <w:bookmarkEnd w:id="36"/>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1.采购人应当自中标通知书发出之日起30日内，按照磋商文件和成交服务商响应文件的规定，与成交服务商签订书面合同。所签订的合同不得对磋商文件确定的事项和成交服务商响应文件作实质性修改。</w:t>
      </w:r>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合同签订双方不得提出任何不合理的要求作为签订合同的条件。</w:t>
      </w:r>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2.采购合同应当包括采购人与成交服务商的名称和住所、标的、数量、质量、价款或者报酬、履行期限及地点和方式、验收要求、违约责任、解决争议的方法等内容。</w:t>
      </w:r>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3.</w:t>
      </w:r>
      <w:bookmarkStart w:id="37" w:name="OLE_LINK1"/>
      <w:r>
        <w:rPr>
          <w:rFonts w:hint="eastAsia" w:ascii="宋体" w:hAnsi="宋体" w:eastAsia="宋体" w:cs="宋体"/>
          <w:sz w:val="24"/>
        </w:rPr>
        <w:t>采购人应当自</w:t>
      </w:r>
      <w:r>
        <w:rPr>
          <w:rFonts w:hint="eastAsia" w:ascii="宋体" w:hAnsi="宋体" w:eastAsia="宋体" w:cs="宋体"/>
          <w:kern w:val="2"/>
          <w:sz w:val="24"/>
          <w:szCs w:val="24"/>
          <w:lang w:eastAsia="zh-CN"/>
        </w:rPr>
        <w:t>政府采购合同签订之日起</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lang w:eastAsia="zh-CN"/>
        </w:rPr>
        <w:t>个工作日内，将采购</w:t>
      </w:r>
      <w:r>
        <w:rPr>
          <w:rFonts w:hint="eastAsia" w:ascii="宋体" w:hAnsi="宋体" w:eastAsia="宋体" w:cs="宋体"/>
          <w:sz w:val="24"/>
        </w:rPr>
        <w:t>合同</w:t>
      </w:r>
      <w:r>
        <w:rPr>
          <w:rFonts w:hint="eastAsia" w:ascii="宋体" w:hAnsi="宋体" w:eastAsia="宋体" w:cs="宋体"/>
          <w:sz w:val="24"/>
          <w:szCs w:val="24"/>
          <w:lang w:eastAsia="zh-CN"/>
        </w:rPr>
        <w:t>在《赤峰市生态环境局官网》（http://sthjj.chifeng.gov.cn）上</w:t>
      </w:r>
      <w:r>
        <w:rPr>
          <w:rFonts w:hint="eastAsia" w:ascii="宋体" w:hAnsi="宋体" w:eastAsia="宋体" w:cs="宋体"/>
          <w:sz w:val="24"/>
        </w:rPr>
        <w:t>公告</w:t>
      </w:r>
      <w:bookmarkEnd w:id="37"/>
      <w:r>
        <w:rPr>
          <w:rFonts w:hint="eastAsia" w:ascii="宋体" w:hAnsi="宋体" w:eastAsia="宋体" w:cs="宋体"/>
          <w:sz w:val="24"/>
        </w:rPr>
        <w:t>。</w:t>
      </w:r>
      <w:r>
        <w:rPr>
          <w:rFonts w:hint="eastAsia" w:ascii="宋体" w:hAnsi="宋体" w:eastAsia="宋体" w:cs="宋体"/>
          <w:sz w:val="24"/>
          <w:lang w:eastAsia="zh-CN"/>
        </w:rPr>
        <w:t>但政府采购合同中涉及国家秘密、商业秘密的内容除外。</w:t>
      </w:r>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4.采购人与成交服务商应当根据合同的约定依法履行合同义务。</w:t>
      </w:r>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采购合同的履行、违约责任和解决争议的方法等适用《中华人民共和国民法典》。</w:t>
      </w:r>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采购合同的双方当事人不得擅自变更、中止或者终止合同。</w:t>
      </w:r>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5.拒绝签订采购合同的按照政府采购法相关规定处理，并承担相应法律责任。</w:t>
      </w:r>
    </w:p>
    <w:p>
      <w:pPr>
        <w:widowControl w:val="0"/>
        <w:kinsoku/>
        <w:autoSpaceDE/>
        <w:autoSpaceDN/>
        <w:adjustRightInd/>
        <w:snapToGrid/>
        <w:spacing w:line="360" w:lineRule="auto"/>
        <w:jc w:val="both"/>
        <w:outlineLvl w:val="2"/>
        <w:rPr>
          <w:rFonts w:ascii="宋体" w:hAnsi="宋体" w:eastAsia="宋体" w:cs="宋体"/>
          <w:b/>
          <w:bCs/>
          <w:kern w:val="2"/>
          <w:sz w:val="24"/>
          <w:szCs w:val="24"/>
          <w:lang w:eastAsia="zh-CN"/>
        </w:rPr>
      </w:pPr>
      <w:bookmarkStart w:id="38" w:name="_Toc1433"/>
      <w:bookmarkStart w:id="39" w:name="_Toc962"/>
      <w:bookmarkStart w:id="40" w:name="_Toc28207"/>
      <w:bookmarkStart w:id="41" w:name="_Toc199841599"/>
      <w:bookmarkStart w:id="42" w:name="_Toc7533"/>
      <w:r>
        <w:rPr>
          <w:rFonts w:hint="eastAsia" w:ascii="宋体" w:hAnsi="宋体" w:eastAsia="宋体" w:cs="宋体"/>
          <w:b/>
          <w:bCs/>
          <w:kern w:val="2"/>
          <w:sz w:val="24"/>
          <w:szCs w:val="24"/>
          <w:lang w:eastAsia="zh-CN"/>
        </w:rPr>
        <w:t>(二) 合同格式及内容</w:t>
      </w:r>
      <w:bookmarkEnd w:id="38"/>
      <w:bookmarkEnd w:id="39"/>
      <w:bookmarkEnd w:id="40"/>
      <w:bookmarkEnd w:id="41"/>
      <w:bookmarkEnd w:id="42"/>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1.具体格式见本磋商文件后附拟签订的《合同文本》(部分合同条款)，响应文件中可以不提供《合同文本》。</w:t>
      </w:r>
    </w:p>
    <w:p>
      <w:pPr>
        <w:widowControl w:val="0"/>
        <w:kinsoku/>
        <w:autoSpaceDE/>
        <w:autoSpaceDN/>
        <w:adjustRightInd/>
        <w:snapToGrid/>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2.《合同文本》的内容可以根据《民法典》和合同签订双方的实际要求进行修改，但不得改变范本中的实质性内容。</w:t>
      </w:r>
    </w:p>
    <w:p>
      <w:pPr>
        <w:widowControl w:val="0"/>
        <w:kinsoku/>
        <w:autoSpaceDE/>
        <w:autoSpaceDN/>
        <w:adjustRightInd/>
        <w:snapToGrid/>
        <w:spacing w:line="360" w:lineRule="auto"/>
        <w:ind w:firstLine="480" w:firstLineChars="200"/>
        <w:rPr>
          <w:rFonts w:ascii="宋体" w:hAnsi="宋体" w:eastAsia="宋体" w:cs="宋体"/>
          <w:sz w:val="24"/>
          <w:szCs w:val="24"/>
          <w:lang w:eastAsia="zh-CN"/>
        </w:rPr>
        <w:sectPr>
          <w:footerReference r:id="rId9" w:type="default"/>
          <w:pgSz w:w="11900" w:h="16838"/>
          <w:pgMar w:top="1134" w:right="1134" w:bottom="1134" w:left="1134" w:header="397" w:footer="510" w:gutter="0"/>
          <w:cols w:space="720" w:num="1"/>
        </w:sectPr>
      </w:pPr>
    </w:p>
    <w:p>
      <w:pPr>
        <w:spacing w:line="360" w:lineRule="auto"/>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政府采购合同</w:t>
      </w:r>
    </w:p>
    <w:p>
      <w:pPr>
        <w:spacing w:line="360" w:lineRule="auto"/>
        <w:jc w:val="center"/>
        <w:rPr>
          <w:rFonts w:ascii="宋体" w:hAnsi="宋体" w:eastAsia="宋体" w:cs="宋体"/>
          <w:b/>
          <w:bCs/>
          <w:sz w:val="24"/>
          <w:szCs w:val="24"/>
          <w:lang w:eastAsia="zh-CN"/>
        </w:rPr>
      </w:pPr>
      <w:r>
        <w:rPr>
          <w:rFonts w:hint="eastAsia" w:ascii="宋体" w:hAnsi="宋体" w:eastAsia="宋体" w:cs="宋体"/>
          <w:b/>
          <w:bCs/>
          <w:sz w:val="24"/>
          <w:szCs w:val="24"/>
          <w:lang w:eastAsia="zh-CN"/>
        </w:rPr>
        <w:t>（服务类合同参考文本）</w:t>
      </w:r>
    </w:p>
    <w:p>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 xml:space="preserve">                                        合同编号：</w:t>
      </w: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甲方：***（填写采购单位名称）</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地址：***（填写详细地址）</w:t>
      </w: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乙方：***（填写中标、成交投标人名称）</w:t>
      </w: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地址：***（填写详细地址）</w:t>
      </w:r>
    </w:p>
    <w:p>
      <w:pPr>
        <w:spacing w:line="360" w:lineRule="auto"/>
        <w:ind w:firstLine="480" w:firstLineChars="200"/>
        <w:rPr>
          <w:rFonts w:ascii="宋体" w:hAnsi="宋体" w:eastAsia="宋体" w:cs="宋体"/>
          <w:sz w:val="24"/>
          <w:szCs w:val="24"/>
          <w:lang w:eastAsia="zh-CN"/>
        </w:rPr>
      </w:pP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甲乙双方根据《中华人民共和国政府采购法》、《中华人民共和国政府采购法实施条例》、《中华人民共和国民法典》等相关法律法规、规范性文件以及</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项目（填写项目名称）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（填写政府采购项目编号）的中标（成交）结果、招标（磋商、谈判）文件、投标（响应）文件等文件的相关内容，经平等自愿协商一致，就如下合同条款达成一致意见。</w:t>
      </w:r>
    </w:p>
    <w:p>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一、乙方向甲方提供的服务内容</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根据招标（磋商、谈判）文件及中标（成交）结果公告，乙方向甲方提供的服务、货物（如有）内容如下：</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二、乙方服务成果的交付时间、地点</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（一）服务期限：</w:t>
      </w:r>
      <w:r>
        <w:rPr>
          <w:rFonts w:hint="eastAsia" w:ascii="宋体" w:hAnsi="宋体" w:eastAsia="宋体" w:cs="宋体"/>
          <w:sz w:val="24"/>
          <w:szCs w:val="24"/>
          <w:u w:val="single"/>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（二）服务成果的交付时间和交付要求（如有）：</w:t>
      </w:r>
      <w:r>
        <w:rPr>
          <w:rFonts w:hint="eastAsia" w:ascii="宋体" w:hAnsi="宋体" w:eastAsia="宋体" w:cs="宋体"/>
          <w:sz w:val="24"/>
          <w:szCs w:val="24"/>
          <w:u w:val="single"/>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（三）服务地点：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（填写详细地址）</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（四）乙方代表及联系电话：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（填写姓名和联系电话）</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（五）甲方代表及联系电话：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（填写姓名和联系电话）</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注：服务成果分阶段交付的，应分别列明各阶段的交付时间、交付内容。</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三、乙方提供服务成果的质量</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（一）乙方提供的服务应同时满足：</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1.符合国家法律法规和规范性文件对服务质量的要求；</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2.符合甲方招标（磋商、谈判）文件对服务的质量要求；</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3.符合乙方在投标（响应）文件中或磋商、谈判过程中对服务质量作出的书面承诺、声明或保证。上述质量要求作为甲方对乙方服务质量的验收依据。</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（二）乙方应根据国家法律法规和规范性文件的规定、招标（磋商、谈判）文件的相关要求、投标（响应）文件及乙方承诺、声明或保证，向甲方提供相应的服务质量证明文件。</w:t>
      </w:r>
    </w:p>
    <w:p>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四、乙方服务成果的交付方式及载体</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乙方交付服务成果方式及载体应符合国家法律法规和规范性文件的要求，并符合甲方招标（磋商、谈判）文件的要求、乙方在投标（响应）文件中对服务成果交付方式及载体作出的承诺。</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五、甲方对乙方服务的监督</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六、合同金额</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在乙方提供完全符合合同要求的服务的前提下，本合同总金额为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元（小写）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（大写）。</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七、付款时间及条件</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（一）付款时间及付款金额：</w:t>
      </w:r>
      <w:r>
        <w:rPr>
          <w:rFonts w:hint="eastAsia" w:ascii="宋体" w:hAnsi="宋体" w:eastAsia="宋体" w:cs="宋体"/>
          <w:sz w:val="24"/>
          <w:szCs w:val="24"/>
          <w:u w:val="single"/>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（二）付款条件：</w:t>
      </w:r>
      <w:r>
        <w:rPr>
          <w:rFonts w:hint="eastAsia" w:ascii="宋体" w:hAnsi="宋体" w:eastAsia="宋体" w:cs="宋体"/>
          <w:sz w:val="24"/>
          <w:szCs w:val="24"/>
          <w:u w:val="single"/>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（三）乙方账户信息</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乙方名称：</w:t>
      </w:r>
      <w:r>
        <w:rPr>
          <w:rFonts w:hint="eastAsia" w:ascii="宋体" w:hAnsi="宋体" w:eastAsia="宋体" w:cs="宋体"/>
          <w:sz w:val="24"/>
          <w:szCs w:val="24"/>
          <w:u w:val="single"/>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开户银行：</w:t>
      </w:r>
      <w:r>
        <w:rPr>
          <w:rFonts w:hint="eastAsia" w:ascii="宋体" w:hAnsi="宋体" w:eastAsia="宋体" w:cs="宋体"/>
          <w:sz w:val="24"/>
          <w:szCs w:val="24"/>
          <w:u w:val="single"/>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银行账号：</w:t>
      </w:r>
      <w:r>
        <w:rPr>
          <w:rFonts w:hint="eastAsia" w:ascii="宋体" w:hAnsi="宋体" w:eastAsia="宋体" w:cs="宋体"/>
          <w:sz w:val="24"/>
          <w:szCs w:val="24"/>
          <w:u w:val="single"/>
          <w:lang w:eastAsia="zh-CN"/>
        </w:rPr>
        <w:t xml:space="preserve">               </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八、知识产权</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乙方应保证其提供的服务及服务成果的全部及部分，均不存在侵犯第三方知识产权的情形，其服务成果的所有权由甲方享有。否则，乙方应向甲方承担违约责任及赔偿由此给甲方造成的名誉及经济损失。</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九、违约条款</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（一）甲方没有正当理由逾期支付合同款项的，每延期一日，甲方应按照逾期支付金额的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承担违约责任。延期达到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日，乙方有权解除合同，并要求甲方赔偿由此造成的经济损失。</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（二）甲方存在其他违反本合同的行为，应承担相应的违约责任（注：可以根据情况进行细化）；违约金不足以赔偿乙方损失的，乙方有权要求甲方赔偿由此造成的经济损失。</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（三）乙方逾期提供服务成果的，每延期一日，乙方应按照合同总金额的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承担违约责任。延期达到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日，甲方有权解除合同，拒付延期部分的相应服务款项，并要求乙方赔偿甲方的经济损失。</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（四）乙方交付的服务不符合质量要求，或其服务成果存在侵权行为的，甲方有权解除合同，并要求乙方支付合同总金额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%的违约金，违约金不足以赔偿甲方损失的，甲方有权要求乙方赔偿经济损失。</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%的违约金，违约金不足以赔偿甲方损失的，甲方有权要求乙方赔偿经济损失。</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（六）乙方存在其他违反本合同的行为，应承担相应的违约责任（注：可以根据情况进行细化）；违约金不足以赔偿甲方损失的，甲方有权要求乙方赔偿经济损失。</w:t>
      </w:r>
    </w:p>
    <w:p>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十、不可抗力</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因不可抗力致使一方不能及时或完全履行合同的，应及时通知另一方，双方互不承担责任，并在</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天内提供有关不可抗力的相关证明。合同未履行部分是否继续履行、如何履行等问题，由双方协商解决。</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十一、争议的解决方式</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合同发生纠纷时，双方应协商解决，协商不成，可以采用下列方式解决：</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（一）提交</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仲裁委员会仲裁。</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（二）向</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人民法院起诉。</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十二、合同保存</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合同文本一式</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份，采购单位、中标（成交）投标人、采购代理机构、</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各执一份。合同文本保存期限为从采购结束之日起至少保存十五年。</w:t>
      </w:r>
    </w:p>
    <w:p>
      <w:pPr>
        <w:spacing w:line="360" w:lineRule="auto"/>
        <w:rPr>
          <w:rFonts w:ascii="宋体" w:hAnsi="宋体" w:eastAsia="宋体" w:cs="宋体"/>
          <w:sz w:val="24"/>
          <w:szCs w:val="24"/>
        </w:rPr>
      </w:pPr>
      <w:r>
        <w:rPr>
          <w:rFonts w:hint="eastAsia" w:ascii="宋体" w:hAnsi="宋体" w:eastAsia="宋体" w:cs="宋体"/>
          <w:b/>
          <w:bCs/>
          <w:sz w:val="24"/>
          <w:szCs w:val="24"/>
        </w:rPr>
        <w:t>十三、合同附件</w:t>
      </w:r>
      <w:r>
        <w:rPr>
          <w:rFonts w:hint="eastAsia" w:ascii="宋体" w:hAnsi="宋体" w:eastAsia="宋体" w:cs="宋体"/>
          <w:sz w:val="24"/>
          <w:szCs w:val="24"/>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本合同所附下列文件是构成本合同不可分割的部分，与本合同具有同等法律效力：</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1、乙方出具的报价单（函）</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2、中标（成交）结果公告及中标（成交）通知书</w:t>
      </w:r>
    </w:p>
    <w:p>
      <w:pPr>
        <w:spacing w:line="360" w:lineRule="auto"/>
        <w:rPr>
          <w:rFonts w:ascii="宋体" w:hAnsi="宋体" w:eastAsia="宋体" w:cs="宋体"/>
          <w:sz w:val="24"/>
          <w:szCs w:val="24"/>
          <w:lang w:eastAsia="zh-CN"/>
        </w:rPr>
      </w:pPr>
      <w:r>
        <w:rPr>
          <w:rFonts w:hint="eastAsia" w:ascii="宋体" w:hAnsi="宋体" w:eastAsia="宋体" w:cs="宋体"/>
          <w:b/>
          <w:bCs/>
          <w:sz w:val="24"/>
          <w:szCs w:val="24"/>
          <w:lang w:eastAsia="zh-CN"/>
        </w:rPr>
        <w:t>十四、双方约定的其他事宜</w:t>
      </w:r>
      <w:r>
        <w:rPr>
          <w:rFonts w:hint="eastAsia" w:ascii="宋体" w:hAnsi="宋体" w:eastAsia="宋体" w:cs="宋体"/>
          <w:sz w:val="24"/>
          <w:szCs w:val="24"/>
          <w:lang w:eastAsia="zh-CN"/>
        </w:rPr>
        <w:t xml:space="preserve">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 xml:space="preserve">十五、合同未尽事宜，双方另行签订补充协议，补充协议是合同的组成部分。 </w:t>
      </w:r>
    </w:p>
    <w:p>
      <w:pPr>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十六、本合同由甲乙双方盖章生效。</w:t>
      </w: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甲方名称：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（签章）</w:t>
      </w: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甲方法定代表人或负责人：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（签字或签章）</w:t>
      </w:r>
    </w:p>
    <w:p>
      <w:pPr>
        <w:spacing w:line="360" w:lineRule="auto"/>
        <w:rPr>
          <w:rFonts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乙方名称：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（签章）</w:t>
      </w:r>
    </w:p>
    <w:p>
      <w:pPr>
        <w:spacing w:line="360" w:lineRule="auto"/>
        <w:rPr>
          <w:rFonts w:ascii="宋体" w:hAnsi="宋体" w:eastAsia="宋体" w:cs="宋体"/>
          <w:sz w:val="24"/>
          <w:szCs w:val="24"/>
          <w:lang w:eastAsia="zh-CN"/>
        </w:rPr>
      </w:pPr>
    </w:p>
    <w:p>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乙方法定代表人或负责人：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（签字或签章）</w:t>
      </w:r>
    </w:p>
    <w:p>
      <w:pPr>
        <w:spacing w:line="360" w:lineRule="auto"/>
        <w:rPr>
          <w:rFonts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pPr>
        <w:pStyle w:val="43"/>
        <w:widowControl w:val="0"/>
        <w:tabs>
          <w:tab w:val="left" w:pos="890"/>
        </w:tabs>
        <w:kinsoku/>
        <w:wordWrap w:val="0"/>
        <w:autoSpaceDE/>
        <w:autoSpaceDN/>
        <w:adjustRightInd/>
        <w:snapToGrid/>
        <w:spacing w:line="500" w:lineRule="exact"/>
        <w:ind w:right="309" w:firstLine="0" w:firstLineChars="0"/>
        <w:outlineLvl w:val="1"/>
        <w:rPr>
          <w:rFonts w:ascii="宋体" w:hAnsi="宋体" w:eastAsia="宋体" w:cs="宋体"/>
          <w:b/>
          <w:sz w:val="24"/>
          <w:szCs w:val="24"/>
          <w:lang w:eastAsia="zh-CN"/>
        </w:rPr>
      </w:pPr>
      <w:r>
        <w:rPr>
          <w:rFonts w:hint="eastAsia" w:ascii="宋体" w:hAnsi="宋体" w:eastAsia="宋体" w:cs="宋体"/>
          <w:sz w:val="24"/>
          <w:szCs w:val="24"/>
          <w:lang w:eastAsia="zh-CN"/>
        </w:rPr>
        <w:br w:type="page"/>
      </w:r>
      <w:bookmarkStart w:id="43" w:name="_Toc3402"/>
      <w:r>
        <w:rPr>
          <w:rFonts w:hint="eastAsia" w:ascii="宋体" w:hAnsi="宋体" w:eastAsia="宋体" w:cs="宋体"/>
          <w:b/>
          <w:spacing w:val="18"/>
          <w:sz w:val="24"/>
          <w:szCs w:val="24"/>
          <w:lang w:eastAsia="zh-CN"/>
        </w:rPr>
        <w:t>二、</w:t>
      </w:r>
      <w:r>
        <w:rPr>
          <w:rFonts w:hint="eastAsia" w:ascii="宋体" w:hAnsi="宋体" w:eastAsia="宋体" w:cs="宋体"/>
          <w:b/>
          <w:spacing w:val="6"/>
          <w:sz w:val="24"/>
          <w:szCs w:val="24"/>
          <w:lang w:eastAsia="zh-CN"/>
        </w:rPr>
        <w:t>验收</w:t>
      </w:r>
      <w:bookmarkEnd w:id="43"/>
    </w:p>
    <w:p>
      <w:pPr>
        <w:wordWrap w:val="0"/>
        <w:spacing w:line="500" w:lineRule="exact"/>
        <w:ind w:firstLine="480" w:firstLineChars="200"/>
        <w:rPr>
          <w:rFonts w:ascii="宋体" w:hAnsi="宋体" w:eastAsia="宋体" w:cs="宋体"/>
          <w:kern w:val="2"/>
          <w:sz w:val="24"/>
          <w:szCs w:val="24"/>
          <w:lang w:eastAsia="zh-CN"/>
        </w:rPr>
      </w:pPr>
      <w:r>
        <w:rPr>
          <w:rFonts w:hint="eastAsia" w:ascii="宋体" w:hAnsi="宋体" w:eastAsia="宋体" w:cs="宋体"/>
          <w:kern w:val="2"/>
          <w:sz w:val="24"/>
          <w:szCs w:val="24"/>
          <w:lang w:eastAsia="zh-CN"/>
        </w:rPr>
        <w:t>项目完成后，成交供应商应当配合采购人提供验收需要的相关资料，按采购人要求的验收流程及措施对项目进行履约验收。</w:t>
      </w:r>
    </w:p>
    <w:p>
      <w:pPr>
        <w:spacing w:line="360" w:lineRule="auto"/>
        <w:jc w:val="center"/>
        <w:rPr>
          <w:rFonts w:ascii="宋体" w:hAnsi="宋体" w:eastAsia="宋体" w:cs="宋体"/>
          <w:b/>
          <w:bCs/>
          <w:sz w:val="24"/>
          <w:szCs w:val="24"/>
          <w:lang w:eastAsia="zh-CN" w:bidi="ar"/>
        </w:rPr>
      </w:pPr>
      <w:r>
        <w:rPr>
          <w:rFonts w:hint="eastAsia" w:ascii="宋体" w:hAnsi="宋体" w:eastAsia="宋体" w:cs="宋体"/>
          <w:kern w:val="2"/>
          <w:sz w:val="24"/>
          <w:szCs w:val="24"/>
          <w:lang w:eastAsia="zh-CN"/>
        </w:rPr>
        <w:br w:type="page"/>
      </w:r>
      <w:r>
        <w:rPr>
          <w:rFonts w:hint="eastAsia" w:ascii="宋体" w:hAnsi="宋体" w:eastAsia="宋体" w:cs="宋体"/>
          <w:b/>
          <w:bCs/>
          <w:sz w:val="24"/>
          <w:szCs w:val="24"/>
          <w:lang w:eastAsia="zh-CN" w:bidi="ar"/>
        </w:rPr>
        <w:t>政府采购服务履约验收书</w:t>
      </w:r>
    </w:p>
    <w:p>
      <w:pPr>
        <w:spacing w:line="360" w:lineRule="auto"/>
        <w:jc w:val="center"/>
        <w:rPr>
          <w:rFonts w:ascii="宋体" w:hAnsi="宋体" w:eastAsia="宋体" w:cs="宋体"/>
          <w:b/>
          <w:bCs/>
          <w:sz w:val="24"/>
          <w:szCs w:val="24"/>
          <w:lang w:eastAsia="zh-CN" w:bidi="ar"/>
        </w:rPr>
      </w:pPr>
      <w:r>
        <w:rPr>
          <w:rFonts w:hint="eastAsia" w:ascii="宋体" w:hAnsi="宋体" w:eastAsia="宋体" w:cs="宋体"/>
          <w:b/>
          <w:bCs/>
          <w:sz w:val="24"/>
          <w:szCs w:val="24"/>
          <w:lang w:eastAsia="zh-CN" w:bidi="ar"/>
        </w:rPr>
        <w:t>（参考格式）</w:t>
      </w:r>
    </w:p>
    <w:tbl>
      <w:tblPr>
        <w:tblStyle w:val="2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vAlign w:val="center"/>
          </w:tcPr>
          <w:p>
            <w:pPr>
              <w:widowControl/>
              <w:jc w:val="both"/>
              <w:rPr>
                <w:rFonts w:ascii="宋体" w:hAnsi="宋体" w:eastAsia="宋体" w:cs="宋体"/>
              </w:rPr>
            </w:pPr>
            <w:r>
              <w:rPr>
                <w:rFonts w:hint="eastAsia" w:ascii="宋体" w:hAnsi="宋体" w:eastAsia="宋体" w:cs="宋体"/>
                <w:sz w:val="19"/>
                <w:szCs w:val="19"/>
                <w:lang w:eastAsia="zh-CN" w:bidi="ar"/>
              </w:rPr>
              <w:t xml:space="preserve">项目名称 </w:t>
            </w:r>
          </w:p>
        </w:tc>
        <w:tc>
          <w:tcPr>
            <w:tcW w:w="6530" w:type="dxa"/>
            <w:vAlign w:val="center"/>
          </w:tcPr>
          <w:p>
            <w:pPr>
              <w:pStyle w:val="15"/>
              <w:widowControl w:val="0"/>
              <w:jc w:val="both"/>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vAlign w:val="center"/>
          </w:tcPr>
          <w:p>
            <w:pPr>
              <w:widowControl/>
              <w:jc w:val="both"/>
              <w:rPr>
                <w:rFonts w:ascii="宋体" w:hAnsi="宋体" w:eastAsia="宋体" w:cs="宋体"/>
              </w:rPr>
            </w:pPr>
            <w:r>
              <w:rPr>
                <w:rFonts w:hint="eastAsia" w:ascii="宋体" w:hAnsi="宋体" w:eastAsia="宋体" w:cs="宋体"/>
                <w:sz w:val="19"/>
                <w:szCs w:val="19"/>
                <w:lang w:eastAsia="zh-CN" w:bidi="ar"/>
              </w:rPr>
              <w:t xml:space="preserve">项目编号 </w:t>
            </w:r>
          </w:p>
        </w:tc>
        <w:tc>
          <w:tcPr>
            <w:tcW w:w="6530" w:type="dxa"/>
            <w:vAlign w:val="center"/>
          </w:tcPr>
          <w:p>
            <w:pPr>
              <w:pStyle w:val="15"/>
              <w:widowControl w:val="0"/>
              <w:jc w:val="both"/>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vAlign w:val="center"/>
          </w:tcPr>
          <w:p>
            <w:pPr>
              <w:widowControl/>
              <w:jc w:val="both"/>
              <w:rPr>
                <w:rFonts w:ascii="宋体" w:hAnsi="宋体" w:eastAsia="宋体" w:cs="宋体"/>
              </w:rPr>
            </w:pPr>
            <w:r>
              <w:rPr>
                <w:rFonts w:hint="eastAsia" w:ascii="宋体" w:hAnsi="宋体" w:eastAsia="宋体" w:cs="宋体"/>
                <w:sz w:val="19"/>
                <w:szCs w:val="19"/>
                <w:lang w:eastAsia="zh-CN" w:bidi="ar"/>
              </w:rPr>
              <w:t xml:space="preserve">采购人 </w:t>
            </w:r>
          </w:p>
        </w:tc>
        <w:tc>
          <w:tcPr>
            <w:tcW w:w="6530" w:type="dxa"/>
            <w:vAlign w:val="center"/>
          </w:tcPr>
          <w:p>
            <w:pPr>
              <w:pStyle w:val="15"/>
              <w:widowControl w:val="0"/>
              <w:jc w:val="both"/>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vAlign w:val="center"/>
          </w:tcPr>
          <w:p>
            <w:pPr>
              <w:widowControl/>
              <w:jc w:val="both"/>
              <w:rPr>
                <w:rFonts w:ascii="宋体" w:hAnsi="宋体" w:eastAsia="宋体" w:cs="宋体"/>
              </w:rPr>
            </w:pPr>
            <w:r>
              <w:rPr>
                <w:rFonts w:hint="eastAsia" w:ascii="宋体" w:hAnsi="宋体" w:eastAsia="宋体" w:cs="宋体"/>
                <w:sz w:val="19"/>
                <w:szCs w:val="19"/>
                <w:lang w:eastAsia="zh-CN" w:bidi="ar"/>
              </w:rPr>
              <w:t xml:space="preserve">使用人 </w:t>
            </w:r>
          </w:p>
        </w:tc>
        <w:tc>
          <w:tcPr>
            <w:tcW w:w="6530" w:type="dxa"/>
            <w:vAlign w:val="center"/>
          </w:tcPr>
          <w:p>
            <w:pPr>
              <w:pStyle w:val="15"/>
              <w:widowControl w:val="0"/>
              <w:jc w:val="both"/>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vAlign w:val="center"/>
          </w:tcPr>
          <w:p>
            <w:pPr>
              <w:widowControl/>
              <w:jc w:val="both"/>
              <w:rPr>
                <w:rFonts w:ascii="宋体" w:hAnsi="宋体" w:eastAsia="宋体" w:cs="宋体"/>
              </w:rPr>
            </w:pPr>
            <w:r>
              <w:rPr>
                <w:rFonts w:hint="eastAsia" w:ascii="宋体" w:hAnsi="宋体" w:eastAsia="宋体" w:cs="宋体"/>
                <w:lang w:eastAsia="zh-CN"/>
              </w:rPr>
              <w:t>供应商</w:t>
            </w:r>
          </w:p>
        </w:tc>
        <w:tc>
          <w:tcPr>
            <w:tcW w:w="6530" w:type="dxa"/>
            <w:vAlign w:val="center"/>
          </w:tcPr>
          <w:p>
            <w:pPr>
              <w:pStyle w:val="15"/>
              <w:widowControl w:val="0"/>
              <w:jc w:val="both"/>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2749" w:type="dxa"/>
            <w:vAlign w:val="center"/>
          </w:tcPr>
          <w:p>
            <w:pPr>
              <w:pStyle w:val="15"/>
              <w:widowControl w:val="0"/>
              <w:jc w:val="both"/>
              <w:rPr>
                <w:rFonts w:ascii="宋体" w:hAnsi="宋体" w:eastAsia="宋体" w:cs="宋体"/>
              </w:rPr>
            </w:pPr>
            <w:r>
              <w:rPr>
                <w:rFonts w:hint="eastAsia" w:ascii="宋体" w:hAnsi="宋体" w:eastAsia="宋体" w:cs="宋体"/>
                <w:lang w:eastAsia="zh-CN"/>
              </w:rPr>
              <w:t>验收依据</w:t>
            </w:r>
          </w:p>
        </w:tc>
        <w:tc>
          <w:tcPr>
            <w:tcW w:w="6530"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 xml:space="preserve">1.政府采购合同（合同名称及编号） </w:t>
            </w:r>
          </w:p>
          <w:p>
            <w:pPr>
              <w:pStyle w:val="15"/>
              <w:widowControl w:val="0"/>
              <w:jc w:val="both"/>
              <w:rPr>
                <w:rFonts w:ascii="宋体" w:hAnsi="宋体" w:eastAsia="宋体" w:cs="宋体"/>
                <w:lang w:eastAsia="zh-CN"/>
              </w:rPr>
            </w:pPr>
            <w:r>
              <w:rPr>
                <w:rFonts w:hint="eastAsia" w:ascii="宋体" w:hAnsi="宋体" w:eastAsia="宋体" w:cs="宋体"/>
                <w:lang w:eastAsia="zh-CN"/>
              </w:rPr>
              <w:t xml:space="preserve">2.中标（成交）公告或中标（成交）通知书 </w:t>
            </w:r>
          </w:p>
          <w:p>
            <w:pPr>
              <w:pStyle w:val="15"/>
              <w:widowControl w:val="0"/>
              <w:jc w:val="both"/>
              <w:rPr>
                <w:rFonts w:ascii="宋体" w:hAnsi="宋体" w:eastAsia="宋体" w:cs="宋体"/>
                <w:lang w:eastAsia="zh-CN"/>
              </w:rPr>
            </w:pPr>
            <w:r>
              <w:rPr>
                <w:rFonts w:hint="eastAsia" w:ascii="宋体" w:hAnsi="宋体" w:eastAsia="宋体" w:cs="宋体"/>
                <w:lang w:eastAsia="zh-CN"/>
              </w:rPr>
              <w:t xml:space="preserve">3.招标（磋商、谈判）文件或询价通知书 </w:t>
            </w:r>
          </w:p>
          <w:p>
            <w:pPr>
              <w:pStyle w:val="15"/>
              <w:widowControl w:val="0"/>
              <w:jc w:val="both"/>
              <w:rPr>
                <w:rFonts w:ascii="宋体" w:hAnsi="宋体" w:eastAsia="宋体" w:cs="宋体"/>
                <w:lang w:eastAsia="zh-CN"/>
              </w:rPr>
            </w:pPr>
            <w:r>
              <w:rPr>
                <w:rFonts w:hint="eastAsia" w:ascii="宋体" w:hAnsi="宋体" w:eastAsia="宋体" w:cs="宋体"/>
                <w:lang w:eastAsia="zh-CN"/>
              </w:rPr>
              <w:t xml:space="preserve">4.投标（响应）文件 </w:t>
            </w:r>
          </w:p>
          <w:p>
            <w:pPr>
              <w:pStyle w:val="15"/>
              <w:widowControl w:val="0"/>
              <w:jc w:val="both"/>
              <w:rPr>
                <w:rFonts w:ascii="宋体" w:hAnsi="宋体" w:eastAsia="宋体" w:cs="宋体"/>
                <w:lang w:eastAsia="zh-CN"/>
              </w:rPr>
            </w:pPr>
            <w:r>
              <w:rPr>
                <w:rFonts w:hint="eastAsia" w:ascii="宋体" w:hAnsi="宋体" w:eastAsia="宋体" w:cs="宋体"/>
                <w:lang w:eastAsia="zh-CN"/>
              </w:rPr>
              <w:t xml:space="preserve">5.供应商的承诺、声明或保证（如有） </w:t>
            </w:r>
          </w:p>
          <w:p>
            <w:pPr>
              <w:pStyle w:val="15"/>
              <w:widowControl w:val="0"/>
              <w:jc w:val="both"/>
              <w:rPr>
                <w:rFonts w:ascii="宋体" w:hAnsi="宋体" w:eastAsia="宋体" w:cs="宋体"/>
                <w:lang w:eastAsia="zh-CN"/>
              </w:rPr>
            </w:pPr>
            <w:r>
              <w:rPr>
                <w:rFonts w:hint="eastAsia" w:ascii="宋体" w:hAnsi="宋体" w:eastAsia="宋体" w:cs="宋体"/>
                <w:lang w:eastAsia="zh-CN"/>
              </w:rPr>
              <w:t>注：验收依据可根据项目具体情况适当增加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749"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供应商对履约情况的总结及提供的相关证明材料</w:t>
            </w:r>
          </w:p>
        </w:tc>
        <w:tc>
          <w:tcPr>
            <w:tcW w:w="6530"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注：供应商根据采购合同的约定，对履约情况（包括但不限于采购合同中约定的服务内容、服务要求、服务质量、人员配置、服务成果、服务成果的交付等）进行总结，并提供相应的履约证明材料作为附件。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采购人（使用人）对履约情况的确认</w:t>
            </w:r>
          </w:p>
        </w:tc>
        <w:tc>
          <w:tcPr>
            <w:tcW w:w="6530"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注：采购人或使用人根据采购合同约定，对供应商履约情况进行逐一确认。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vAlign w:val="center"/>
          </w:tcPr>
          <w:p>
            <w:pPr>
              <w:pStyle w:val="15"/>
              <w:widowControl w:val="0"/>
              <w:jc w:val="both"/>
              <w:rPr>
                <w:rFonts w:ascii="宋体" w:hAnsi="宋体" w:eastAsia="宋体" w:cs="宋体"/>
              </w:rPr>
            </w:pPr>
            <w:r>
              <w:rPr>
                <w:rFonts w:hint="eastAsia" w:ascii="宋体" w:hAnsi="宋体" w:eastAsia="宋体" w:cs="宋体"/>
                <w:lang w:eastAsia="zh-CN"/>
              </w:rPr>
              <w:t>验收人员名单及组成</w:t>
            </w:r>
          </w:p>
        </w:tc>
        <w:tc>
          <w:tcPr>
            <w:tcW w:w="6530"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 xml:space="preserve">1. 采购人代表： </w:t>
            </w:r>
          </w:p>
          <w:p>
            <w:pPr>
              <w:pStyle w:val="15"/>
              <w:widowControl w:val="0"/>
              <w:jc w:val="both"/>
              <w:rPr>
                <w:rFonts w:ascii="宋体" w:hAnsi="宋体" w:eastAsia="宋体" w:cs="宋体"/>
                <w:lang w:eastAsia="zh-CN"/>
              </w:rPr>
            </w:pPr>
            <w:r>
              <w:rPr>
                <w:rFonts w:hint="eastAsia" w:ascii="宋体" w:hAnsi="宋体" w:eastAsia="宋体" w:cs="宋体"/>
                <w:lang w:eastAsia="zh-CN"/>
              </w:rPr>
              <w:t xml:space="preserve">2. 采购代理机构代表： </w:t>
            </w:r>
          </w:p>
          <w:p>
            <w:pPr>
              <w:pStyle w:val="15"/>
              <w:widowControl w:val="0"/>
              <w:jc w:val="both"/>
              <w:rPr>
                <w:rFonts w:ascii="宋体" w:hAnsi="宋体" w:eastAsia="宋体" w:cs="宋体"/>
                <w:lang w:eastAsia="zh-CN"/>
              </w:rPr>
            </w:pPr>
            <w:r>
              <w:rPr>
                <w:rFonts w:hint="eastAsia" w:ascii="宋体" w:hAnsi="宋体" w:eastAsia="宋体" w:cs="宋体"/>
                <w:lang w:eastAsia="zh-CN"/>
              </w:rPr>
              <w:t xml:space="preserve">3. 第三方专业机构代表及专家： </w:t>
            </w:r>
          </w:p>
          <w:p>
            <w:pPr>
              <w:pStyle w:val="15"/>
              <w:widowControl w:val="0"/>
              <w:jc w:val="both"/>
              <w:rPr>
                <w:rFonts w:ascii="宋体" w:hAnsi="宋体" w:eastAsia="宋体" w:cs="宋体"/>
              </w:rPr>
            </w:pPr>
            <w:r>
              <w:rPr>
                <w:rFonts w:hint="eastAsia" w:ascii="宋体" w:hAnsi="宋体" w:eastAsia="宋体" w:cs="宋体"/>
                <w:lang w:eastAsia="zh-CN"/>
              </w:rPr>
              <w:t>4. 其他供应商代表：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vAlign w:val="center"/>
          </w:tcPr>
          <w:p>
            <w:pPr>
              <w:pStyle w:val="15"/>
              <w:widowControl w:val="0"/>
              <w:jc w:val="both"/>
              <w:rPr>
                <w:rFonts w:ascii="宋体" w:hAnsi="宋体" w:eastAsia="宋体" w:cs="宋体"/>
              </w:rPr>
            </w:pPr>
            <w:r>
              <w:rPr>
                <w:rFonts w:hint="eastAsia" w:ascii="宋体" w:hAnsi="宋体" w:eastAsia="宋体" w:cs="宋体"/>
                <w:lang w:eastAsia="zh-CN"/>
              </w:rPr>
              <w:t>验收评价及结论</w:t>
            </w:r>
          </w:p>
        </w:tc>
        <w:tc>
          <w:tcPr>
            <w:tcW w:w="6530"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 xml:space="preserve">评价： </w:t>
            </w:r>
          </w:p>
          <w:p>
            <w:pPr>
              <w:pStyle w:val="15"/>
              <w:widowControl w:val="0"/>
              <w:jc w:val="both"/>
              <w:rPr>
                <w:rFonts w:ascii="宋体" w:hAnsi="宋体" w:eastAsia="宋体" w:cs="宋体"/>
                <w:lang w:eastAsia="zh-CN"/>
              </w:rPr>
            </w:pPr>
            <w:r>
              <w:rPr>
                <w:rFonts w:hint="eastAsia" w:ascii="宋体" w:hAnsi="宋体" w:eastAsia="宋体" w:cs="宋体"/>
                <w:lang w:eastAsia="zh-CN"/>
              </w:rPr>
              <w:t>结论：☐通过 ☐不通过，具体说明：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vAlign w:val="center"/>
          </w:tcPr>
          <w:p>
            <w:pPr>
              <w:pStyle w:val="15"/>
              <w:widowControl w:val="0"/>
              <w:jc w:val="both"/>
              <w:rPr>
                <w:rFonts w:ascii="宋体" w:hAnsi="宋体" w:eastAsia="宋体" w:cs="宋体"/>
              </w:rPr>
            </w:pPr>
            <w:r>
              <w:rPr>
                <w:rFonts w:hint="eastAsia" w:ascii="宋体" w:hAnsi="宋体" w:eastAsia="宋体" w:cs="宋体"/>
                <w:lang w:eastAsia="zh-CN"/>
              </w:rPr>
              <w:t>验收人员签字</w:t>
            </w:r>
          </w:p>
        </w:tc>
        <w:tc>
          <w:tcPr>
            <w:tcW w:w="6530" w:type="dxa"/>
            <w:vAlign w:val="center"/>
          </w:tcPr>
          <w:p>
            <w:pPr>
              <w:pStyle w:val="15"/>
              <w:widowControl w:val="0"/>
              <w:ind w:firstLine="5163" w:firstLineChars="2459"/>
              <w:jc w:val="both"/>
              <w:rPr>
                <w:rFonts w:ascii="宋体" w:hAnsi="宋体" w:eastAsia="宋体" w:cs="宋体"/>
              </w:rPr>
            </w:pPr>
            <w:r>
              <w:rPr>
                <w:rFonts w:hint="eastAsia" w:ascii="宋体" w:hAnsi="宋体" w:eastAsia="宋体" w:cs="宋体"/>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采购人确认意（注：采购人委托代理机构验收时适用）</w:t>
            </w:r>
          </w:p>
        </w:tc>
        <w:tc>
          <w:tcPr>
            <w:tcW w:w="6530" w:type="dxa"/>
            <w:vAlign w:val="center"/>
          </w:tcPr>
          <w:p>
            <w:pPr>
              <w:pStyle w:val="15"/>
              <w:widowControl w:val="0"/>
              <w:jc w:val="both"/>
              <w:rPr>
                <w:rFonts w:ascii="宋体" w:hAnsi="宋体" w:eastAsia="宋体" w:cs="宋体"/>
                <w:lang w:eastAsia="zh-CN"/>
              </w:rPr>
            </w:pPr>
            <w:r>
              <w:rPr>
                <w:rFonts w:hint="eastAsia" w:ascii="宋体" w:hAnsi="宋体" w:eastAsia="宋体" w:cs="宋体"/>
                <w:lang w:eastAsia="zh-CN"/>
              </w:rPr>
              <w:t xml:space="preserve">☐同意验收结论。 </w:t>
            </w:r>
          </w:p>
          <w:p>
            <w:pPr>
              <w:pStyle w:val="15"/>
              <w:widowControl w:val="0"/>
              <w:jc w:val="both"/>
              <w:rPr>
                <w:rFonts w:ascii="宋体" w:hAnsi="宋体" w:eastAsia="宋体" w:cs="宋体"/>
              </w:rPr>
            </w:pPr>
            <w:r>
              <w:rPr>
                <w:rFonts w:hint="eastAsia" w:ascii="宋体" w:hAnsi="宋体" w:eastAsia="宋体" w:cs="宋体"/>
                <w:lang w:eastAsia="zh-CN"/>
              </w:rPr>
              <w:t xml:space="preserve">☐不同意验收结论。具体说明： </w:t>
            </w:r>
          </w:p>
          <w:p>
            <w:pPr>
              <w:pStyle w:val="15"/>
              <w:widowControl w:val="0"/>
              <w:ind w:firstLine="5250" w:firstLineChars="2500"/>
              <w:jc w:val="both"/>
              <w:rPr>
                <w:rFonts w:ascii="宋体" w:hAnsi="宋体" w:eastAsia="宋体" w:cs="宋体"/>
              </w:rPr>
            </w:pPr>
            <w:r>
              <w:rPr>
                <w:rFonts w:hint="eastAsia" w:ascii="宋体" w:hAnsi="宋体" w:eastAsia="宋体" w:cs="宋体"/>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749" w:type="dxa"/>
            <w:vAlign w:val="center"/>
          </w:tcPr>
          <w:p>
            <w:pPr>
              <w:pStyle w:val="15"/>
              <w:widowControl w:val="0"/>
              <w:jc w:val="both"/>
              <w:rPr>
                <w:rFonts w:ascii="宋体" w:hAnsi="宋体" w:eastAsia="宋体" w:cs="宋体"/>
              </w:rPr>
            </w:pPr>
            <w:r>
              <w:rPr>
                <w:rFonts w:hint="eastAsia" w:ascii="宋体" w:hAnsi="宋体" w:eastAsia="宋体" w:cs="宋体"/>
                <w:lang w:eastAsia="zh-CN"/>
              </w:rPr>
              <w:t>备注</w:t>
            </w:r>
          </w:p>
        </w:tc>
        <w:tc>
          <w:tcPr>
            <w:tcW w:w="6530" w:type="dxa"/>
            <w:vAlign w:val="center"/>
          </w:tcPr>
          <w:p>
            <w:pPr>
              <w:pStyle w:val="15"/>
              <w:widowControl w:val="0"/>
              <w:jc w:val="both"/>
              <w:rPr>
                <w:rFonts w:ascii="宋体" w:hAnsi="宋体" w:eastAsia="宋体" w:cs="宋体"/>
              </w:rPr>
            </w:pPr>
          </w:p>
        </w:tc>
      </w:tr>
    </w:tbl>
    <w:p>
      <w:pPr>
        <w:rPr>
          <w:rFonts w:ascii="宋体" w:hAnsi="宋体" w:eastAsia="宋体" w:cs="宋体"/>
          <w:sz w:val="19"/>
          <w:szCs w:val="19"/>
          <w:lang w:eastAsia="zh-CN" w:bidi="ar"/>
        </w:rPr>
      </w:pPr>
    </w:p>
    <w:p>
      <w:pPr>
        <w:rPr>
          <w:rFonts w:ascii="宋体" w:hAnsi="宋体" w:eastAsia="宋体" w:cs="宋体"/>
          <w:lang w:eastAsia="zh-CN"/>
        </w:rPr>
      </w:pPr>
      <w:r>
        <w:rPr>
          <w:rFonts w:hint="eastAsia" w:ascii="宋体" w:hAnsi="宋体" w:eastAsia="宋体" w:cs="宋体"/>
          <w:lang w:eastAsia="zh-CN" w:bidi="ar"/>
        </w:rPr>
        <w:t xml:space="preserve">采购人代表签字：                                     供应商代表签字： </w:t>
      </w:r>
    </w:p>
    <w:p>
      <w:pPr>
        <w:rPr>
          <w:rFonts w:ascii="宋体" w:hAnsi="宋体" w:eastAsia="宋体" w:cs="宋体"/>
          <w:lang w:eastAsia="zh-CN" w:bidi="ar"/>
        </w:rPr>
      </w:pPr>
    </w:p>
    <w:p>
      <w:pPr>
        <w:widowControl w:val="0"/>
        <w:kinsoku/>
        <w:autoSpaceDE/>
        <w:autoSpaceDN/>
        <w:adjustRightInd/>
        <w:snapToGrid/>
        <w:spacing w:line="360" w:lineRule="auto"/>
        <w:jc w:val="center"/>
        <w:rPr>
          <w:rFonts w:ascii="宋体" w:hAnsi="宋体" w:eastAsia="宋体" w:cs="宋体"/>
          <w:kern w:val="2"/>
          <w:sz w:val="24"/>
          <w:szCs w:val="24"/>
          <w:lang w:eastAsia="zh-CN"/>
        </w:rPr>
      </w:pPr>
      <w:r>
        <w:rPr>
          <w:rFonts w:hint="eastAsia" w:ascii="宋体" w:hAnsi="宋体" w:eastAsia="宋体" w:cs="宋体"/>
          <w:lang w:eastAsia="zh-CN" w:bidi="ar"/>
        </w:rPr>
        <w:t>年   月   日                                         年   月   日</w:t>
      </w:r>
    </w:p>
    <w:p>
      <w:pPr>
        <w:widowControl w:val="0"/>
        <w:kinsoku/>
        <w:autoSpaceDE/>
        <w:autoSpaceDN/>
        <w:adjustRightInd/>
        <w:snapToGrid/>
        <w:spacing w:line="360" w:lineRule="auto"/>
        <w:ind w:firstLine="480" w:firstLineChars="200"/>
        <w:rPr>
          <w:rFonts w:ascii="宋体" w:hAnsi="宋体" w:eastAsia="宋体" w:cs="宋体"/>
          <w:sz w:val="24"/>
          <w:szCs w:val="24"/>
          <w:lang w:eastAsia="zh-CN"/>
        </w:rPr>
        <w:sectPr>
          <w:footerReference r:id="rId10" w:type="default"/>
          <w:pgSz w:w="11900" w:h="16838"/>
          <w:pgMar w:top="1134" w:right="1134" w:bottom="1134" w:left="1134" w:header="0" w:footer="850" w:gutter="0"/>
          <w:cols w:space="720" w:num="1"/>
        </w:sectPr>
      </w:pPr>
    </w:p>
    <w:p>
      <w:pPr>
        <w:kinsoku/>
        <w:spacing w:line="360" w:lineRule="auto"/>
        <w:jc w:val="center"/>
        <w:outlineLvl w:val="0"/>
        <w:rPr>
          <w:rFonts w:ascii="宋体" w:eastAsia="宋体" w:cs="宋体"/>
          <w:color w:val="auto"/>
          <w:sz w:val="24"/>
          <w:szCs w:val="24"/>
          <w:lang w:eastAsia="zh-CN"/>
        </w:rPr>
      </w:pPr>
      <w:bookmarkStart w:id="44" w:name="_Toc19580"/>
      <w:r>
        <w:rPr>
          <w:rFonts w:hint="eastAsia" w:ascii="宋体" w:eastAsia="宋体" w:cs="宋体"/>
          <w:b/>
          <w:bCs/>
          <w:color w:val="auto"/>
          <w:sz w:val="28"/>
          <w:szCs w:val="28"/>
          <w:lang w:eastAsia="zh-CN"/>
        </w:rPr>
        <w:t>第七章  响应文件格式与要求</w:t>
      </w:r>
      <w:bookmarkEnd w:id="44"/>
    </w:p>
    <w:p>
      <w:pPr>
        <w:kinsoku/>
        <w:spacing w:line="360" w:lineRule="auto"/>
        <w:ind w:firstLine="480" w:firstLineChars="200"/>
        <w:jc w:val="both"/>
        <w:rPr>
          <w:rFonts w:ascii="宋体" w:eastAsia="宋体" w:cs="宋体"/>
          <w:color w:val="auto"/>
          <w:sz w:val="24"/>
          <w:szCs w:val="24"/>
          <w:lang w:eastAsia="zh-CN"/>
        </w:rPr>
      </w:pPr>
      <w:r>
        <w:rPr>
          <w:rFonts w:hint="eastAsia" w:ascii="宋体" w:eastAsia="宋体" w:cs="宋体"/>
          <w:color w:val="auto"/>
          <w:sz w:val="24"/>
          <w:szCs w:val="24"/>
          <w:lang w:eastAsia="zh-CN"/>
        </w:rPr>
        <w:t>供应商按照以下格式编制响应文件。</w:t>
      </w:r>
    </w:p>
    <w:p>
      <w:pPr>
        <w:kinsoku/>
        <w:spacing w:line="360" w:lineRule="auto"/>
        <w:ind w:firstLine="480" w:firstLineChars="200"/>
        <w:rPr>
          <w:rFonts w:ascii="宋体" w:eastAsia="宋体" w:cs="宋体"/>
          <w:color w:val="auto"/>
          <w:sz w:val="24"/>
          <w:szCs w:val="24"/>
          <w:lang w:eastAsia="zh-CN"/>
        </w:rPr>
        <w:sectPr>
          <w:footerReference r:id="rId11" w:type="default"/>
          <w:pgSz w:w="11906" w:h="16838"/>
          <w:pgMar w:top="1440" w:right="1080" w:bottom="1440" w:left="1080" w:header="0" w:footer="850" w:gutter="0"/>
          <w:cols w:space="0" w:num="1"/>
          <w:docGrid w:linePitch="312" w:charSpace="0"/>
        </w:sectPr>
      </w:pPr>
    </w:p>
    <w:p>
      <w:pPr>
        <w:kinsoku/>
        <w:spacing w:line="360" w:lineRule="auto"/>
        <w:ind w:firstLine="560" w:firstLineChars="200"/>
        <w:rPr>
          <w:rFonts w:ascii="宋体" w:eastAsia="宋体" w:cs="宋体"/>
          <w:color w:val="auto"/>
          <w:sz w:val="28"/>
          <w:szCs w:val="28"/>
          <w:lang w:eastAsia="zh-CN"/>
        </w:rPr>
      </w:pPr>
      <w:r>
        <w:rPr>
          <w:rFonts w:hint="eastAsia" w:ascii="宋体" w:eastAsia="宋体" w:cs="宋体"/>
          <w:color w:val="auto"/>
          <w:sz w:val="28"/>
          <w:szCs w:val="28"/>
          <w:lang w:eastAsia="zh-CN"/>
        </w:rPr>
        <w:t>响应文件封面格式：</w:t>
      </w: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ind w:firstLine="722" w:firstLineChars="200"/>
        <w:jc w:val="center"/>
        <w:rPr>
          <w:rFonts w:ascii="宋体" w:eastAsia="宋体" w:cs="宋体"/>
          <w:b/>
          <w:bCs/>
          <w:color w:val="auto"/>
          <w:sz w:val="36"/>
          <w:szCs w:val="36"/>
          <w:lang w:eastAsia="zh-CN"/>
        </w:rPr>
      </w:pPr>
    </w:p>
    <w:p>
      <w:pPr>
        <w:kinsoku/>
        <w:spacing w:line="360" w:lineRule="auto"/>
        <w:jc w:val="center"/>
        <w:rPr>
          <w:rFonts w:ascii="宋体" w:eastAsia="宋体" w:cs="宋体"/>
          <w:b/>
          <w:bCs/>
          <w:color w:val="auto"/>
          <w:sz w:val="36"/>
          <w:szCs w:val="36"/>
          <w:lang w:eastAsia="zh-CN"/>
        </w:rPr>
      </w:pPr>
      <w:r>
        <w:rPr>
          <w:rFonts w:hint="eastAsia" w:ascii="宋体" w:eastAsia="宋体" w:cs="宋体"/>
          <w:b/>
          <w:bCs/>
          <w:color w:val="auto"/>
          <w:sz w:val="36"/>
          <w:szCs w:val="36"/>
          <w:lang w:eastAsia="zh-CN"/>
        </w:rPr>
        <w:t>（项目名称）</w:t>
      </w:r>
    </w:p>
    <w:p>
      <w:pPr>
        <w:kinsoku/>
        <w:spacing w:line="360" w:lineRule="auto"/>
        <w:jc w:val="center"/>
        <w:rPr>
          <w:rFonts w:ascii="宋体" w:eastAsia="宋体" w:cs="宋体"/>
          <w:color w:val="auto"/>
          <w:sz w:val="24"/>
          <w:szCs w:val="24"/>
          <w:lang w:eastAsia="zh-CN"/>
        </w:rPr>
      </w:pPr>
      <w:r>
        <w:rPr>
          <w:rFonts w:hint="eastAsia" w:ascii="宋体" w:eastAsia="宋体" w:cs="宋体"/>
          <w:b/>
          <w:bCs/>
          <w:color w:val="auto"/>
          <w:sz w:val="36"/>
          <w:szCs w:val="36"/>
          <w:lang w:eastAsia="zh-CN"/>
        </w:rPr>
        <w:t>响应文件</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包    号：第    包（项目划分采购包时使用）</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12" w:type="default"/>
          <w:pgSz w:w="11906" w:h="16838"/>
          <w:pgMar w:top="1440" w:right="1080" w:bottom="1440" w:left="1080" w:header="0" w:footer="850" w:gutter="0"/>
          <w:cols w:space="0" w:num="1"/>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响应文件目录格式：</w:t>
      </w:r>
    </w:p>
    <w:p>
      <w:pPr>
        <w:kinsoku/>
        <w:spacing w:line="360" w:lineRule="auto"/>
        <w:ind w:firstLine="480" w:firstLineChars="200"/>
        <w:jc w:val="center"/>
        <w:rPr>
          <w:rFonts w:ascii="宋体" w:eastAsia="宋体" w:cs="宋体"/>
          <w:color w:val="auto"/>
          <w:sz w:val="24"/>
          <w:szCs w:val="24"/>
          <w:lang w:eastAsia="zh-CN"/>
        </w:rPr>
      </w:pPr>
      <w:r>
        <w:rPr>
          <w:rFonts w:hint="eastAsia" w:ascii="宋体" w:eastAsia="宋体" w:cs="宋体"/>
          <w:color w:val="auto"/>
          <w:sz w:val="24"/>
          <w:szCs w:val="24"/>
          <w:lang w:eastAsia="zh-CN"/>
        </w:rPr>
        <w:t>目  录</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一、响应承诺书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二、首轮报价表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三、分项报价表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四、授权委托书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五、缴纳磋商保证金证明材料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六、供应商基本情况表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七、具有独立承担民事责任的能力的证明材料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八、具有良好的商业信誉和健全的财务会计制度的相关材料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九、依法缴纳税收和社会保障资金的良好记录的相关材料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十、具有履行合同所必需的设备和专业技术能力的相关材料</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十一、参加政府采购活动前三年内在经营活动中没有重大违法记录的书面声明</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十二、联合体协议书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十三、中小企业声明函</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十四、监狱企业证明文件</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十五、残疾人福利性单位声明函</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十六、主要商务要求承诺书</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十七、技术偏离表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十八、项目组成人员一览表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十九、项目实施方案、质量保证及售后服务承诺等</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二十、供应商业绩情况表</w:t>
      </w:r>
    </w:p>
    <w:p>
      <w:pPr>
        <w:kinsoku/>
        <w:spacing w:line="360" w:lineRule="auto"/>
        <w:ind w:firstLine="440" w:firstLineChars="200"/>
        <w:rPr>
          <w:rFonts w:ascii="宋体" w:eastAsia="宋体" w:cs="宋体"/>
          <w:color w:val="auto"/>
          <w:sz w:val="22"/>
          <w:szCs w:val="22"/>
          <w:lang w:eastAsia="zh-CN"/>
        </w:rPr>
      </w:pPr>
      <w:r>
        <w:rPr>
          <w:rFonts w:hint="eastAsia" w:ascii="宋体" w:eastAsia="宋体" w:cs="宋体"/>
          <w:color w:val="auto"/>
          <w:sz w:val="22"/>
          <w:szCs w:val="22"/>
          <w:lang w:eastAsia="zh-CN"/>
        </w:rPr>
        <w:t>二十一、其他证明材料</w:t>
      </w:r>
    </w:p>
    <w:p>
      <w:pPr>
        <w:kinsoku/>
        <w:spacing w:line="360" w:lineRule="auto"/>
        <w:ind w:firstLine="440" w:firstLineChars="200"/>
        <w:rPr>
          <w:rFonts w:ascii="宋体" w:eastAsia="宋体" w:cs="宋体"/>
          <w:color w:val="auto"/>
          <w:sz w:val="22"/>
          <w:szCs w:val="22"/>
          <w:lang w:eastAsia="zh-CN"/>
        </w:rPr>
      </w:pPr>
    </w:p>
    <w:p>
      <w:pPr>
        <w:kinsoku/>
        <w:spacing w:line="360" w:lineRule="auto"/>
        <w:ind w:firstLine="480" w:firstLineChars="200"/>
        <w:rPr>
          <w:rFonts w:ascii="宋体" w:eastAsia="宋体" w:cs="宋体"/>
          <w:color w:val="auto"/>
          <w:sz w:val="24"/>
          <w:szCs w:val="24"/>
          <w:lang w:eastAsia="zh-CN"/>
        </w:rPr>
        <w:sectPr>
          <w:footerReference r:id="rId13" w:type="default"/>
          <w:pgSz w:w="11906" w:h="16838"/>
          <w:pgMar w:top="1440" w:right="1080" w:bottom="1440" w:left="1080" w:header="0" w:footer="850" w:gutter="0"/>
          <w:cols w:space="0" w:num="1"/>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响应文件正文格式：</w:t>
      </w:r>
    </w:p>
    <w:p>
      <w:pPr>
        <w:kinsoku/>
        <w:spacing w:line="360" w:lineRule="auto"/>
        <w:jc w:val="center"/>
        <w:outlineLvl w:val="1"/>
        <w:rPr>
          <w:rFonts w:ascii="宋体" w:eastAsia="宋体" w:cs="宋体"/>
          <w:color w:val="auto"/>
          <w:sz w:val="24"/>
          <w:szCs w:val="24"/>
          <w:lang w:eastAsia="zh-CN"/>
        </w:rPr>
      </w:pPr>
      <w:bookmarkStart w:id="45" w:name="_Toc5387"/>
      <w:r>
        <w:rPr>
          <w:rFonts w:hint="eastAsia" w:ascii="宋体" w:eastAsia="宋体" w:cs="宋体"/>
          <w:b/>
          <w:bCs/>
          <w:color w:val="auto"/>
          <w:sz w:val="28"/>
          <w:szCs w:val="28"/>
          <w:lang w:eastAsia="zh-CN"/>
        </w:rPr>
        <w:t>一、响应承诺书</w:t>
      </w:r>
      <w:bookmarkEnd w:id="45"/>
    </w:p>
    <w:p>
      <w:pPr>
        <w:kinsoku/>
        <w:spacing w:line="440" w:lineRule="exact"/>
        <w:rPr>
          <w:rFonts w:ascii="宋体" w:eastAsia="宋体" w:cs="宋体"/>
          <w:color w:val="auto"/>
          <w:sz w:val="24"/>
          <w:szCs w:val="24"/>
          <w:lang w:eastAsia="zh-CN"/>
        </w:rPr>
      </w:pPr>
      <w:r>
        <w:rPr>
          <w:rFonts w:hint="eastAsia" w:ascii="宋体" w:eastAsia="宋体" w:cs="宋体"/>
          <w:color w:val="auto"/>
          <w:sz w:val="24"/>
          <w:szCs w:val="24"/>
          <w:lang w:eastAsia="zh-CN"/>
        </w:rPr>
        <w:t>致：</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（采购单位名称和采购代理机构名称）</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你方组织的</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，我方自愿参与，并就有关事项郑重承诺如下：</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一、我方完全理解并接受该项目磋商文件的所有要求。</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二、我方严格遵守《中华人民共和国政府采购法》《中华人民共和国民法典》及相关法律、法规的规定，如有违反，承担相应的法律责任。</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三、我方在报价表中的报价为响应总报价。</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四、我方同意提供贵方要求的与磋商有关的任何数据和资料。</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五、我方将按照磋商文件、响应文件等要求，签订并严格执行政府采购合同。</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七、我方承诺未为本项目提供整体设计、规范编制或者项目管理、监理、检测等服务。</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八、我方提供的响应文件内容全部真实有效，如有虚假或隐瞒，我方愿意承担一切法律责任。</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九、若我方成交，愿意按有关规定及磋商文件要求缴纳代理服务费。若采购人支付代理服务费，则此条不适用。</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详细地址：</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邮政编码：</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电    话：</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电子邮箱：</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供应商开户银行：</w:t>
      </w:r>
    </w:p>
    <w:p>
      <w:pPr>
        <w:kinsoku/>
        <w:spacing w:line="44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账号/行号：</w:t>
      </w:r>
    </w:p>
    <w:p>
      <w:pPr>
        <w:kinsoku/>
        <w:spacing w:line="440" w:lineRule="exact"/>
        <w:ind w:firstLine="4080" w:firstLineChars="17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440" w:lineRule="exact"/>
        <w:ind w:firstLine="4080" w:firstLineChars="1700"/>
        <w:rPr>
          <w:rFonts w:ascii="宋体" w:eastAsia="宋体" w:cs="宋体"/>
          <w:color w:val="auto"/>
          <w:sz w:val="24"/>
          <w:szCs w:val="24"/>
          <w:lang w:eastAsia="zh-CN"/>
        </w:rPr>
      </w:pPr>
      <w:r>
        <w:rPr>
          <w:rFonts w:hint="eastAsia" w:ascii="宋体" w:eastAsia="宋体" w:cs="宋体"/>
          <w:color w:val="auto"/>
          <w:sz w:val="24"/>
          <w:szCs w:val="24"/>
          <w:lang w:eastAsia="zh-CN"/>
        </w:rPr>
        <w:t>法定代表人或授权委托人（</w:t>
      </w:r>
      <w:r>
        <w:rPr>
          <w:rFonts w:hint="eastAsia" w:ascii="宋体" w:hAnsi="宋体" w:eastAsia="宋体" w:cs="宋体"/>
          <w:color w:val="auto"/>
          <w:sz w:val="24"/>
          <w:szCs w:val="24"/>
          <w:lang w:eastAsia="zh-CN"/>
        </w:rPr>
        <w:t>签字/盖章</w:t>
      </w:r>
      <w:r>
        <w:rPr>
          <w:rFonts w:hint="eastAsia" w:ascii="宋体" w:eastAsia="宋体" w:cs="宋体"/>
          <w:color w:val="auto"/>
          <w:sz w:val="24"/>
          <w:szCs w:val="24"/>
          <w:lang w:eastAsia="zh-CN"/>
        </w:rPr>
        <w:t>）：</w:t>
      </w:r>
    </w:p>
    <w:p>
      <w:pPr>
        <w:kinsoku/>
        <w:spacing w:line="440" w:lineRule="exact"/>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440" w:lineRule="exact"/>
        <w:ind w:firstLine="480" w:firstLineChars="200"/>
        <w:rPr>
          <w:rFonts w:ascii="宋体" w:eastAsia="宋体" w:cs="宋体"/>
          <w:color w:val="auto"/>
          <w:sz w:val="24"/>
          <w:szCs w:val="24"/>
          <w:lang w:eastAsia="zh-CN"/>
        </w:rPr>
        <w:sectPr>
          <w:footerReference r:id="rId14" w:type="default"/>
          <w:pgSz w:w="11906" w:h="16838"/>
          <w:pgMar w:top="1440" w:right="1080" w:bottom="1440" w:left="1080" w:header="0" w:footer="850" w:gutter="0"/>
          <w:cols w:space="0" w:num="1"/>
          <w:docGrid w:linePitch="312" w:charSpace="0"/>
        </w:sectPr>
      </w:pPr>
    </w:p>
    <w:p>
      <w:pPr>
        <w:kinsoku/>
        <w:spacing w:line="360" w:lineRule="auto"/>
        <w:jc w:val="center"/>
        <w:outlineLvl w:val="1"/>
        <w:rPr>
          <w:rFonts w:ascii="宋体" w:eastAsia="宋体" w:cs="宋体"/>
          <w:color w:val="auto"/>
          <w:sz w:val="24"/>
          <w:szCs w:val="24"/>
          <w:lang w:eastAsia="zh-CN"/>
        </w:rPr>
      </w:pPr>
      <w:bookmarkStart w:id="46" w:name="_Toc12577"/>
      <w:r>
        <w:rPr>
          <w:rFonts w:hint="eastAsia" w:ascii="宋体" w:eastAsia="宋体" w:cs="宋体"/>
          <w:b/>
          <w:bCs/>
          <w:color w:val="auto"/>
          <w:sz w:val="28"/>
          <w:szCs w:val="28"/>
          <w:lang w:eastAsia="zh-CN"/>
        </w:rPr>
        <w:t>二、首轮报价表</w:t>
      </w:r>
      <w:bookmarkEnd w:id="46"/>
    </w:p>
    <w:p>
      <w:pPr>
        <w:kinsoku/>
        <w:spacing w:line="360" w:lineRule="auto"/>
        <w:ind w:firstLine="480" w:firstLineChars="200"/>
        <w:jc w:val="center"/>
        <w:rPr>
          <w:rFonts w:ascii="宋体" w:eastAsia="宋体" w:cs="宋体"/>
          <w:color w:val="auto"/>
          <w:sz w:val="24"/>
          <w:szCs w:val="24"/>
          <w:lang w:eastAsia="zh-CN"/>
        </w:rPr>
      </w:pPr>
    </w:p>
    <w:p>
      <w:pPr>
        <w:kinsoku/>
        <w:spacing w:line="360" w:lineRule="auto"/>
        <w:jc w:val="center"/>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项目编号：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项目名称：</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供应商名称：</w:t>
      </w:r>
    </w:p>
    <w:tbl>
      <w:tblPr>
        <w:tblStyle w:val="20"/>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723"/>
        <w:gridCol w:w="2243"/>
        <w:gridCol w:w="1763"/>
        <w:gridCol w:w="1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2723" w:type="dxa"/>
            <w:vAlign w:val="center"/>
          </w:tcPr>
          <w:p>
            <w:pPr>
              <w:jc w:val="center"/>
              <w:rPr>
                <w:rFonts w:ascii="宋体" w:eastAsia="宋体" w:cs="宋体"/>
                <w:color w:val="auto"/>
                <w:sz w:val="24"/>
                <w:szCs w:val="24"/>
              </w:rPr>
            </w:pPr>
            <w:r>
              <w:rPr>
                <w:rFonts w:hint="eastAsia" w:ascii="宋体" w:eastAsia="宋体" w:cs="宋体"/>
                <w:color w:val="auto"/>
                <w:sz w:val="24"/>
                <w:szCs w:val="24"/>
              </w:rPr>
              <w:t>采购项目名称/包名称</w:t>
            </w:r>
          </w:p>
        </w:tc>
        <w:tc>
          <w:tcPr>
            <w:tcW w:w="2243" w:type="dxa"/>
            <w:vAlign w:val="center"/>
          </w:tcPr>
          <w:p>
            <w:pPr>
              <w:jc w:val="center"/>
              <w:rPr>
                <w:rFonts w:ascii="宋体" w:eastAsia="宋体" w:cs="宋体"/>
                <w:color w:val="auto"/>
                <w:sz w:val="24"/>
                <w:szCs w:val="24"/>
              </w:rPr>
            </w:pPr>
            <w:r>
              <w:rPr>
                <w:rFonts w:hint="eastAsia" w:ascii="宋体" w:eastAsia="宋体" w:cs="宋体"/>
                <w:color w:val="auto"/>
                <w:sz w:val="24"/>
                <w:szCs w:val="24"/>
              </w:rPr>
              <w:t>总报价（元）</w:t>
            </w:r>
          </w:p>
        </w:tc>
        <w:tc>
          <w:tcPr>
            <w:tcW w:w="1763" w:type="dxa"/>
            <w:vAlign w:val="center"/>
          </w:tcPr>
          <w:p>
            <w:pPr>
              <w:jc w:val="center"/>
              <w:rPr>
                <w:rFonts w:ascii="宋体" w:eastAsia="宋体" w:cs="宋体"/>
                <w:color w:val="auto"/>
                <w:sz w:val="24"/>
                <w:szCs w:val="24"/>
                <w:lang w:eastAsia="zh-CN"/>
              </w:rPr>
            </w:pPr>
            <w:r>
              <w:rPr>
                <w:rFonts w:hint="eastAsia" w:ascii="宋体" w:eastAsia="宋体" w:cs="宋体"/>
                <w:color w:val="auto"/>
                <w:sz w:val="24"/>
                <w:szCs w:val="24"/>
                <w:lang w:eastAsia="zh-CN"/>
              </w:rPr>
              <w:t>交货或</w:t>
            </w:r>
            <w:r>
              <w:rPr>
                <w:rFonts w:hint="eastAsia" w:ascii="宋体" w:eastAsia="宋体" w:cs="宋体"/>
                <w:color w:val="auto"/>
                <w:sz w:val="24"/>
                <w:szCs w:val="24"/>
              </w:rPr>
              <w:t>服务</w:t>
            </w:r>
            <w:r>
              <w:rPr>
                <w:rFonts w:hint="eastAsia" w:ascii="宋体" w:eastAsia="宋体" w:cs="宋体"/>
                <w:color w:val="auto"/>
                <w:sz w:val="24"/>
                <w:szCs w:val="24"/>
                <w:lang w:eastAsia="zh-CN"/>
              </w:rPr>
              <w:t>期限</w:t>
            </w:r>
          </w:p>
        </w:tc>
        <w:tc>
          <w:tcPr>
            <w:tcW w:w="1929" w:type="dxa"/>
            <w:vAlign w:val="center"/>
          </w:tcPr>
          <w:p>
            <w:pPr>
              <w:jc w:val="center"/>
              <w:rPr>
                <w:rFonts w:ascii="宋体" w:eastAsia="宋体" w:cs="宋体"/>
                <w:color w:val="auto"/>
                <w:sz w:val="24"/>
                <w:szCs w:val="24"/>
              </w:rPr>
            </w:pPr>
            <w:r>
              <w:rPr>
                <w:rFonts w:hint="eastAsia" w:ascii="宋体" w:eastAsia="宋体" w:cs="宋体"/>
                <w:color w:val="auto"/>
                <w:sz w:val="24"/>
                <w:szCs w:val="24"/>
                <w:lang w:eastAsia="zh-CN"/>
              </w:rPr>
              <w:t>交货或</w:t>
            </w:r>
            <w:r>
              <w:rPr>
                <w:rFonts w:hint="eastAsia" w:ascii="宋体" w:eastAsia="宋体" w:cs="宋体"/>
                <w:color w:val="auto"/>
                <w:sz w:val="24"/>
                <w:szCs w:val="24"/>
              </w:rPr>
              <w:t>服务地点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00" w:type="dxa"/>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2723" w:type="dxa"/>
            <w:vAlign w:val="center"/>
          </w:tcPr>
          <w:p>
            <w:pPr>
              <w:jc w:val="center"/>
              <w:rPr>
                <w:rFonts w:ascii="宋体" w:eastAsia="宋体" w:cs="宋体"/>
                <w:color w:val="auto"/>
                <w:sz w:val="24"/>
                <w:szCs w:val="24"/>
              </w:rPr>
            </w:pPr>
          </w:p>
        </w:tc>
        <w:tc>
          <w:tcPr>
            <w:tcW w:w="2243" w:type="dxa"/>
            <w:vAlign w:val="center"/>
          </w:tcPr>
          <w:p>
            <w:pPr>
              <w:jc w:val="center"/>
              <w:rPr>
                <w:rFonts w:ascii="宋体" w:eastAsia="宋体" w:cs="宋体"/>
                <w:color w:val="auto"/>
                <w:sz w:val="24"/>
                <w:szCs w:val="24"/>
              </w:rPr>
            </w:pPr>
          </w:p>
        </w:tc>
        <w:tc>
          <w:tcPr>
            <w:tcW w:w="1763" w:type="dxa"/>
            <w:vAlign w:val="center"/>
          </w:tcPr>
          <w:p>
            <w:pPr>
              <w:jc w:val="center"/>
              <w:rPr>
                <w:rFonts w:ascii="宋体" w:eastAsia="宋体" w:cs="宋体"/>
                <w:color w:val="auto"/>
                <w:sz w:val="24"/>
                <w:szCs w:val="24"/>
              </w:rPr>
            </w:pPr>
          </w:p>
        </w:tc>
        <w:tc>
          <w:tcPr>
            <w:tcW w:w="1929" w:type="dxa"/>
            <w:vAlign w:val="center"/>
          </w:tcPr>
          <w:p>
            <w:pPr>
              <w:jc w:val="center"/>
              <w:rPr>
                <w:rFonts w:ascii="宋体" w:eastAsia="宋体" w:cs="宋体"/>
                <w:color w:val="auto"/>
                <w:sz w:val="24"/>
                <w:szCs w:val="24"/>
              </w:rPr>
            </w:pPr>
          </w:p>
        </w:tc>
      </w:tr>
    </w:tbl>
    <w:p>
      <w:pPr>
        <w:kinsoku/>
        <w:spacing w:before="240" w:beforeLines="100"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 xml:space="preserve">供应商（盖章）：          </w:t>
      </w:r>
    </w:p>
    <w:p>
      <w:pPr>
        <w:kinsoku/>
        <w:spacing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日期：</w:t>
      </w:r>
    </w:p>
    <w:p>
      <w:pPr>
        <w:rPr>
          <w:rFonts w:ascii="宋体" w:eastAsia="宋体" w:cs="宋体"/>
          <w:color w:val="auto"/>
          <w:sz w:val="24"/>
          <w:szCs w:val="24"/>
        </w:rPr>
      </w:pPr>
    </w:p>
    <w:p>
      <w:pPr>
        <w:rPr>
          <w:rFonts w:ascii="宋体" w:eastAsia="宋体" w:cs="宋体"/>
          <w:color w:val="auto"/>
          <w:sz w:val="24"/>
          <w:szCs w:val="24"/>
        </w:rPr>
      </w:pPr>
    </w:p>
    <w:p>
      <w:pPr>
        <w:rPr>
          <w:rFonts w:ascii="宋体" w:eastAsia="宋体" w:cs="宋体"/>
          <w:color w:val="auto"/>
          <w:sz w:val="24"/>
          <w:szCs w:val="24"/>
        </w:rPr>
      </w:pPr>
    </w:p>
    <w:p>
      <w:pPr>
        <w:rPr>
          <w:rFonts w:ascii="宋体" w:eastAsia="宋体" w:cs="宋体"/>
          <w:color w:val="auto"/>
          <w:sz w:val="24"/>
          <w:szCs w:val="24"/>
        </w:rPr>
      </w:pPr>
      <w:r>
        <w:rPr>
          <w:rFonts w:hint="eastAsia" w:ascii="宋体" w:eastAsia="宋体" w:cs="宋体"/>
          <w:color w:val="auto"/>
          <w:sz w:val="24"/>
          <w:szCs w:val="24"/>
        </w:rPr>
        <w:br w:type="page"/>
      </w:r>
    </w:p>
    <w:p>
      <w:pPr>
        <w:kinsoku/>
        <w:spacing w:line="360" w:lineRule="auto"/>
        <w:jc w:val="center"/>
        <w:outlineLvl w:val="1"/>
        <w:rPr>
          <w:rFonts w:ascii="宋体" w:eastAsia="宋体" w:cs="宋体"/>
          <w:color w:val="auto"/>
          <w:sz w:val="24"/>
          <w:szCs w:val="24"/>
        </w:rPr>
      </w:pPr>
      <w:bookmarkStart w:id="47" w:name="_Toc8965"/>
      <w:r>
        <w:rPr>
          <w:rFonts w:hint="eastAsia" w:ascii="宋体" w:eastAsia="宋体" w:cs="宋体"/>
          <w:b/>
          <w:bCs/>
          <w:color w:val="auto"/>
          <w:sz w:val="28"/>
          <w:szCs w:val="28"/>
          <w:lang w:eastAsia="zh-CN"/>
        </w:rPr>
        <w:t>三、</w:t>
      </w:r>
      <w:r>
        <w:rPr>
          <w:rFonts w:hint="eastAsia" w:ascii="宋体" w:eastAsia="宋体" w:cs="宋体"/>
          <w:b/>
          <w:bCs/>
          <w:color w:val="auto"/>
          <w:sz w:val="28"/>
          <w:szCs w:val="28"/>
        </w:rPr>
        <w:t>分项报价表</w:t>
      </w:r>
      <w:bookmarkEnd w:id="47"/>
    </w:p>
    <w:p>
      <w:pPr>
        <w:kinsoku/>
        <w:spacing w:line="360" w:lineRule="auto"/>
        <w:jc w:val="center"/>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项目编号：</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项目名称：</w:t>
      </w: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包号：</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供应商名称：                                货币及单位：人民币/元</w:t>
      </w:r>
    </w:p>
    <w:tbl>
      <w:tblPr>
        <w:tblStyle w:val="38"/>
        <w:tblW w:w="93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551"/>
        <w:gridCol w:w="1296"/>
        <w:gridCol w:w="1058"/>
        <w:gridCol w:w="1020"/>
        <w:gridCol w:w="1323"/>
        <w:gridCol w:w="810"/>
        <w:gridCol w:w="810"/>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17"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551" w:type="dxa"/>
            <w:vAlign w:val="center"/>
          </w:tcPr>
          <w:p>
            <w:pPr>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服务名称</w:t>
            </w:r>
          </w:p>
        </w:tc>
        <w:tc>
          <w:tcPr>
            <w:tcW w:w="1296"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服务范围</w:t>
            </w:r>
          </w:p>
        </w:tc>
        <w:tc>
          <w:tcPr>
            <w:tcW w:w="1058"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服务要求</w:t>
            </w:r>
          </w:p>
        </w:tc>
        <w:tc>
          <w:tcPr>
            <w:tcW w:w="1020" w:type="dxa"/>
            <w:vAlign w:val="center"/>
          </w:tcPr>
          <w:p>
            <w:pPr>
              <w:jc w:val="center"/>
              <w:rPr>
                <w:rFonts w:ascii="宋体" w:hAnsi="宋体" w:eastAsia="宋体" w:cs="宋体"/>
                <w:color w:val="auto"/>
                <w:sz w:val="24"/>
                <w:szCs w:val="24"/>
                <w:lang w:eastAsia="zh-CN"/>
              </w:rPr>
            </w:pPr>
            <w:r>
              <w:rPr>
                <w:rFonts w:hint="eastAsia" w:ascii="宋体" w:hAnsi="宋体" w:eastAsia="宋体" w:cs="宋体"/>
                <w:color w:val="auto"/>
                <w:sz w:val="24"/>
                <w:szCs w:val="24"/>
              </w:rPr>
              <w:t>服务</w:t>
            </w:r>
            <w:r>
              <w:rPr>
                <w:rFonts w:hint="eastAsia" w:ascii="宋体" w:hAnsi="宋体" w:eastAsia="宋体" w:cs="宋体"/>
                <w:color w:val="auto"/>
                <w:sz w:val="24"/>
                <w:szCs w:val="24"/>
                <w:lang w:eastAsia="zh-CN"/>
              </w:rPr>
              <w:t>期限</w:t>
            </w:r>
          </w:p>
        </w:tc>
        <w:tc>
          <w:tcPr>
            <w:tcW w:w="1323"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服务标准</w:t>
            </w:r>
          </w:p>
        </w:tc>
        <w:tc>
          <w:tcPr>
            <w:tcW w:w="810"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810"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809"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551" w:type="dxa"/>
            <w:vAlign w:val="center"/>
          </w:tcPr>
          <w:p>
            <w:pPr>
              <w:jc w:val="center"/>
              <w:rPr>
                <w:rFonts w:ascii="宋体" w:hAnsi="宋体" w:eastAsia="宋体" w:cs="宋体"/>
                <w:color w:val="auto"/>
                <w:sz w:val="24"/>
                <w:szCs w:val="24"/>
              </w:rPr>
            </w:pPr>
          </w:p>
        </w:tc>
        <w:tc>
          <w:tcPr>
            <w:tcW w:w="1296" w:type="dxa"/>
            <w:vAlign w:val="center"/>
          </w:tcPr>
          <w:p>
            <w:pPr>
              <w:jc w:val="center"/>
              <w:rPr>
                <w:rFonts w:ascii="宋体" w:hAnsi="宋体" w:eastAsia="宋体" w:cs="宋体"/>
                <w:color w:val="auto"/>
                <w:sz w:val="24"/>
                <w:szCs w:val="24"/>
              </w:rPr>
            </w:pPr>
          </w:p>
        </w:tc>
        <w:tc>
          <w:tcPr>
            <w:tcW w:w="1058" w:type="dxa"/>
            <w:vAlign w:val="center"/>
          </w:tcPr>
          <w:p>
            <w:pPr>
              <w:jc w:val="center"/>
              <w:rPr>
                <w:rFonts w:ascii="宋体" w:hAnsi="宋体" w:eastAsia="宋体" w:cs="宋体"/>
                <w:color w:val="auto"/>
                <w:sz w:val="24"/>
                <w:szCs w:val="24"/>
              </w:rPr>
            </w:pPr>
          </w:p>
        </w:tc>
        <w:tc>
          <w:tcPr>
            <w:tcW w:w="1020" w:type="dxa"/>
            <w:vAlign w:val="center"/>
          </w:tcPr>
          <w:p>
            <w:pPr>
              <w:jc w:val="center"/>
              <w:rPr>
                <w:rFonts w:ascii="宋体" w:hAnsi="宋体" w:eastAsia="宋体" w:cs="宋体"/>
                <w:color w:val="auto"/>
                <w:sz w:val="24"/>
                <w:szCs w:val="24"/>
              </w:rPr>
            </w:pPr>
          </w:p>
        </w:tc>
        <w:tc>
          <w:tcPr>
            <w:tcW w:w="1323" w:type="dxa"/>
            <w:vAlign w:val="center"/>
          </w:tcPr>
          <w:p>
            <w:pPr>
              <w:jc w:val="center"/>
              <w:rPr>
                <w:rFonts w:ascii="宋体" w:hAnsi="宋体" w:eastAsia="宋体" w:cs="宋体"/>
                <w:color w:val="auto"/>
                <w:sz w:val="24"/>
                <w:szCs w:val="24"/>
              </w:rPr>
            </w:pPr>
          </w:p>
        </w:tc>
        <w:tc>
          <w:tcPr>
            <w:tcW w:w="810" w:type="dxa"/>
            <w:vAlign w:val="center"/>
          </w:tcPr>
          <w:p>
            <w:pPr>
              <w:jc w:val="center"/>
              <w:rPr>
                <w:rFonts w:ascii="宋体" w:hAnsi="宋体" w:eastAsia="宋体" w:cs="宋体"/>
                <w:color w:val="auto"/>
                <w:sz w:val="24"/>
                <w:szCs w:val="24"/>
              </w:rPr>
            </w:pPr>
          </w:p>
        </w:tc>
        <w:tc>
          <w:tcPr>
            <w:tcW w:w="810" w:type="dxa"/>
            <w:vAlign w:val="center"/>
          </w:tcPr>
          <w:p>
            <w:pPr>
              <w:jc w:val="center"/>
              <w:rPr>
                <w:rFonts w:ascii="宋体" w:hAnsi="宋体" w:eastAsia="宋体" w:cs="宋体"/>
                <w:color w:val="auto"/>
                <w:sz w:val="24"/>
                <w:szCs w:val="24"/>
              </w:rPr>
            </w:pPr>
          </w:p>
        </w:tc>
        <w:tc>
          <w:tcPr>
            <w:tcW w:w="809" w:type="dxa"/>
            <w:vAlign w:val="center"/>
          </w:tcPr>
          <w:p>
            <w:pPr>
              <w:jc w:val="center"/>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1551" w:type="dxa"/>
            <w:vAlign w:val="center"/>
          </w:tcPr>
          <w:p>
            <w:pPr>
              <w:jc w:val="center"/>
              <w:rPr>
                <w:rFonts w:ascii="宋体" w:hAnsi="宋体" w:eastAsia="宋体" w:cs="宋体"/>
                <w:color w:val="auto"/>
                <w:sz w:val="24"/>
                <w:szCs w:val="24"/>
              </w:rPr>
            </w:pPr>
          </w:p>
        </w:tc>
        <w:tc>
          <w:tcPr>
            <w:tcW w:w="1296" w:type="dxa"/>
            <w:vAlign w:val="center"/>
          </w:tcPr>
          <w:p>
            <w:pPr>
              <w:jc w:val="center"/>
              <w:rPr>
                <w:rFonts w:ascii="宋体" w:hAnsi="宋体" w:eastAsia="宋体" w:cs="宋体"/>
                <w:color w:val="auto"/>
                <w:sz w:val="24"/>
                <w:szCs w:val="24"/>
              </w:rPr>
            </w:pPr>
          </w:p>
        </w:tc>
        <w:tc>
          <w:tcPr>
            <w:tcW w:w="1058" w:type="dxa"/>
            <w:vAlign w:val="center"/>
          </w:tcPr>
          <w:p>
            <w:pPr>
              <w:jc w:val="center"/>
              <w:rPr>
                <w:rFonts w:ascii="宋体" w:hAnsi="宋体" w:eastAsia="宋体" w:cs="宋体"/>
                <w:color w:val="auto"/>
                <w:sz w:val="24"/>
                <w:szCs w:val="24"/>
              </w:rPr>
            </w:pPr>
          </w:p>
        </w:tc>
        <w:tc>
          <w:tcPr>
            <w:tcW w:w="1020" w:type="dxa"/>
            <w:vAlign w:val="center"/>
          </w:tcPr>
          <w:p>
            <w:pPr>
              <w:jc w:val="center"/>
              <w:rPr>
                <w:rFonts w:ascii="宋体" w:hAnsi="宋体" w:eastAsia="宋体" w:cs="宋体"/>
                <w:color w:val="auto"/>
                <w:sz w:val="24"/>
                <w:szCs w:val="24"/>
              </w:rPr>
            </w:pPr>
          </w:p>
        </w:tc>
        <w:tc>
          <w:tcPr>
            <w:tcW w:w="1323" w:type="dxa"/>
            <w:vAlign w:val="center"/>
          </w:tcPr>
          <w:p>
            <w:pPr>
              <w:jc w:val="center"/>
              <w:rPr>
                <w:rFonts w:ascii="宋体" w:hAnsi="宋体" w:eastAsia="宋体" w:cs="宋体"/>
                <w:color w:val="auto"/>
                <w:sz w:val="24"/>
                <w:szCs w:val="24"/>
              </w:rPr>
            </w:pPr>
          </w:p>
        </w:tc>
        <w:tc>
          <w:tcPr>
            <w:tcW w:w="810" w:type="dxa"/>
            <w:vAlign w:val="center"/>
          </w:tcPr>
          <w:p>
            <w:pPr>
              <w:jc w:val="center"/>
              <w:rPr>
                <w:rFonts w:ascii="宋体" w:hAnsi="宋体" w:eastAsia="宋体" w:cs="宋体"/>
                <w:color w:val="auto"/>
                <w:sz w:val="24"/>
                <w:szCs w:val="24"/>
              </w:rPr>
            </w:pPr>
          </w:p>
        </w:tc>
        <w:tc>
          <w:tcPr>
            <w:tcW w:w="810" w:type="dxa"/>
            <w:vAlign w:val="center"/>
          </w:tcPr>
          <w:p>
            <w:pPr>
              <w:jc w:val="center"/>
              <w:rPr>
                <w:rFonts w:ascii="宋体" w:hAnsi="宋体" w:eastAsia="宋体" w:cs="宋体"/>
                <w:color w:val="auto"/>
                <w:sz w:val="24"/>
                <w:szCs w:val="24"/>
              </w:rPr>
            </w:pPr>
          </w:p>
        </w:tc>
        <w:tc>
          <w:tcPr>
            <w:tcW w:w="809" w:type="dxa"/>
            <w:vAlign w:val="center"/>
          </w:tcPr>
          <w:p>
            <w:pPr>
              <w:jc w:val="center"/>
              <w:rPr>
                <w:rFonts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1551" w:type="dxa"/>
            <w:vAlign w:val="center"/>
          </w:tcPr>
          <w:p>
            <w:pPr>
              <w:jc w:val="center"/>
              <w:rPr>
                <w:rFonts w:ascii="宋体" w:hAnsi="宋体" w:eastAsia="宋体" w:cs="宋体"/>
                <w:color w:val="auto"/>
                <w:sz w:val="24"/>
                <w:szCs w:val="24"/>
              </w:rPr>
            </w:pPr>
          </w:p>
        </w:tc>
        <w:tc>
          <w:tcPr>
            <w:tcW w:w="1296" w:type="dxa"/>
            <w:vAlign w:val="center"/>
          </w:tcPr>
          <w:p>
            <w:pPr>
              <w:jc w:val="center"/>
              <w:rPr>
                <w:rFonts w:ascii="宋体" w:hAnsi="宋体" w:eastAsia="宋体" w:cs="宋体"/>
                <w:color w:val="auto"/>
                <w:sz w:val="24"/>
                <w:szCs w:val="24"/>
              </w:rPr>
            </w:pPr>
          </w:p>
        </w:tc>
        <w:tc>
          <w:tcPr>
            <w:tcW w:w="1058" w:type="dxa"/>
            <w:vAlign w:val="center"/>
          </w:tcPr>
          <w:p>
            <w:pPr>
              <w:jc w:val="center"/>
              <w:rPr>
                <w:rFonts w:ascii="宋体" w:hAnsi="宋体" w:eastAsia="宋体" w:cs="宋体"/>
                <w:color w:val="auto"/>
                <w:sz w:val="24"/>
                <w:szCs w:val="24"/>
              </w:rPr>
            </w:pPr>
          </w:p>
        </w:tc>
        <w:tc>
          <w:tcPr>
            <w:tcW w:w="1020" w:type="dxa"/>
            <w:vAlign w:val="center"/>
          </w:tcPr>
          <w:p>
            <w:pPr>
              <w:jc w:val="center"/>
              <w:rPr>
                <w:rFonts w:ascii="宋体" w:hAnsi="宋体" w:eastAsia="宋体" w:cs="宋体"/>
                <w:color w:val="auto"/>
                <w:sz w:val="24"/>
                <w:szCs w:val="24"/>
              </w:rPr>
            </w:pPr>
          </w:p>
        </w:tc>
        <w:tc>
          <w:tcPr>
            <w:tcW w:w="1323" w:type="dxa"/>
            <w:vAlign w:val="center"/>
          </w:tcPr>
          <w:p>
            <w:pPr>
              <w:jc w:val="center"/>
              <w:rPr>
                <w:rFonts w:ascii="宋体" w:hAnsi="宋体" w:eastAsia="宋体" w:cs="宋体"/>
                <w:color w:val="auto"/>
                <w:sz w:val="24"/>
                <w:szCs w:val="24"/>
              </w:rPr>
            </w:pPr>
          </w:p>
        </w:tc>
        <w:tc>
          <w:tcPr>
            <w:tcW w:w="810" w:type="dxa"/>
            <w:vAlign w:val="center"/>
          </w:tcPr>
          <w:p>
            <w:pPr>
              <w:jc w:val="center"/>
              <w:rPr>
                <w:rFonts w:ascii="宋体" w:hAnsi="宋体" w:eastAsia="宋体" w:cs="宋体"/>
                <w:color w:val="auto"/>
                <w:sz w:val="24"/>
                <w:szCs w:val="24"/>
              </w:rPr>
            </w:pPr>
          </w:p>
        </w:tc>
        <w:tc>
          <w:tcPr>
            <w:tcW w:w="810" w:type="dxa"/>
            <w:vAlign w:val="center"/>
          </w:tcPr>
          <w:p>
            <w:pPr>
              <w:jc w:val="center"/>
              <w:rPr>
                <w:rFonts w:ascii="宋体" w:hAnsi="宋体" w:eastAsia="宋体" w:cs="宋体"/>
                <w:color w:val="auto"/>
                <w:sz w:val="24"/>
                <w:szCs w:val="24"/>
              </w:rPr>
            </w:pPr>
          </w:p>
        </w:tc>
        <w:tc>
          <w:tcPr>
            <w:tcW w:w="809" w:type="dxa"/>
            <w:vAlign w:val="center"/>
          </w:tcPr>
          <w:p>
            <w:pPr>
              <w:jc w:val="center"/>
              <w:rPr>
                <w:rFonts w:ascii="宋体" w:hAnsi="宋体" w:eastAsia="宋体" w:cs="宋体"/>
                <w:color w:val="auto"/>
                <w:sz w:val="24"/>
                <w:szCs w:val="24"/>
              </w:rPr>
            </w:pPr>
          </w:p>
        </w:tc>
      </w:tr>
    </w:tbl>
    <w:p>
      <w:pPr>
        <w:kinsoku/>
        <w:spacing w:before="240" w:beforeLines="100" w:line="360" w:lineRule="auto"/>
        <w:jc w:val="center"/>
        <w:rPr>
          <w:rFonts w:ascii="宋体" w:eastAsia="宋体" w:cs="宋体"/>
          <w:color w:val="auto"/>
          <w:sz w:val="24"/>
          <w:szCs w:val="24"/>
        </w:rPr>
      </w:pPr>
    </w:p>
    <w:p>
      <w:pPr>
        <w:kinsoku/>
        <w:spacing w:before="240" w:beforeLines="100"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 xml:space="preserve">供应商（盖章）：          </w:t>
      </w:r>
    </w:p>
    <w:p>
      <w:pPr>
        <w:kinsoku/>
        <w:spacing w:line="360" w:lineRule="auto"/>
        <w:ind w:firstLine="5880" w:firstLineChars="2450"/>
        <w:rPr>
          <w:rFonts w:ascii="宋体" w:eastAsia="宋体" w:cs="宋体"/>
          <w:color w:val="auto"/>
          <w:sz w:val="24"/>
          <w:szCs w:val="24"/>
        </w:rPr>
      </w:pPr>
      <w:r>
        <w:rPr>
          <w:rFonts w:hint="eastAsia" w:ascii="宋体" w:eastAsia="宋体" w:cs="宋体"/>
          <w:color w:val="auto"/>
          <w:sz w:val="24"/>
          <w:szCs w:val="24"/>
        </w:rPr>
        <w:t>日期：</w:t>
      </w: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1.“服务名称”填写标的名称；</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w:t>
      </w:r>
      <w:r>
        <w:rPr>
          <w:rFonts w:hint="eastAsia" w:ascii="宋体" w:hAnsi="宋体" w:eastAsia="宋体" w:cs="宋体"/>
          <w:color w:val="auto"/>
          <w:sz w:val="24"/>
          <w:szCs w:val="24"/>
          <w:lang w:eastAsia="zh-CN"/>
        </w:rPr>
        <w:t>服务范围</w:t>
      </w:r>
      <w:r>
        <w:rPr>
          <w:rFonts w:hint="eastAsia" w:ascii="宋体" w:eastAsia="宋体" w:cs="宋体"/>
          <w:color w:val="auto"/>
          <w:sz w:val="24"/>
          <w:szCs w:val="24"/>
          <w:lang w:eastAsia="zh-CN"/>
        </w:rPr>
        <w:t>”、“服务要求”、“</w:t>
      </w:r>
      <w:r>
        <w:rPr>
          <w:rFonts w:hint="eastAsia" w:ascii="宋体" w:hAnsi="宋体" w:eastAsia="宋体" w:cs="宋体"/>
          <w:color w:val="auto"/>
          <w:sz w:val="24"/>
          <w:szCs w:val="24"/>
          <w:lang w:eastAsia="zh-CN"/>
        </w:rPr>
        <w:t>服务标准</w:t>
      </w:r>
      <w:r>
        <w:rPr>
          <w:rFonts w:hint="eastAsia" w:ascii="宋体" w:eastAsia="宋体" w:cs="宋体"/>
          <w:color w:val="auto"/>
          <w:sz w:val="24"/>
          <w:szCs w:val="24"/>
          <w:lang w:eastAsia="zh-CN"/>
        </w:rPr>
        <w:t>”可填写“响应磋商文件要求”。</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rPr>
          <w:rFonts w:ascii="宋体" w:eastAsia="宋体" w:cs="宋体"/>
          <w:color w:val="auto"/>
          <w:sz w:val="24"/>
          <w:szCs w:val="24"/>
          <w:lang w:eastAsia="zh-CN"/>
        </w:rPr>
      </w:pPr>
      <w:r>
        <w:rPr>
          <w:rFonts w:hint="eastAsia" w:ascii="宋体" w:eastAsia="宋体" w:cs="宋体"/>
          <w:color w:val="auto"/>
          <w:sz w:val="24"/>
          <w:szCs w:val="24"/>
          <w:lang w:eastAsia="zh-CN"/>
        </w:rPr>
        <w:br w:type="page"/>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jc w:val="center"/>
        <w:outlineLvl w:val="1"/>
        <w:rPr>
          <w:rFonts w:ascii="宋体" w:eastAsia="宋体" w:cs="宋体"/>
          <w:b/>
          <w:bCs/>
          <w:color w:val="auto"/>
          <w:sz w:val="28"/>
          <w:szCs w:val="28"/>
          <w:lang w:eastAsia="zh-CN"/>
        </w:rPr>
      </w:pPr>
      <w:bookmarkStart w:id="48" w:name="_Toc17556"/>
      <w:r>
        <w:rPr>
          <w:rFonts w:hint="eastAsia" w:ascii="宋体" w:eastAsia="宋体" w:cs="宋体"/>
          <w:b/>
          <w:bCs/>
          <w:color w:val="auto"/>
          <w:sz w:val="28"/>
          <w:szCs w:val="28"/>
          <w:lang w:eastAsia="zh-CN"/>
        </w:rPr>
        <w:t>四、授权委托书</w:t>
      </w:r>
      <w:bookmarkEnd w:id="48"/>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本人</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（姓名）系</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（供应商名称）的法定代表人，现委托</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（姓名）为我方代理人，参加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。代理人根据授权，以我方名义签署、澄清确认、递交、撤回、修改磋商项目响应文件、签订合同和处理有关事宜，其法律后果由我方承担。委托期限：</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代理人无转委托权。</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  应  商（盖章）：</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法定代表人（</w:t>
      </w:r>
      <w:r>
        <w:rPr>
          <w:rFonts w:hint="eastAsia" w:ascii="宋体" w:hAnsi="宋体" w:eastAsia="宋体" w:cs="宋体"/>
          <w:color w:val="auto"/>
          <w:sz w:val="24"/>
          <w:szCs w:val="24"/>
          <w:lang w:eastAsia="zh-CN"/>
        </w:rPr>
        <w:t>签字/盖章</w:t>
      </w:r>
      <w:r>
        <w:rPr>
          <w:rFonts w:hint="eastAsia" w:ascii="宋体" w:eastAsia="宋体" w:cs="宋体"/>
          <w:color w:val="auto"/>
          <w:sz w:val="24"/>
          <w:szCs w:val="24"/>
          <w:lang w:eastAsia="zh-CN"/>
        </w:rPr>
        <w:t>）：</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授权委托人（</w:t>
      </w:r>
      <w:r>
        <w:rPr>
          <w:rFonts w:hint="eastAsia" w:ascii="宋体" w:hAnsi="宋体" w:eastAsia="宋体" w:cs="宋体"/>
          <w:color w:val="auto"/>
          <w:sz w:val="24"/>
          <w:szCs w:val="24"/>
          <w:lang w:eastAsia="zh-CN"/>
        </w:rPr>
        <w:t>签字/盖章</w:t>
      </w:r>
      <w:r>
        <w:rPr>
          <w:rFonts w:hint="eastAsia" w:ascii="宋体" w:eastAsia="宋体" w:cs="宋体"/>
          <w:color w:val="auto"/>
          <w:sz w:val="24"/>
          <w:szCs w:val="24"/>
          <w:lang w:eastAsia="zh-CN"/>
        </w:rPr>
        <w:t>）：</w:t>
      </w:r>
      <w:r>
        <w:rPr>
          <w:rFonts w:hint="eastAsia" w:ascii="宋体" w:eastAsia="宋体" w:cs="宋体"/>
          <w:color w:val="auto"/>
          <w:sz w:val="24"/>
          <w:szCs w:val="24"/>
          <w:u w:val="single"/>
          <w:lang w:eastAsia="zh-CN"/>
        </w:rPr>
        <w:t xml:space="preserve">                         </w:t>
      </w:r>
    </w:p>
    <w:p>
      <w:pPr>
        <w:kinsoku/>
        <w:spacing w:line="360" w:lineRule="auto"/>
        <w:ind w:firstLine="480" w:firstLineChars="200"/>
        <w:rPr>
          <w:rFonts w:ascii="宋体" w:eastAsia="宋体" w:cs="宋体"/>
          <w:color w:val="auto"/>
          <w:sz w:val="24"/>
          <w:szCs w:val="24"/>
          <w:lang w:eastAsia="zh-CN"/>
        </w:rPr>
      </w:pPr>
    </w:p>
    <w:tbl>
      <w:tblPr>
        <w:tblStyle w:val="20"/>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jc w:val="center"/>
        </w:trPr>
        <w:tc>
          <w:tcPr>
            <w:tcW w:w="452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法定代表人身份证扫描件正面</w:t>
            </w:r>
          </w:p>
        </w:tc>
        <w:tc>
          <w:tcPr>
            <w:tcW w:w="4436"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法定代表人身份证扫描件反面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jc w:val="center"/>
        </w:trPr>
        <w:tc>
          <w:tcPr>
            <w:tcW w:w="4523"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授权委托人身份证扫描件正面</w:t>
            </w:r>
          </w:p>
        </w:tc>
        <w:tc>
          <w:tcPr>
            <w:tcW w:w="4436" w:type="dxa"/>
            <w:shd w:val="clear" w:color="auto" w:fill="auto"/>
            <w:vAlign w:val="center"/>
          </w:tcPr>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授权委托人身份证扫描件反面</w:t>
            </w:r>
          </w:p>
        </w:tc>
      </w:tr>
    </w:tbl>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年</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月</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日</w:t>
      </w:r>
    </w:p>
    <w:p>
      <w:pPr>
        <w:kinsoku/>
        <w:spacing w:line="360" w:lineRule="auto"/>
        <w:ind w:firstLine="480" w:firstLineChars="200"/>
        <w:rPr>
          <w:rFonts w:ascii="宋体" w:eastAsia="宋体" w:cs="宋体"/>
          <w:color w:val="auto"/>
          <w:sz w:val="24"/>
          <w:szCs w:val="24"/>
          <w:lang w:eastAsia="zh-CN"/>
        </w:rPr>
        <w:sectPr>
          <w:footerReference r:id="rId15" w:type="default"/>
          <w:pgSz w:w="11906" w:h="16838"/>
          <w:pgMar w:top="1440" w:right="1080" w:bottom="1440" w:left="1080" w:header="0" w:footer="850" w:gutter="0"/>
          <w:cols w:space="0" w:num="1"/>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jc w:val="center"/>
        <w:outlineLvl w:val="1"/>
        <w:rPr>
          <w:rFonts w:ascii="宋体" w:eastAsia="宋体" w:cs="宋体"/>
          <w:color w:val="auto"/>
          <w:sz w:val="24"/>
          <w:szCs w:val="24"/>
          <w:lang w:eastAsia="zh-CN"/>
        </w:rPr>
      </w:pPr>
      <w:bookmarkStart w:id="49" w:name="_Toc23843"/>
      <w:r>
        <w:rPr>
          <w:rFonts w:hint="eastAsia" w:ascii="宋体" w:eastAsia="宋体" w:cs="宋体"/>
          <w:b/>
          <w:bCs/>
          <w:color w:val="auto"/>
          <w:sz w:val="28"/>
          <w:szCs w:val="28"/>
          <w:lang w:eastAsia="zh-CN"/>
        </w:rPr>
        <w:t>五、缴纳磋商保证金证明材料</w:t>
      </w:r>
      <w:bookmarkEnd w:id="49"/>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供应商应提供缴纳磋商保证金的证明材料原件扫描件。</w:t>
      </w:r>
    </w:p>
    <w:p>
      <w:pPr>
        <w:kinsoku/>
        <w:spacing w:line="360" w:lineRule="auto"/>
        <w:ind w:firstLine="480" w:firstLineChars="200"/>
        <w:rPr>
          <w:rFonts w:ascii="宋体" w:eastAsia="宋体" w:cs="宋体"/>
          <w:color w:val="auto"/>
          <w:sz w:val="24"/>
          <w:szCs w:val="24"/>
          <w:lang w:eastAsia="zh-CN"/>
        </w:rPr>
        <w:sectPr>
          <w:footerReference r:id="rId16" w:type="default"/>
          <w:pgSz w:w="11906" w:h="16838"/>
          <w:pgMar w:top="1440" w:right="1080" w:bottom="1440" w:left="1080" w:header="0" w:footer="850" w:gutter="0"/>
          <w:cols w:space="0" w:num="1"/>
          <w:docGrid w:linePitch="312" w:charSpace="0"/>
        </w:sectPr>
      </w:pPr>
    </w:p>
    <w:p>
      <w:pPr>
        <w:kinsoku/>
        <w:spacing w:line="360" w:lineRule="auto"/>
        <w:jc w:val="center"/>
        <w:outlineLvl w:val="1"/>
        <w:rPr>
          <w:rFonts w:ascii="宋体" w:eastAsia="宋体" w:cs="宋体"/>
          <w:color w:val="auto"/>
          <w:sz w:val="24"/>
          <w:szCs w:val="24"/>
        </w:rPr>
      </w:pPr>
      <w:bookmarkStart w:id="50" w:name="_Toc13043"/>
      <w:r>
        <w:rPr>
          <w:rFonts w:hint="eastAsia" w:ascii="宋体" w:eastAsia="宋体" w:cs="宋体"/>
          <w:b/>
          <w:bCs/>
          <w:color w:val="auto"/>
          <w:sz w:val="28"/>
          <w:szCs w:val="28"/>
        </w:rPr>
        <w:t>六、供应商基本情况表</w:t>
      </w:r>
      <w:bookmarkEnd w:id="50"/>
    </w:p>
    <w:tbl>
      <w:tblPr>
        <w:tblStyle w:val="20"/>
        <w:tblW w:w="8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6"/>
        <w:gridCol w:w="2192"/>
        <w:gridCol w:w="2192"/>
        <w:gridCol w:w="2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供应商名称</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注册资金</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注册地</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注册时间</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法定代表人</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技术负责人</w:t>
            </w:r>
          </w:p>
        </w:tc>
        <w:tc>
          <w:tcPr>
            <w:tcW w:w="2192" w:type="dxa"/>
            <w:vAlign w:val="center"/>
          </w:tcPr>
          <w:p>
            <w:pPr>
              <w:jc w:val="center"/>
              <w:rPr>
                <w:rFonts w:ascii="宋体" w:eastAsia="宋体" w:cs="宋体"/>
                <w:color w:val="auto"/>
                <w:sz w:val="24"/>
                <w:szCs w:val="24"/>
              </w:rPr>
            </w:pPr>
          </w:p>
        </w:tc>
        <w:tc>
          <w:tcPr>
            <w:tcW w:w="2192" w:type="dxa"/>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c>
          <w:tcPr>
            <w:tcW w:w="2198" w:type="dxa"/>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开户银行</w:t>
            </w:r>
          </w:p>
        </w:tc>
        <w:tc>
          <w:tcPr>
            <w:tcW w:w="6582" w:type="dxa"/>
            <w:gridSpan w:val="3"/>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2196" w:type="dxa"/>
            <w:vAlign w:val="center"/>
          </w:tcPr>
          <w:p>
            <w:pPr>
              <w:jc w:val="center"/>
              <w:rPr>
                <w:rFonts w:ascii="宋体" w:eastAsia="宋体" w:cs="宋体"/>
                <w:color w:val="auto"/>
                <w:sz w:val="24"/>
                <w:szCs w:val="24"/>
              </w:rPr>
            </w:pPr>
            <w:r>
              <w:rPr>
                <w:rFonts w:hint="eastAsia" w:ascii="宋体" w:eastAsia="宋体" w:cs="宋体"/>
                <w:color w:val="auto"/>
                <w:sz w:val="24"/>
                <w:szCs w:val="24"/>
              </w:rPr>
              <w:t>开户银行账号</w:t>
            </w:r>
          </w:p>
        </w:tc>
        <w:tc>
          <w:tcPr>
            <w:tcW w:w="6582" w:type="dxa"/>
            <w:gridSpan w:val="3"/>
            <w:vAlign w:val="center"/>
          </w:tcPr>
          <w:p>
            <w:pPr>
              <w:jc w:val="center"/>
              <w:rPr>
                <w:rFonts w:asci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8778" w:type="dxa"/>
            <w:gridSpan w:val="4"/>
            <w:vAlign w:val="center"/>
          </w:tcPr>
          <w:p>
            <w:pPr>
              <w:jc w:val="both"/>
              <w:rPr>
                <w:rFonts w:ascii="宋体" w:eastAsia="宋体" w:cs="宋体"/>
                <w:color w:val="auto"/>
                <w:sz w:val="24"/>
                <w:szCs w:val="24"/>
              </w:rPr>
            </w:pPr>
            <w:r>
              <w:rPr>
                <w:rFonts w:hint="eastAsia" w:ascii="宋体" w:eastAsia="宋体" w:cs="宋体"/>
                <w:color w:val="auto"/>
                <w:sz w:val="24"/>
                <w:szCs w:val="24"/>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8778" w:type="dxa"/>
            <w:gridSpan w:val="4"/>
            <w:vAlign w:val="center"/>
          </w:tcPr>
          <w:p>
            <w:pPr>
              <w:jc w:val="both"/>
              <w:rPr>
                <w:rFonts w:ascii="宋体" w:eastAsia="宋体" w:cs="宋体"/>
                <w:color w:val="auto"/>
                <w:sz w:val="24"/>
                <w:szCs w:val="24"/>
              </w:rPr>
            </w:pPr>
            <w:r>
              <w:rPr>
                <w:rFonts w:hint="eastAsia" w:ascii="宋体" w:eastAsia="宋体" w:cs="宋体"/>
                <w:color w:val="auto"/>
                <w:sz w:val="24"/>
                <w:szCs w:val="24"/>
              </w:rPr>
              <w:t>企业资质：</w:t>
            </w:r>
          </w:p>
        </w:tc>
      </w:tr>
    </w:tbl>
    <w:p>
      <w:pPr>
        <w:kinsoku/>
        <w:spacing w:line="360" w:lineRule="auto"/>
        <w:ind w:firstLine="480" w:firstLineChars="200"/>
        <w:rPr>
          <w:rFonts w:ascii="宋体" w:eastAsia="宋体" w:cs="宋体"/>
          <w:color w:val="auto"/>
          <w:sz w:val="24"/>
          <w:szCs w:val="24"/>
        </w:rPr>
      </w:pPr>
    </w:p>
    <w:p>
      <w:pPr>
        <w:kinsoku/>
        <w:spacing w:line="360" w:lineRule="auto"/>
        <w:ind w:firstLine="480" w:firstLineChars="200"/>
        <w:rPr>
          <w:rFonts w:ascii="宋体" w:eastAsia="宋体" w:cs="宋体"/>
          <w:color w:val="auto"/>
          <w:sz w:val="24"/>
          <w:szCs w:val="24"/>
        </w:rPr>
        <w:sectPr>
          <w:footerReference r:id="rId17" w:type="default"/>
          <w:pgSz w:w="11906" w:h="16838"/>
          <w:pgMar w:top="1440" w:right="1080" w:bottom="1440" w:left="1080" w:header="0" w:footer="850" w:gutter="0"/>
          <w:cols w:space="0" w:num="1"/>
          <w:docGrid w:linePitch="312" w:charSpace="0"/>
        </w:sectPr>
      </w:pPr>
    </w:p>
    <w:p>
      <w:pPr>
        <w:kinsoku/>
        <w:spacing w:line="360" w:lineRule="auto"/>
        <w:jc w:val="center"/>
        <w:outlineLvl w:val="1"/>
        <w:rPr>
          <w:rFonts w:ascii="宋体" w:eastAsia="宋体" w:cs="宋体"/>
          <w:color w:val="auto"/>
          <w:sz w:val="24"/>
          <w:szCs w:val="24"/>
          <w:lang w:eastAsia="zh-CN"/>
        </w:rPr>
      </w:pPr>
      <w:bookmarkStart w:id="51" w:name="_Toc19839"/>
      <w:r>
        <w:rPr>
          <w:rFonts w:hint="eastAsia" w:ascii="宋体" w:eastAsia="宋体" w:cs="宋体"/>
          <w:b/>
          <w:bCs/>
          <w:color w:val="auto"/>
          <w:sz w:val="28"/>
          <w:szCs w:val="28"/>
          <w:lang w:eastAsia="zh-CN"/>
        </w:rPr>
        <w:t>七、具有独立承担民事责任的能力的证明材料</w:t>
      </w:r>
      <w:bookmarkEnd w:id="51"/>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sectPr>
          <w:footerReference r:id="rId18" w:type="default"/>
          <w:pgSz w:w="11906" w:h="16838"/>
          <w:pgMar w:top="1440" w:right="1080" w:bottom="1440" w:left="1080" w:header="0" w:footer="850" w:gutter="0"/>
          <w:cols w:space="0" w:num="1"/>
          <w:docGrid w:linePitch="312" w:charSpace="0"/>
        </w:sectPr>
      </w:pPr>
      <w:r>
        <w:rPr>
          <w:rFonts w:hint="eastAsia" w:ascii="宋体" w:eastAsia="宋体" w:cs="宋体"/>
          <w:color w:val="auto"/>
          <w:sz w:val="24"/>
          <w:szCs w:val="24"/>
          <w:lang w:eastAsia="zh-CN"/>
        </w:rPr>
        <w:t>供应商为法人或者其他组织的，提供营业执照等证明文件；供应商为自然人的，提供身份证明。</w:t>
      </w:r>
    </w:p>
    <w:p>
      <w:pPr>
        <w:kinsoku/>
        <w:spacing w:line="360" w:lineRule="auto"/>
        <w:jc w:val="center"/>
        <w:outlineLvl w:val="1"/>
        <w:rPr>
          <w:rFonts w:ascii="宋体" w:eastAsia="宋体" w:cs="宋体"/>
          <w:color w:val="auto"/>
          <w:sz w:val="24"/>
          <w:szCs w:val="24"/>
          <w:lang w:eastAsia="zh-CN"/>
        </w:rPr>
      </w:pPr>
      <w:bookmarkStart w:id="52" w:name="_Toc31381"/>
      <w:r>
        <w:rPr>
          <w:rFonts w:hint="eastAsia" w:ascii="宋体" w:eastAsia="宋体" w:cs="宋体"/>
          <w:b/>
          <w:bCs/>
          <w:color w:val="auto"/>
          <w:sz w:val="28"/>
          <w:szCs w:val="28"/>
          <w:lang w:eastAsia="zh-CN"/>
        </w:rPr>
        <w:t>八、具有良好的商业信誉和健全的财务会计制度的相关材料</w:t>
      </w:r>
      <w:bookmarkEnd w:id="52"/>
    </w:p>
    <w:p>
      <w:pPr>
        <w:kinsoku/>
        <w:spacing w:line="360" w:lineRule="auto"/>
        <w:ind w:firstLine="480" w:firstLineChars="200"/>
        <w:rPr>
          <w:rFonts w:ascii="宋体" w:eastAsia="宋体" w:cs="宋体"/>
          <w:color w:val="auto"/>
          <w:sz w:val="24"/>
          <w:szCs w:val="24"/>
          <w:lang w:eastAsia="zh-CN"/>
        </w:rPr>
      </w:pPr>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供应商提供具有良好的商业信誉和健全的财务会计制度的相关材料。</w:t>
      </w:r>
    </w:p>
    <w:p>
      <w:pPr>
        <w:kinsoku/>
        <w:spacing w:line="360" w:lineRule="auto"/>
        <w:ind w:firstLine="480" w:firstLineChars="200"/>
        <w:rPr>
          <w:rFonts w:ascii="宋体" w:eastAsia="宋体" w:cs="宋体"/>
          <w:color w:val="auto"/>
          <w:sz w:val="24"/>
          <w:szCs w:val="24"/>
          <w:lang w:eastAsia="zh-CN"/>
        </w:rPr>
        <w:sectPr>
          <w:footerReference r:id="rId19" w:type="default"/>
          <w:pgSz w:w="11906" w:h="16838"/>
          <w:pgMar w:top="1440" w:right="1080" w:bottom="1440" w:left="1080" w:header="0" w:footer="850" w:gutter="0"/>
          <w:cols w:space="0" w:num="1"/>
          <w:docGrid w:linePitch="312" w:charSpace="0"/>
        </w:sectPr>
      </w:pPr>
    </w:p>
    <w:p>
      <w:pPr>
        <w:kinsoku/>
        <w:spacing w:line="360" w:lineRule="auto"/>
        <w:jc w:val="center"/>
        <w:outlineLvl w:val="1"/>
        <w:rPr>
          <w:rFonts w:ascii="宋体" w:eastAsia="宋体" w:cs="宋体"/>
          <w:color w:val="auto"/>
          <w:sz w:val="24"/>
          <w:szCs w:val="24"/>
          <w:lang w:eastAsia="zh-CN"/>
        </w:rPr>
      </w:pPr>
      <w:bookmarkStart w:id="53" w:name="_Toc19218"/>
      <w:r>
        <w:rPr>
          <w:rFonts w:hint="eastAsia" w:ascii="宋体" w:eastAsia="宋体" w:cs="宋体"/>
          <w:b/>
          <w:bCs/>
          <w:color w:val="auto"/>
          <w:sz w:val="28"/>
          <w:szCs w:val="28"/>
          <w:lang w:eastAsia="zh-CN"/>
        </w:rPr>
        <w:t>九、依法缴纳税收和社会保障资金的良好记录的相关材料</w:t>
      </w:r>
      <w:bookmarkEnd w:id="53"/>
    </w:p>
    <w:p>
      <w:pPr>
        <w:kinsoku/>
        <w:spacing w:line="360" w:lineRule="auto"/>
        <w:ind w:firstLine="480" w:firstLineChars="200"/>
        <w:rPr>
          <w:rFonts w:ascii="宋体" w:eastAsia="宋体" w:cs="宋体"/>
          <w:color w:val="auto"/>
          <w:sz w:val="24"/>
          <w:szCs w:val="24"/>
          <w:lang w:eastAsia="zh-CN"/>
        </w:rPr>
      </w:pPr>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供应商提供依法缴纳税收和社会保障资金的相关材料。</w:t>
      </w:r>
    </w:p>
    <w:p>
      <w:pPr>
        <w:kinsoku/>
        <w:spacing w:line="360" w:lineRule="auto"/>
        <w:ind w:firstLine="480" w:firstLineChars="200"/>
        <w:rPr>
          <w:rFonts w:ascii="宋体" w:eastAsia="宋体" w:cs="宋体"/>
          <w:color w:val="auto"/>
          <w:sz w:val="24"/>
          <w:szCs w:val="24"/>
          <w:lang w:eastAsia="zh-CN"/>
        </w:rPr>
        <w:sectPr>
          <w:footerReference r:id="rId20" w:type="default"/>
          <w:pgSz w:w="11906" w:h="16838"/>
          <w:pgMar w:top="1440" w:right="1080" w:bottom="1440" w:left="1080" w:header="0" w:footer="850" w:gutter="0"/>
          <w:cols w:space="0" w:num="1"/>
          <w:docGrid w:linePitch="312" w:charSpace="0"/>
        </w:sectPr>
      </w:pPr>
    </w:p>
    <w:p>
      <w:pPr>
        <w:kinsoku/>
        <w:spacing w:line="360" w:lineRule="auto"/>
        <w:jc w:val="center"/>
        <w:outlineLvl w:val="1"/>
        <w:rPr>
          <w:rFonts w:ascii="宋体" w:eastAsia="宋体" w:cs="宋体"/>
          <w:color w:val="auto"/>
          <w:sz w:val="24"/>
          <w:szCs w:val="24"/>
          <w:lang w:eastAsia="zh-CN"/>
        </w:rPr>
      </w:pPr>
      <w:bookmarkStart w:id="54" w:name="_Toc10381"/>
      <w:r>
        <w:rPr>
          <w:rFonts w:hint="eastAsia" w:ascii="宋体" w:eastAsia="宋体" w:cs="宋体"/>
          <w:b/>
          <w:bCs/>
          <w:color w:val="auto"/>
          <w:sz w:val="28"/>
          <w:szCs w:val="28"/>
          <w:lang w:eastAsia="zh-CN"/>
        </w:rPr>
        <w:t>十、具有履行合同所必需的设备和专业技术能力的相关材料</w:t>
      </w:r>
      <w:bookmarkEnd w:id="54"/>
    </w:p>
    <w:p>
      <w:pPr>
        <w:kinsoku/>
        <w:spacing w:line="360" w:lineRule="auto"/>
        <w:ind w:firstLine="480" w:firstLineChars="200"/>
        <w:rPr>
          <w:rFonts w:ascii="宋体" w:eastAsia="宋体" w:cs="宋体"/>
          <w:color w:val="auto"/>
          <w:sz w:val="24"/>
          <w:szCs w:val="24"/>
          <w:lang w:eastAsia="zh-CN"/>
        </w:rPr>
      </w:pPr>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供应商提供具有履行合同所必需的设备和专业技术能力的相关材料。</w:t>
      </w:r>
    </w:p>
    <w:p>
      <w:pPr>
        <w:kinsoku/>
        <w:spacing w:line="360" w:lineRule="auto"/>
        <w:ind w:firstLine="480" w:firstLineChars="200"/>
        <w:rPr>
          <w:rFonts w:ascii="宋体" w:eastAsia="宋体" w:cs="宋体"/>
          <w:color w:val="auto"/>
          <w:sz w:val="24"/>
          <w:szCs w:val="24"/>
          <w:lang w:eastAsia="zh-CN"/>
        </w:rPr>
        <w:sectPr>
          <w:footerReference r:id="rId21" w:type="default"/>
          <w:pgSz w:w="11906" w:h="16838"/>
          <w:pgMar w:top="1440" w:right="1080" w:bottom="1440" w:left="1080" w:header="0" w:footer="850" w:gutter="0"/>
          <w:cols w:space="0" w:num="1"/>
          <w:docGrid w:linePitch="312" w:charSpace="0"/>
        </w:sectPr>
      </w:pPr>
    </w:p>
    <w:p>
      <w:pPr>
        <w:kinsoku/>
        <w:spacing w:line="360" w:lineRule="auto"/>
        <w:jc w:val="center"/>
        <w:outlineLvl w:val="1"/>
        <w:rPr>
          <w:rFonts w:ascii="宋体" w:eastAsia="宋体" w:cs="宋体"/>
          <w:b/>
          <w:bCs/>
          <w:color w:val="auto"/>
          <w:sz w:val="28"/>
          <w:szCs w:val="28"/>
          <w:lang w:eastAsia="zh-CN"/>
        </w:rPr>
      </w:pPr>
      <w:bookmarkStart w:id="55" w:name="_Toc24761"/>
      <w:r>
        <w:rPr>
          <w:rFonts w:hint="eastAsia" w:ascii="宋体" w:eastAsia="宋体" w:cs="宋体"/>
          <w:b/>
          <w:bCs/>
          <w:color w:val="auto"/>
          <w:sz w:val="28"/>
          <w:szCs w:val="28"/>
          <w:lang w:eastAsia="zh-CN"/>
        </w:rPr>
        <w:t>十一、参加政府采购活动前三年内在经营活动中没有重大违法记录的书面声明</w:t>
      </w:r>
      <w:bookmarkEnd w:id="55"/>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本公司（单位）自愿参加本次政府采购活动，</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，严格遵守《中华人民共和国政府采购法》《中华人民共和国政府采购法实施条例》及相关法律、法规和规章制度，在参加此次政府采购活动前三年内，本公司在经营活动中无重大违法记录。</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特此声明</w:t>
      </w: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80" w:firstLineChars="200"/>
        <w:rPr>
          <w:rFonts w:ascii="宋体" w:eastAsia="宋体" w:cs="宋体"/>
          <w:color w:val="auto"/>
          <w:sz w:val="24"/>
          <w:szCs w:val="24"/>
          <w:lang w:eastAsia="zh-CN"/>
        </w:rPr>
      </w:pPr>
    </w:p>
    <w:p>
      <w:pPr>
        <w:kinsoku/>
        <w:spacing w:line="360" w:lineRule="auto"/>
        <w:ind w:firstLine="4560" w:firstLineChars="19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2520" w:firstLineChars="1050"/>
        <w:rPr>
          <w:rFonts w:ascii="宋体" w:eastAsia="宋体" w:cs="宋体"/>
          <w:color w:val="auto"/>
          <w:sz w:val="24"/>
          <w:szCs w:val="24"/>
          <w:lang w:eastAsia="zh-CN"/>
        </w:rPr>
      </w:pPr>
      <w:r>
        <w:rPr>
          <w:rFonts w:hint="eastAsia" w:ascii="宋体" w:eastAsia="宋体" w:cs="宋体"/>
          <w:color w:val="auto"/>
          <w:sz w:val="24"/>
          <w:szCs w:val="24"/>
          <w:lang w:eastAsia="zh-CN"/>
        </w:rPr>
        <w:t>法定代表人或授权委托人（签字/盖章）：</w:t>
      </w: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2" w:type="default"/>
          <w:pgSz w:w="11906" w:h="16838"/>
          <w:pgMar w:top="1440" w:right="1080" w:bottom="1440" w:left="1080" w:header="0" w:footer="850" w:gutter="0"/>
          <w:cols w:space="0" w:num="1"/>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jc w:val="center"/>
        <w:outlineLvl w:val="1"/>
        <w:rPr>
          <w:rFonts w:ascii="宋体" w:eastAsia="宋体" w:cs="宋体"/>
          <w:color w:val="auto"/>
          <w:sz w:val="24"/>
          <w:szCs w:val="24"/>
          <w:lang w:eastAsia="zh-CN"/>
        </w:rPr>
      </w:pPr>
      <w:bookmarkStart w:id="56" w:name="_Toc19978"/>
      <w:r>
        <w:rPr>
          <w:rFonts w:hint="eastAsia" w:ascii="宋体" w:eastAsia="宋体" w:cs="宋体"/>
          <w:b/>
          <w:bCs/>
          <w:color w:val="auto"/>
          <w:sz w:val="28"/>
          <w:szCs w:val="28"/>
          <w:lang w:eastAsia="zh-CN"/>
        </w:rPr>
        <w:t>十二、联合体协议书</w:t>
      </w:r>
      <w:bookmarkEnd w:id="56"/>
    </w:p>
    <w:p>
      <w:pPr>
        <w:kinsoku/>
        <w:wordWrap w:val="0"/>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（所有成员单位名称）自愿组成一个联合体，以一个供应商的身份共同参加</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（项目名称）的采购，项目编：</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。联合体各方共同与采购人签订采购合同，就采购合同约定的事项对采购人承担连带责任。现就联合体参加采购事宜订立如下协议。</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（某成员单位名称）为联合体牵头人。</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2.联合体各成员单位授权牵头人代表联合体参加采购活动，提交和接收相关的资料，负责合同实施阶段的组织和协调工作，以及处理与本项目有关的事宜。</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3.联合体牵头人在本项目中签署的文件和处理的事宜，联合体各成员单位均予以承认。联合体各成员单位将严格按照磋商文件、响应文件和合同的要求全面履行义务，并向采购人承担连带责任。</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4.联合体各成员单位内部的职责分工如下：</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5.如要求缴纳保证金，以牵头人名义缴纳，对联合体各方均具有约束力。</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6.本协议书自签署之日起生效，合同履行完毕后自动失效。</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7.本协议书一式</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份，联合体各成员单位和采购人各执一份。</w:t>
      </w: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协议书由法定代表人签字的，应附法定代表人身份证明；由授权代表签字的，应附授权委托书。</w:t>
      </w:r>
    </w:p>
    <w:p>
      <w:pPr>
        <w:kinsoku/>
        <w:spacing w:line="480" w:lineRule="exact"/>
        <w:ind w:firstLine="480" w:firstLineChars="200"/>
        <w:rPr>
          <w:rFonts w:ascii="宋体" w:eastAsia="宋体" w:cs="宋体"/>
          <w:color w:val="auto"/>
          <w:sz w:val="24"/>
          <w:szCs w:val="24"/>
          <w:lang w:eastAsia="zh-CN"/>
        </w:rPr>
      </w:pPr>
    </w:p>
    <w:p>
      <w:pPr>
        <w:kinsoku/>
        <w:spacing w:line="480" w:lineRule="exact"/>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所有成员单位法定代表人或其授权代表（签字并盖章）：</w:t>
      </w:r>
    </w:p>
    <w:p>
      <w:pPr>
        <w:kinsoku/>
        <w:spacing w:line="480" w:lineRule="exact"/>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3" w:type="default"/>
          <w:pgSz w:w="11906" w:h="16838"/>
          <w:pgMar w:top="1440" w:right="1080" w:bottom="1440" w:left="1080" w:header="0" w:footer="850" w:gutter="0"/>
          <w:cols w:space="0" w:num="1"/>
          <w:docGrid w:linePitch="312" w:charSpace="0"/>
        </w:sectPr>
      </w:pPr>
    </w:p>
    <w:p>
      <w:pPr>
        <w:kinsoku/>
        <w:spacing w:line="360" w:lineRule="auto"/>
        <w:jc w:val="both"/>
        <w:rPr>
          <w:rFonts w:ascii="宋体" w:eastAsia="宋体" w:cs="宋体"/>
          <w:b/>
          <w:bCs/>
          <w:color w:val="auto"/>
          <w:sz w:val="28"/>
          <w:szCs w:val="28"/>
          <w:lang w:eastAsia="zh-CN"/>
        </w:rPr>
      </w:pPr>
      <w:r>
        <w:rPr>
          <w:rFonts w:hint="eastAsia" w:ascii="宋体" w:eastAsia="宋体" w:cs="宋体"/>
          <w:color w:val="auto"/>
          <w:sz w:val="24"/>
          <w:szCs w:val="24"/>
          <w:lang w:eastAsia="zh-CN"/>
        </w:rPr>
        <w:t>（以下格式文件由供应商根据需要选用）</w:t>
      </w:r>
    </w:p>
    <w:p>
      <w:pPr>
        <w:kinsoku/>
        <w:spacing w:line="360" w:lineRule="auto"/>
        <w:jc w:val="center"/>
        <w:textAlignment w:val="baseline"/>
        <w:outlineLvl w:val="1"/>
        <w:rPr>
          <w:rFonts w:ascii="宋体" w:eastAsia="宋体" w:cs="宋体"/>
          <w:color w:val="auto"/>
          <w:sz w:val="24"/>
          <w:szCs w:val="24"/>
          <w:lang w:eastAsia="zh-CN"/>
        </w:rPr>
      </w:pPr>
      <w:bookmarkStart w:id="57" w:name="_Toc28039"/>
      <w:r>
        <w:rPr>
          <w:rFonts w:hint="eastAsia" w:ascii="宋体" w:eastAsia="宋体" w:cs="宋体"/>
          <w:b/>
          <w:bCs/>
          <w:color w:val="auto"/>
          <w:sz w:val="28"/>
          <w:szCs w:val="28"/>
          <w:lang w:eastAsia="zh-CN"/>
        </w:rPr>
        <w:t>十三、中小企业声明函（工程、服务）</w:t>
      </w:r>
      <w:bookmarkEnd w:id="57"/>
    </w:p>
    <w:p>
      <w:pPr>
        <w:kinsoku/>
        <w:spacing w:line="360" w:lineRule="auto"/>
        <w:ind w:firstLine="480" w:firstLineChars="200"/>
        <w:textAlignment w:val="baseline"/>
        <w:rPr>
          <w:rFonts w:ascii="宋体" w:eastAsia="宋体" w:cs="宋体"/>
          <w:color w:val="auto"/>
          <w:sz w:val="24"/>
          <w:szCs w:val="24"/>
          <w:lang w:eastAsia="zh-CN"/>
        </w:rPr>
      </w:pPr>
      <w:r>
        <w:rPr>
          <w:rFonts w:hint="eastAsia" w:ascii="宋体" w:eastAsia="宋体" w:cs="宋体"/>
          <w:color w:val="auto"/>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insoku/>
        <w:spacing w:line="360" w:lineRule="auto"/>
        <w:ind w:firstLine="480" w:firstLineChars="200"/>
        <w:textAlignment w:val="baseline"/>
        <w:rPr>
          <w:rFonts w:ascii="宋体" w:eastAsia="宋体" w:cs="宋体"/>
          <w:color w:val="auto"/>
          <w:sz w:val="24"/>
          <w:szCs w:val="24"/>
          <w:lang w:eastAsia="zh-CN"/>
        </w:rPr>
      </w:pPr>
      <w:r>
        <w:rPr>
          <w:rFonts w:hint="eastAsia" w:ascii="宋体" w:eastAsia="宋体" w:cs="宋体"/>
          <w:color w:val="auto"/>
          <w:sz w:val="24"/>
          <w:szCs w:val="24"/>
          <w:lang w:eastAsia="zh-CN"/>
        </w:rPr>
        <w:t>1.</w:t>
      </w:r>
      <w:r>
        <w:rPr>
          <w:rFonts w:hint="eastAsia" w:ascii="宋体" w:eastAsia="宋体" w:cs="宋体"/>
          <w:color w:val="auto"/>
          <w:sz w:val="24"/>
          <w:szCs w:val="24"/>
          <w:u w:val="single"/>
          <w:lang w:eastAsia="zh-CN"/>
        </w:rPr>
        <w:t>（标的名称）</w:t>
      </w:r>
      <w:r>
        <w:rPr>
          <w:rFonts w:hint="eastAsia" w:ascii="宋体" w:eastAsia="宋体" w:cs="宋体"/>
          <w:color w:val="auto"/>
          <w:sz w:val="24"/>
          <w:szCs w:val="24"/>
          <w:lang w:eastAsia="zh-CN"/>
        </w:rPr>
        <w:t>，属于</w:t>
      </w:r>
      <w:r>
        <w:rPr>
          <w:rFonts w:hint="eastAsia" w:ascii="宋体" w:eastAsia="宋体" w:cs="宋体"/>
          <w:color w:val="auto"/>
          <w:sz w:val="24"/>
          <w:szCs w:val="24"/>
          <w:u w:val="single"/>
          <w:lang w:eastAsia="zh-CN"/>
        </w:rPr>
        <w:t>（采购文件中明确的所属行业）</w:t>
      </w:r>
      <w:r>
        <w:rPr>
          <w:rFonts w:hint="eastAsia" w:ascii="宋体" w:eastAsia="宋体" w:cs="宋体"/>
          <w:color w:val="auto"/>
          <w:sz w:val="24"/>
          <w:szCs w:val="24"/>
          <w:lang w:eastAsia="zh-CN"/>
        </w:rPr>
        <w:t>；承建（承接）企业为</w:t>
      </w:r>
      <w:r>
        <w:rPr>
          <w:rFonts w:hint="eastAsia" w:ascii="宋体" w:eastAsia="宋体" w:cs="宋体"/>
          <w:color w:val="auto"/>
          <w:sz w:val="24"/>
          <w:szCs w:val="24"/>
          <w:u w:val="single"/>
          <w:lang w:eastAsia="zh-CN"/>
        </w:rPr>
        <w:t>（企业名称）</w:t>
      </w:r>
      <w:r>
        <w:rPr>
          <w:rFonts w:hint="eastAsia" w:ascii="宋体" w:eastAsia="宋体" w:cs="宋体"/>
          <w:color w:val="auto"/>
          <w:sz w:val="24"/>
          <w:szCs w:val="24"/>
          <w:lang w:eastAsia="zh-CN"/>
        </w:rPr>
        <w:t>，从业人员</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人，营业收入为</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万元，资产总额为</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 xml:space="preserve">万元 </w:t>
      </w:r>
      <w:r>
        <w:rPr>
          <w:rFonts w:hint="eastAsia" w:ascii="宋体" w:eastAsia="宋体" w:cs="宋体"/>
          <w:color w:val="auto"/>
          <w:sz w:val="24"/>
          <w:szCs w:val="24"/>
          <w:vertAlign w:val="superscript"/>
          <w:lang w:eastAsia="zh-CN"/>
        </w:rPr>
        <w:t>1</w:t>
      </w:r>
      <w:r>
        <w:rPr>
          <w:rFonts w:hint="eastAsia" w:ascii="宋体" w:eastAsia="宋体" w:cs="宋体"/>
          <w:color w:val="auto"/>
          <w:sz w:val="24"/>
          <w:szCs w:val="24"/>
          <w:lang w:eastAsia="zh-CN"/>
        </w:rPr>
        <w:t xml:space="preserve"> ，属于（中型企业、小型企业、微型企业）；</w:t>
      </w:r>
    </w:p>
    <w:p>
      <w:pPr>
        <w:kinsoku/>
        <w:spacing w:line="360" w:lineRule="auto"/>
        <w:ind w:firstLine="480" w:firstLineChars="200"/>
        <w:textAlignment w:val="baseline"/>
        <w:rPr>
          <w:rFonts w:ascii="宋体" w:eastAsia="宋体" w:cs="宋体"/>
          <w:color w:val="auto"/>
          <w:sz w:val="24"/>
          <w:szCs w:val="24"/>
          <w:lang w:eastAsia="zh-CN"/>
        </w:rPr>
      </w:pPr>
      <w:r>
        <w:rPr>
          <w:rFonts w:hint="eastAsia" w:ascii="宋体" w:eastAsia="宋体" w:cs="宋体"/>
          <w:color w:val="auto"/>
          <w:sz w:val="24"/>
          <w:szCs w:val="24"/>
          <w:lang w:eastAsia="zh-CN"/>
        </w:rPr>
        <w:t>2.</w:t>
      </w:r>
      <w:r>
        <w:rPr>
          <w:rFonts w:hint="eastAsia" w:ascii="宋体" w:eastAsia="宋体" w:cs="宋体"/>
          <w:color w:val="auto"/>
          <w:sz w:val="24"/>
          <w:szCs w:val="24"/>
          <w:u w:val="single"/>
          <w:lang w:eastAsia="zh-CN"/>
        </w:rPr>
        <w:t>（标的名称）</w:t>
      </w:r>
      <w:r>
        <w:rPr>
          <w:rFonts w:hint="eastAsia" w:ascii="宋体" w:eastAsia="宋体" w:cs="宋体"/>
          <w:color w:val="auto"/>
          <w:sz w:val="24"/>
          <w:szCs w:val="24"/>
          <w:lang w:eastAsia="zh-CN"/>
        </w:rPr>
        <w:t>，属于</w:t>
      </w:r>
      <w:r>
        <w:rPr>
          <w:rFonts w:hint="eastAsia" w:ascii="宋体" w:eastAsia="宋体" w:cs="宋体"/>
          <w:color w:val="auto"/>
          <w:sz w:val="24"/>
          <w:szCs w:val="24"/>
          <w:u w:val="single"/>
          <w:lang w:eastAsia="zh-CN"/>
        </w:rPr>
        <w:t>（采购文件中明确的所属行业）</w:t>
      </w:r>
      <w:r>
        <w:rPr>
          <w:rFonts w:hint="eastAsia" w:ascii="宋体" w:eastAsia="宋体" w:cs="宋体"/>
          <w:color w:val="auto"/>
          <w:sz w:val="24"/>
          <w:szCs w:val="24"/>
          <w:lang w:eastAsia="zh-CN"/>
        </w:rPr>
        <w:t>；承建（承接）企业为</w:t>
      </w:r>
      <w:r>
        <w:rPr>
          <w:rFonts w:hint="eastAsia" w:ascii="宋体" w:eastAsia="宋体" w:cs="宋体"/>
          <w:color w:val="auto"/>
          <w:sz w:val="24"/>
          <w:szCs w:val="24"/>
          <w:u w:val="single"/>
          <w:lang w:eastAsia="zh-CN"/>
        </w:rPr>
        <w:t>（企业名称）</w:t>
      </w:r>
      <w:r>
        <w:rPr>
          <w:rFonts w:hint="eastAsia" w:ascii="宋体" w:eastAsia="宋体" w:cs="宋体"/>
          <w:color w:val="auto"/>
          <w:sz w:val="24"/>
          <w:szCs w:val="24"/>
          <w:lang w:eastAsia="zh-CN"/>
        </w:rPr>
        <w:t>，从业人员</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人，营业收入为</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万元，资产总额为</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万元，属于（中型企业、小型企业、微型企业）；</w:t>
      </w:r>
    </w:p>
    <w:p>
      <w:pPr>
        <w:kinsoku/>
        <w:spacing w:line="360" w:lineRule="auto"/>
        <w:ind w:firstLine="480" w:firstLineChars="200"/>
        <w:textAlignment w:val="baseline"/>
        <w:rPr>
          <w:rFonts w:ascii="宋体" w:eastAsia="宋体" w:cs="宋体"/>
          <w:color w:val="auto"/>
          <w:sz w:val="24"/>
          <w:szCs w:val="24"/>
          <w:lang w:eastAsia="zh-CN"/>
        </w:rPr>
      </w:pPr>
      <w:r>
        <w:rPr>
          <w:rFonts w:hint="eastAsia" w:ascii="宋体" w:eastAsia="宋体" w:cs="宋体"/>
          <w:color w:val="auto"/>
          <w:sz w:val="24"/>
          <w:szCs w:val="24"/>
          <w:lang w:eastAsia="zh-CN"/>
        </w:rPr>
        <w:t>……</w:t>
      </w:r>
    </w:p>
    <w:p>
      <w:pPr>
        <w:kinsoku/>
        <w:spacing w:line="360" w:lineRule="auto"/>
        <w:ind w:firstLine="480" w:firstLineChars="200"/>
        <w:textAlignment w:val="baseline"/>
        <w:rPr>
          <w:rFonts w:ascii="宋体" w:eastAsia="宋体" w:cs="宋体"/>
          <w:color w:val="auto"/>
          <w:sz w:val="24"/>
          <w:szCs w:val="24"/>
          <w:lang w:eastAsia="zh-CN"/>
        </w:rPr>
      </w:pPr>
      <w:r>
        <w:rPr>
          <w:rFonts w:hint="eastAsia" w:ascii="宋体" w:eastAsia="宋体" w:cs="宋体"/>
          <w:color w:val="auto"/>
          <w:sz w:val="24"/>
          <w:szCs w:val="24"/>
          <w:lang w:eastAsia="zh-CN"/>
        </w:rPr>
        <w:t>以上企业，不属于大企业的分支机构，不存在控股股东为大企业的情形，也不存在与大企业的负责人为同一人的情形。</w:t>
      </w:r>
    </w:p>
    <w:p>
      <w:pPr>
        <w:kinsoku/>
        <w:spacing w:line="360" w:lineRule="auto"/>
        <w:ind w:firstLine="480" w:firstLineChars="200"/>
        <w:textAlignment w:val="baseline"/>
        <w:rPr>
          <w:rFonts w:ascii="宋体" w:eastAsia="宋体" w:cs="宋体"/>
          <w:color w:val="auto"/>
          <w:sz w:val="24"/>
          <w:szCs w:val="24"/>
          <w:lang w:eastAsia="zh-CN"/>
        </w:rPr>
      </w:pPr>
      <w:r>
        <w:rPr>
          <w:rFonts w:hint="eastAsia" w:ascii="宋体" w:eastAsia="宋体" w:cs="宋体"/>
          <w:color w:val="auto"/>
          <w:sz w:val="24"/>
          <w:szCs w:val="24"/>
          <w:lang w:eastAsia="zh-CN"/>
        </w:rPr>
        <w:t>本企业对上述声明内容的真实性负责。如有虚假，将依法承担相应责任。</w:t>
      </w:r>
    </w:p>
    <w:p>
      <w:pPr>
        <w:kinsoku/>
        <w:spacing w:line="360" w:lineRule="auto"/>
        <w:ind w:firstLine="480" w:firstLineChars="200"/>
        <w:textAlignment w:val="baseline"/>
        <w:rPr>
          <w:rFonts w:ascii="宋体" w:eastAsia="宋体" w:cs="宋体"/>
          <w:color w:val="auto"/>
          <w:sz w:val="24"/>
          <w:szCs w:val="24"/>
          <w:lang w:eastAsia="zh-CN"/>
        </w:rPr>
      </w:pPr>
      <w:r>
        <w:rPr>
          <w:rFonts w:hint="eastAsia" w:ascii="宋体" w:eastAsia="宋体" w:cs="宋体"/>
          <w:color w:val="auto"/>
          <w:sz w:val="24"/>
          <w:szCs w:val="24"/>
          <w:lang w:eastAsia="zh-CN"/>
        </w:rPr>
        <w:t>企业名称（盖章）：</w:t>
      </w:r>
    </w:p>
    <w:p>
      <w:pPr>
        <w:kinsoku/>
        <w:spacing w:line="360" w:lineRule="auto"/>
        <w:ind w:firstLine="480" w:firstLineChars="200"/>
        <w:textAlignment w:val="baseline"/>
        <w:rPr>
          <w:rFonts w:ascii="宋体" w:eastAsia="宋体" w:cs="宋体"/>
          <w:color w:val="auto"/>
          <w:sz w:val="24"/>
          <w:szCs w:val="24"/>
          <w:lang w:eastAsia="zh-CN"/>
        </w:rPr>
      </w:pPr>
      <w:r>
        <w:rPr>
          <w:rFonts w:hint="eastAsia" w:ascii="宋体" w:eastAsia="宋体" w:cs="宋体"/>
          <w:color w:val="auto"/>
          <w:sz w:val="24"/>
          <w:szCs w:val="24"/>
          <w:lang w:eastAsia="zh-CN"/>
        </w:rPr>
        <w:t>日 期：</w:t>
      </w:r>
    </w:p>
    <w:p>
      <w:pPr>
        <w:kinsoku/>
        <w:spacing w:line="360" w:lineRule="auto"/>
        <w:ind w:firstLine="480" w:firstLineChars="200"/>
        <w:textAlignment w:val="baseline"/>
        <w:rPr>
          <w:rFonts w:ascii="宋体" w:eastAsia="宋体" w:cs="宋体"/>
          <w:color w:val="auto"/>
          <w:sz w:val="24"/>
          <w:szCs w:val="24"/>
          <w:lang w:eastAsia="zh-CN"/>
        </w:rPr>
      </w:pPr>
    </w:p>
    <w:p>
      <w:pPr>
        <w:kinsoku/>
        <w:spacing w:line="360" w:lineRule="auto"/>
        <w:ind w:firstLine="480" w:firstLineChars="200"/>
        <w:textAlignment w:val="baseline"/>
        <w:rPr>
          <w:rFonts w:ascii="宋体" w:eastAsia="宋体" w:cs="宋体"/>
          <w:color w:val="auto"/>
          <w:sz w:val="24"/>
          <w:szCs w:val="24"/>
          <w:lang w:eastAsia="zh-CN"/>
        </w:rPr>
      </w:pPr>
    </w:p>
    <w:p>
      <w:pPr>
        <w:kinsoku/>
        <w:spacing w:line="360" w:lineRule="auto"/>
        <w:ind w:firstLine="480" w:firstLineChars="200"/>
        <w:textAlignment w:val="baseline"/>
        <w:rPr>
          <w:rFonts w:ascii="宋体" w:eastAsia="宋体" w:cs="宋体"/>
          <w:color w:val="auto"/>
          <w:sz w:val="24"/>
          <w:szCs w:val="24"/>
          <w:vertAlign w:val="superscript"/>
          <w:lang w:eastAsia="zh-CN"/>
        </w:rPr>
      </w:pPr>
    </w:p>
    <w:p>
      <w:pPr>
        <w:kinsoku/>
        <w:spacing w:line="360"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注：1.从业人员、营业收入、资产总额填报上一年度数据，无上一年数据的新成立企业可不填报。</w:t>
      </w:r>
    </w:p>
    <w:p>
      <w:pPr>
        <w:kinsoku/>
        <w:spacing w:line="360"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2.中型、小型、微型企业请在投标文件中附此函。</w:t>
      </w:r>
    </w:p>
    <w:p>
      <w:pPr>
        <w:kinsoku/>
        <w:spacing w:line="360" w:lineRule="auto"/>
        <w:ind w:firstLine="440" w:firstLineChars="200"/>
        <w:rPr>
          <w:rFonts w:ascii="宋体" w:hAnsi="宋体" w:eastAsia="宋体" w:cs="宋体"/>
          <w:color w:val="auto"/>
          <w:sz w:val="22"/>
          <w:szCs w:val="22"/>
          <w:lang w:eastAsia="zh-CN"/>
        </w:rPr>
      </w:pPr>
      <w:r>
        <w:rPr>
          <w:rFonts w:hint="eastAsia" w:ascii="宋体" w:hAnsi="宋体" w:eastAsia="宋体" w:cs="宋体"/>
          <w:color w:val="auto"/>
          <w:sz w:val="22"/>
          <w:szCs w:val="22"/>
          <w:lang w:eastAsia="zh-CN"/>
        </w:rPr>
        <w:t>3.供应商提供《中小企业声明函》内容不实的，属于“隐瞒真实情况，提供虚假资料”的情形，依照有关规定追究相应责任。</w:t>
      </w:r>
    </w:p>
    <w:p>
      <w:pPr>
        <w:rPr>
          <w:rFonts w:ascii="宋体" w:eastAsia="宋体" w:cs="宋体"/>
          <w:b/>
          <w:bCs/>
          <w:color w:val="auto"/>
          <w:sz w:val="28"/>
          <w:szCs w:val="28"/>
          <w:lang w:eastAsia="zh-CN"/>
        </w:rPr>
      </w:pPr>
      <w:r>
        <w:rPr>
          <w:rFonts w:hint="eastAsia" w:ascii="宋体" w:eastAsia="宋体" w:cs="宋体"/>
          <w:b/>
          <w:bCs/>
          <w:color w:val="auto"/>
          <w:sz w:val="28"/>
          <w:szCs w:val="28"/>
          <w:lang w:eastAsia="zh-CN"/>
        </w:rPr>
        <w:br w:type="page"/>
      </w: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jc w:val="center"/>
        <w:outlineLvl w:val="1"/>
        <w:rPr>
          <w:rFonts w:ascii="宋体" w:hAnsi="宋体" w:eastAsia="宋体" w:cs="宋体"/>
          <w:b/>
          <w:bCs/>
          <w:color w:val="auto"/>
          <w:sz w:val="24"/>
          <w:szCs w:val="24"/>
          <w:lang w:eastAsia="zh-CN"/>
        </w:rPr>
      </w:pPr>
      <w:bookmarkStart w:id="58" w:name="_Toc7667"/>
      <w:r>
        <w:rPr>
          <w:rFonts w:hint="eastAsia" w:ascii="宋体" w:eastAsia="宋体" w:cs="宋体"/>
          <w:b/>
          <w:bCs/>
          <w:color w:val="auto"/>
          <w:sz w:val="28"/>
          <w:szCs w:val="28"/>
          <w:lang w:eastAsia="zh-CN"/>
        </w:rPr>
        <w:t>十四、监狱企业证明文件</w:t>
      </w:r>
      <w:bookmarkEnd w:id="58"/>
    </w:p>
    <w:p>
      <w:pPr>
        <w:kinsoku/>
        <w:spacing w:line="360" w:lineRule="auto"/>
        <w:ind w:firstLine="480" w:firstLineChars="200"/>
        <w:rPr>
          <w:rFonts w:ascii="宋体" w:hAnsi="宋体" w:eastAsia="宋体" w:cs="宋体"/>
          <w:color w:val="auto"/>
          <w:sz w:val="24"/>
          <w:szCs w:val="24"/>
          <w:lang w:eastAsia="zh-CN"/>
        </w:rPr>
      </w:pP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提供由省级以上监狱管理局、戒毒管理局（含新疆生产建设兵团）出具的属于监狱企业的证明文件。</w:t>
      </w:r>
    </w:p>
    <w:p>
      <w:pPr>
        <w:kinsoku/>
        <w:spacing w:line="360" w:lineRule="auto"/>
        <w:ind w:firstLine="480" w:firstLineChars="200"/>
        <w:rPr>
          <w:rFonts w:ascii="宋体" w:hAnsi="宋体" w:eastAsia="宋体" w:cs="宋体"/>
          <w:color w:val="auto"/>
          <w:sz w:val="24"/>
          <w:szCs w:val="24"/>
          <w:lang w:eastAsia="zh-CN"/>
        </w:rPr>
      </w:pPr>
    </w:p>
    <w:p>
      <w:pPr>
        <w:kinsoku/>
        <w:spacing w:line="360" w:lineRule="auto"/>
        <w:ind w:firstLine="480" w:firstLineChars="200"/>
        <w:rPr>
          <w:rFonts w:ascii="宋体" w:hAnsi="宋体" w:eastAsia="宋体" w:cs="宋体"/>
          <w:color w:val="auto"/>
          <w:sz w:val="24"/>
          <w:szCs w:val="24"/>
          <w:lang w:eastAsia="zh-CN"/>
        </w:rPr>
      </w:pPr>
    </w:p>
    <w:p>
      <w:pPr>
        <w:kinsoku/>
        <w:spacing w:line="360" w:lineRule="auto"/>
        <w:ind w:firstLine="480" w:firstLineChars="200"/>
        <w:rPr>
          <w:rFonts w:ascii="宋体" w:hAnsi="宋体" w:eastAsia="宋体" w:cs="宋体"/>
          <w:color w:val="auto"/>
          <w:sz w:val="24"/>
          <w:szCs w:val="24"/>
          <w:lang w:eastAsia="zh-CN"/>
        </w:rPr>
      </w:pPr>
    </w:p>
    <w:p>
      <w:pPr>
        <w:kinsoku/>
        <w:spacing w:line="360" w:lineRule="auto"/>
        <w:ind w:firstLine="480" w:firstLineChars="200"/>
        <w:rPr>
          <w:rFonts w:ascii="宋体" w:hAnsi="宋体" w:eastAsia="宋体" w:cs="宋体"/>
          <w:color w:val="auto"/>
          <w:sz w:val="24"/>
          <w:szCs w:val="24"/>
          <w:lang w:eastAsia="zh-CN"/>
        </w:rPr>
      </w:pPr>
    </w:p>
    <w:p>
      <w:pPr>
        <w:kinsoku/>
        <w:spacing w:line="360" w:lineRule="auto"/>
        <w:ind w:firstLine="480" w:firstLineChars="200"/>
        <w:rPr>
          <w:rFonts w:ascii="宋体" w:hAnsi="宋体" w:eastAsia="宋体" w:cs="宋体"/>
          <w:color w:val="auto"/>
          <w:sz w:val="24"/>
          <w:szCs w:val="24"/>
          <w:lang w:eastAsia="zh-CN"/>
        </w:rPr>
        <w:sectPr>
          <w:footerReference r:id="rId24" w:type="default"/>
          <w:pgSz w:w="11906" w:h="16838"/>
          <w:pgMar w:top="1440" w:right="1080" w:bottom="1440" w:left="1080" w:header="0" w:footer="850" w:gutter="0"/>
          <w:cols w:space="0" w:num="1"/>
        </w:sectPr>
      </w:pPr>
    </w:p>
    <w:p>
      <w:pPr>
        <w:kinsoku/>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jc w:val="center"/>
        <w:outlineLvl w:val="1"/>
        <w:rPr>
          <w:rFonts w:ascii="宋体" w:hAnsi="宋体" w:eastAsia="宋体" w:cs="宋体"/>
          <w:b/>
          <w:bCs/>
          <w:color w:val="auto"/>
          <w:sz w:val="24"/>
          <w:szCs w:val="24"/>
          <w:lang w:eastAsia="zh-CN"/>
        </w:rPr>
      </w:pPr>
      <w:bookmarkStart w:id="59" w:name="_Toc20601"/>
      <w:r>
        <w:rPr>
          <w:rFonts w:hint="eastAsia" w:ascii="宋体" w:hAnsi="宋体" w:eastAsia="宋体" w:cs="宋体"/>
          <w:b/>
          <w:bCs/>
          <w:color w:val="auto"/>
          <w:sz w:val="28"/>
          <w:szCs w:val="28"/>
          <w:lang w:eastAsia="zh-CN"/>
        </w:rPr>
        <w:t>十五、残疾人福利性单位声明函</w:t>
      </w:r>
      <w:bookmarkEnd w:id="59"/>
    </w:p>
    <w:p>
      <w:pPr>
        <w:spacing w:before="111" w:line="360" w:lineRule="auto"/>
        <w:ind w:right="15" w:firstLine="544" w:firstLineChars="200"/>
        <w:rPr>
          <w:rFonts w:ascii="宋体" w:hAnsi="宋体" w:eastAsia="宋体" w:cs="宋体"/>
          <w:color w:val="auto"/>
          <w:sz w:val="26"/>
          <w:szCs w:val="26"/>
          <w:lang w:eastAsia="zh-CN"/>
        </w:rPr>
      </w:pPr>
      <w:r>
        <w:rPr>
          <w:rFonts w:hint="eastAsia" w:ascii="宋体" w:hAnsi="宋体" w:eastAsia="宋体" w:cs="宋体"/>
          <w:color w:val="auto"/>
          <w:spacing w:val="6"/>
          <w:sz w:val="26"/>
          <w:szCs w:val="26"/>
          <w:lang w:eastAsia="zh-CN"/>
        </w:rPr>
        <w:t>本单位郑重声</w:t>
      </w:r>
      <w:r>
        <w:rPr>
          <w:rFonts w:hint="eastAsia" w:ascii="宋体" w:hAnsi="宋体" w:eastAsia="宋体" w:cs="宋体"/>
          <w:color w:val="auto"/>
          <w:spacing w:val="4"/>
          <w:sz w:val="26"/>
          <w:szCs w:val="26"/>
          <w:lang w:eastAsia="zh-CN"/>
        </w:rPr>
        <w:t>明</w:t>
      </w:r>
      <w:r>
        <w:rPr>
          <w:rFonts w:hint="eastAsia" w:ascii="宋体" w:hAnsi="宋体" w:eastAsia="宋体" w:cs="宋体"/>
          <w:color w:val="auto"/>
          <w:spacing w:val="3"/>
          <w:sz w:val="26"/>
          <w:szCs w:val="26"/>
          <w:lang w:eastAsia="zh-CN"/>
        </w:rPr>
        <w:t>，根据《财政部 民政部 中国残疾人联合会关于</w:t>
      </w:r>
      <w:r>
        <w:rPr>
          <w:rFonts w:hint="eastAsia" w:ascii="宋体" w:hAnsi="宋体" w:eastAsia="宋体" w:cs="宋体"/>
          <w:color w:val="auto"/>
          <w:spacing w:val="2"/>
          <w:sz w:val="26"/>
          <w:szCs w:val="26"/>
          <w:lang w:eastAsia="zh-CN"/>
        </w:rPr>
        <w:t>促进残疾人就业</w:t>
      </w:r>
      <w:r>
        <w:rPr>
          <w:rFonts w:hint="eastAsia" w:ascii="宋体" w:hAnsi="宋体" w:eastAsia="宋体" w:cs="宋体"/>
          <w:color w:val="auto"/>
          <w:spacing w:val="1"/>
          <w:sz w:val="26"/>
          <w:szCs w:val="26"/>
          <w:lang w:eastAsia="zh-CN"/>
        </w:rPr>
        <w:t>政府采购政策的通知》(财库〔2017〕141号)的规</w:t>
      </w:r>
      <w:r>
        <w:rPr>
          <w:rFonts w:hint="eastAsia" w:ascii="宋体" w:hAnsi="宋体" w:eastAsia="宋体" w:cs="宋体"/>
          <w:color w:val="auto"/>
          <w:spacing w:val="9"/>
          <w:sz w:val="26"/>
          <w:szCs w:val="26"/>
          <w:lang w:eastAsia="zh-CN"/>
        </w:rPr>
        <w:t>定，本单位为符合条件的残疾人福利性单位，且本单位参加</w:t>
      </w:r>
      <w:r>
        <w:rPr>
          <w:rFonts w:hint="eastAsia" w:ascii="宋体" w:hAnsi="宋体" w:eastAsia="宋体" w:cs="宋体"/>
          <w:color w:val="auto"/>
          <w:spacing w:val="9"/>
          <w:sz w:val="26"/>
          <w:szCs w:val="26"/>
          <w:u w:val="single"/>
          <w:lang w:eastAsia="zh-CN"/>
        </w:rPr>
        <w:t xml:space="preserve">    </w:t>
      </w:r>
      <w:r>
        <w:rPr>
          <w:rFonts w:hint="eastAsia" w:ascii="宋体" w:hAnsi="宋体" w:eastAsia="宋体" w:cs="宋体"/>
          <w:color w:val="auto"/>
          <w:spacing w:val="9"/>
          <w:sz w:val="26"/>
          <w:szCs w:val="26"/>
          <w:lang w:eastAsia="zh-CN"/>
        </w:rPr>
        <w:t>单</w:t>
      </w:r>
      <w:r>
        <w:rPr>
          <w:rFonts w:hint="eastAsia" w:ascii="宋体" w:hAnsi="宋体" w:eastAsia="宋体" w:cs="宋体"/>
          <w:color w:val="auto"/>
          <w:spacing w:val="2"/>
          <w:sz w:val="26"/>
          <w:szCs w:val="26"/>
          <w:lang w:eastAsia="zh-CN"/>
        </w:rPr>
        <w:t>位</w:t>
      </w:r>
      <w:r>
        <w:rPr>
          <w:rFonts w:hint="eastAsia" w:ascii="宋体" w:hAnsi="宋体" w:eastAsia="宋体" w:cs="宋体"/>
          <w:color w:val="auto"/>
          <w:spacing w:val="16"/>
          <w:sz w:val="26"/>
          <w:szCs w:val="26"/>
          <w:lang w:eastAsia="zh-CN"/>
        </w:rPr>
        <w:t>的</w:t>
      </w:r>
      <w:r>
        <w:rPr>
          <w:rFonts w:hint="eastAsia" w:ascii="宋体" w:hAnsi="宋体" w:eastAsia="宋体" w:cs="宋体"/>
          <w:color w:val="auto"/>
          <w:spacing w:val="8"/>
          <w:sz w:val="26"/>
          <w:szCs w:val="26"/>
          <w:u w:val="single"/>
          <w:lang w:eastAsia="zh-CN"/>
        </w:rPr>
        <w:t xml:space="preserve">    </w:t>
      </w:r>
      <w:r>
        <w:rPr>
          <w:rFonts w:hint="eastAsia" w:ascii="宋体" w:hAnsi="宋体" w:eastAsia="宋体" w:cs="宋体"/>
          <w:color w:val="auto"/>
          <w:spacing w:val="8"/>
          <w:sz w:val="26"/>
          <w:szCs w:val="26"/>
          <w:lang w:eastAsia="zh-CN"/>
        </w:rPr>
        <w:t>项目采购活动提供本单位制造的货物(由本单位承担工程/提供</w:t>
      </w:r>
      <w:r>
        <w:rPr>
          <w:rFonts w:hint="eastAsia" w:ascii="宋体" w:hAnsi="宋体" w:eastAsia="宋体" w:cs="宋体"/>
          <w:color w:val="auto"/>
          <w:spacing w:val="17"/>
          <w:sz w:val="26"/>
          <w:szCs w:val="26"/>
          <w:lang w:eastAsia="zh-CN"/>
        </w:rPr>
        <w:t>服</w:t>
      </w:r>
      <w:r>
        <w:rPr>
          <w:rFonts w:hint="eastAsia" w:ascii="宋体" w:hAnsi="宋体" w:eastAsia="宋体" w:cs="宋体"/>
          <w:color w:val="auto"/>
          <w:spacing w:val="13"/>
          <w:sz w:val="26"/>
          <w:szCs w:val="26"/>
          <w:lang w:eastAsia="zh-CN"/>
        </w:rPr>
        <w:t>务)，或者提供其他残疾人福利性单位制造的货物(不包括使用非残</w:t>
      </w:r>
      <w:r>
        <w:rPr>
          <w:rFonts w:hint="eastAsia" w:ascii="宋体" w:hAnsi="宋体" w:eastAsia="宋体" w:cs="宋体"/>
          <w:color w:val="auto"/>
          <w:spacing w:val="12"/>
          <w:sz w:val="26"/>
          <w:szCs w:val="26"/>
          <w:lang w:eastAsia="zh-CN"/>
        </w:rPr>
        <w:t>疾</w:t>
      </w:r>
      <w:r>
        <w:rPr>
          <w:rFonts w:hint="eastAsia" w:ascii="宋体" w:hAnsi="宋体" w:eastAsia="宋体" w:cs="宋体"/>
          <w:color w:val="auto"/>
          <w:spacing w:val="9"/>
          <w:sz w:val="26"/>
          <w:szCs w:val="26"/>
          <w:lang w:eastAsia="zh-CN"/>
        </w:rPr>
        <w:t>人福利性单位注册商标的货物)。</w:t>
      </w:r>
    </w:p>
    <w:p>
      <w:pPr>
        <w:kinsoku/>
        <w:spacing w:line="360" w:lineRule="auto"/>
        <w:ind w:firstLine="560" w:firstLineChars="200"/>
        <w:rPr>
          <w:rFonts w:ascii="宋体" w:hAnsi="宋体" w:eastAsia="宋体" w:cs="宋体"/>
          <w:color w:val="auto"/>
          <w:sz w:val="26"/>
          <w:szCs w:val="26"/>
          <w:lang w:eastAsia="zh-CN"/>
        </w:rPr>
      </w:pPr>
      <w:r>
        <w:rPr>
          <w:rFonts w:hint="eastAsia" w:ascii="宋体" w:hAnsi="宋体" w:eastAsia="宋体" w:cs="宋体"/>
          <w:color w:val="auto"/>
          <w:spacing w:val="10"/>
          <w:sz w:val="26"/>
          <w:szCs w:val="26"/>
          <w:lang w:eastAsia="zh-CN"/>
        </w:rPr>
        <w:t>本单位对</w:t>
      </w:r>
      <w:r>
        <w:rPr>
          <w:rFonts w:hint="eastAsia" w:ascii="宋体" w:hAnsi="宋体" w:eastAsia="宋体" w:cs="宋体"/>
          <w:color w:val="auto"/>
          <w:spacing w:val="5"/>
          <w:sz w:val="26"/>
          <w:szCs w:val="26"/>
          <w:lang w:eastAsia="zh-CN"/>
        </w:rPr>
        <w:t>上述声明的真实性负责。如有虚假，将依法承担相应责</w:t>
      </w:r>
      <w:r>
        <w:rPr>
          <w:rFonts w:hint="eastAsia" w:ascii="宋体" w:hAnsi="宋体" w:eastAsia="宋体" w:cs="宋体"/>
          <w:color w:val="auto"/>
          <w:spacing w:val="3"/>
          <w:sz w:val="26"/>
          <w:szCs w:val="26"/>
          <w:lang w:eastAsia="zh-CN"/>
        </w:rPr>
        <w:t>任</w:t>
      </w:r>
      <w:r>
        <w:rPr>
          <w:rFonts w:hint="eastAsia" w:ascii="宋体" w:hAnsi="宋体" w:eastAsia="宋体" w:cs="宋体"/>
          <w:color w:val="auto"/>
          <w:spacing w:val="2"/>
          <w:sz w:val="26"/>
          <w:szCs w:val="26"/>
          <w:lang w:eastAsia="zh-CN"/>
        </w:rPr>
        <w:t>。</w:t>
      </w:r>
    </w:p>
    <w:p>
      <w:pPr>
        <w:spacing w:line="360" w:lineRule="auto"/>
        <w:rPr>
          <w:rFonts w:ascii="宋体" w:hAnsi="宋体" w:eastAsia="宋体" w:cs="宋体"/>
          <w:color w:val="auto"/>
          <w:sz w:val="26"/>
          <w:szCs w:val="26"/>
          <w:lang w:eastAsia="zh-CN"/>
        </w:rPr>
      </w:pPr>
    </w:p>
    <w:p>
      <w:pPr>
        <w:spacing w:line="360" w:lineRule="auto"/>
        <w:rPr>
          <w:rFonts w:ascii="宋体" w:hAnsi="宋体" w:eastAsia="宋体" w:cs="宋体"/>
          <w:color w:val="auto"/>
          <w:sz w:val="26"/>
          <w:szCs w:val="26"/>
          <w:lang w:eastAsia="zh-CN"/>
        </w:rPr>
      </w:pPr>
    </w:p>
    <w:p>
      <w:pPr>
        <w:spacing w:line="360" w:lineRule="auto"/>
        <w:rPr>
          <w:rFonts w:ascii="宋体" w:hAnsi="宋体" w:eastAsia="宋体" w:cs="宋体"/>
          <w:color w:val="auto"/>
          <w:sz w:val="26"/>
          <w:szCs w:val="26"/>
          <w:lang w:eastAsia="zh-CN"/>
        </w:rPr>
      </w:pPr>
    </w:p>
    <w:p>
      <w:pPr>
        <w:spacing w:line="360" w:lineRule="auto"/>
        <w:rPr>
          <w:rFonts w:ascii="宋体" w:hAnsi="宋体" w:eastAsia="宋体" w:cs="宋体"/>
          <w:color w:val="auto"/>
          <w:sz w:val="26"/>
          <w:szCs w:val="26"/>
          <w:lang w:eastAsia="zh-CN"/>
        </w:rPr>
      </w:pPr>
    </w:p>
    <w:p>
      <w:pPr>
        <w:spacing w:before="112" w:line="360" w:lineRule="auto"/>
        <w:ind w:left="3977"/>
        <w:rPr>
          <w:rFonts w:ascii="宋体" w:hAnsi="宋体" w:eastAsia="宋体" w:cs="宋体"/>
          <w:color w:val="auto"/>
          <w:sz w:val="26"/>
          <w:szCs w:val="26"/>
          <w:lang w:eastAsia="zh-CN"/>
        </w:rPr>
      </w:pPr>
      <w:r>
        <w:rPr>
          <w:rFonts w:hint="eastAsia" w:ascii="宋体" w:hAnsi="宋体" w:eastAsia="宋体" w:cs="宋体"/>
          <w:color w:val="auto"/>
          <w:spacing w:val="24"/>
          <w:position w:val="24"/>
          <w:sz w:val="26"/>
          <w:szCs w:val="26"/>
          <w:lang w:eastAsia="zh-CN"/>
        </w:rPr>
        <w:t>单</w:t>
      </w:r>
      <w:r>
        <w:rPr>
          <w:rFonts w:hint="eastAsia" w:ascii="宋体" w:hAnsi="宋体" w:eastAsia="宋体" w:cs="宋体"/>
          <w:color w:val="auto"/>
          <w:spacing w:val="17"/>
          <w:position w:val="24"/>
          <w:sz w:val="26"/>
          <w:szCs w:val="26"/>
          <w:lang w:eastAsia="zh-CN"/>
        </w:rPr>
        <w:t>位名称(盖章)：</w:t>
      </w:r>
    </w:p>
    <w:p>
      <w:pPr>
        <w:ind w:firstLine="5257" w:firstLineChars="2120"/>
        <w:rPr>
          <w:rFonts w:ascii="宋体" w:eastAsia="宋体" w:cs="宋体"/>
          <w:b/>
          <w:bCs/>
          <w:color w:val="auto"/>
          <w:sz w:val="28"/>
          <w:szCs w:val="28"/>
          <w:lang w:eastAsia="zh-CN"/>
        </w:rPr>
      </w:pPr>
      <w:r>
        <w:rPr>
          <w:rFonts w:hint="eastAsia" w:ascii="宋体" w:hAnsi="宋体" w:eastAsia="宋体" w:cs="宋体"/>
          <w:color w:val="auto"/>
          <w:spacing w:val="-6"/>
          <w:sz w:val="26"/>
          <w:szCs w:val="26"/>
          <w:lang w:eastAsia="zh-CN"/>
        </w:rPr>
        <w:t>日</w:t>
      </w:r>
      <w:r>
        <w:rPr>
          <w:rFonts w:hint="eastAsia" w:ascii="宋体" w:hAnsi="宋体" w:eastAsia="宋体" w:cs="宋体"/>
          <w:color w:val="auto"/>
          <w:spacing w:val="-4"/>
          <w:sz w:val="26"/>
          <w:szCs w:val="26"/>
          <w:lang w:eastAsia="zh-CN"/>
        </w:rPr>
        <w:t xml:space="preserve"> </w:t>
      </w:r>
      <w:r>
        <w:rPr>
          <w:rFonts w:hint="eastAsia" w:ascii="宋体" w:hAnsi="宋体" w:eastAsia="宋体" w:cs="宋体"/>
          <w:color w:val="auto"/>
          <w:spacing w:val="-3"/>
          <w:sz w:val="26"/>
          <w:szCs w:val="26"/>
          <w:lang w:eastAsia="zh-CN"/>
        </w:rPr>
        <w:t>期：</w:t>
      </w:r>
      <w:r>
        <w:rPr>
          <w:rFonts w:hint="eastAsia" w:ascii="宋体" w:eastAsia="宋体" w:cs="宋体"/>
          <w:b/>
          <w:bCs/>
          <w:color w:val="auto"/>
          <w:sz w:val="28"/>
          <w:szCs w:val="28"/>
          <w:lang w:eastAsia="zh-CN"/>
        </w:rPr>
        <w:br w:type="page"/>
      </w:r>
    </w:p>
    <w:p>
      <w:pPr>
        <w:kinsoku/>
        <w:spacing w:line="480" w:lineRule="auto"/>
        <w:jc w:val="center"/>
        <w:outlineLvl w:val="1"/>
        <w:rPr>
          <w:rFonts w:ascii="宋体" w:eastAsia="宋体" w:cs="宋体"/>
          <w:b/>
          <w:bCs/>
          <w:color w:val="auto"/>
          <w:sz w:val="28"/>
          <w:szCs w:val="28"/>
          <w:lang w:eastAsia="zh-CN"/>
        </w:rPr>
      </w:pPr>
      <w:bookmarkStart w:id="60" w:name="_Toc23604"/>
      <w:r>
        <w:rPr>
          <w:rFonts w:hint="eastAsia" w:ascii="宋体" w:eastAsia="宋体" w:cs="宋体"/>
          <w:b/>
          <w:bCs/>
          <w:color w:val="auto"/>
          <w:sz w:val="28"/>
          <w:szCs w:val="28"/>
          <w:lang w:eastAsia="zh-CN"/>
        </w:rPr>
        <w:t>十六、主要商务要求承诺书</w:t>
      </w:r>
      <w:bookmarkEnd w:id="60"/>
    </w:p>
    <w:p>
      <w:pPr>
        <w:kinsoku/>
        <w:wordWrap w:val="0"/>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我公司承诺可以完全满足</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(项目名称），项目编号：</w:t>
      </w:r>
      <w:r>
        <w:rPr>
          <w:rFonts w:hint="eastAsia" w:ascii="宋体" w:eastAsia="宋体" w:cs="宋体"/>
          <w:color w:val="auto"/>
          <w:sz w:val="24"/>
          <w:szCs w:val="24"/>
          <w:u w:val="single"/>
          <w:lang w:eastAsia="zh-CN"/>
        </w:rPr>
        <w:t xml:space="preserve">                </w:t>
      </w:r>
      <w:r>
        <w:rPr>
          <w:rFonts w:hint="eastAsia" w:ascii="宋体" w:eastAsia="宋体" w:cs="宋体"/>
          <w:color w:val="auto"/>
          <w:sz w:val="24"/>
          <w:szCs w:val="24"/>
          <w:lang w:eastAsia="zh-CN"/>
        </w:rPr>
        <w:t>磋商文件的所有主要商务条款要求，包括交货或服务期限、交货或服务地点、付款方式、验收要求、履约保证金等。若有不符合或未按承诺履行的，承担相应法律后果。</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如有优于磋商文件主要商务要求的请在此承诺书中说明。</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具体优于内容（如服务期限、地点，质保期等）。</w:t>
      </w:r>
    </w:p>
    <w:p>
      <w:pPr>
        <w:kinsoku/>
        <w:spacing w:line="48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特此承诺</w:t>
      </w:r>
    </w:p>
    <w:p>
      <w:pPr>
        <w:kinsoku/>
        <w:spacing w:line="360" w:lineRule="auto"/>
        <w:ind w:firstLine="4320" w:firstLineChars="1800"/>
        <w:rPr>
          <w:rFonts w:ascii="宋体" w:eastAsia="宋体" w:cs="宋体"/>
          <w:color w:val="auto"/>
          <w:sz w:val="24"/>
          <w:szCs w:val="24"/>
          <w:lang w:eastAsia="zh-CN"/>
        </w:rPr>
      </w:pPr>
      <w:r>
        <w:rPr>
          <w:rFonts w:hint="eastAsia" w:ascii="宋体" w:eastAsia="宋体" w:cs="宋体"/>
          <w:color w:val="auto"/>
          <w:sz w:val="24"/>
          <w:szCs w:val="24"/>
          <w:lang w:eastAsia="zh-CN"/>
        </w:rPr>
        <w:t>供应商名称（盖章）：</w:t>
      </w:r>
    </w:p>
    <w:p>
      <w:pPr>
        <w:kinsoku/>
        <w:spacing w:line="360" w:lineRule="auto"/>
        <w:ind w:firstLine="480" w:firstLineChars="200"/>
        <w:jc w:val="right"/>
        <w:rPr>
          <w:rFonts w:ascii="宋体" w:eastAsia="宋体" w:cs="宋体"/>
          <w:color w:val="auto"/>
          <w:sz w:val="24"/>
          <w:szCs w:val="24"/>
          <w:lang w:eastAsia="zh-CN"/>
        </w:rPr>
      </w:pPr>
      <w:r>
        <w:rPr>
          <w:rFonts w:hint="eastAsia" w:ascii="宋体" w:eastAsia="宋体" w:cs="宋体"/>
          <w:color w:val="auto"/>
          <w:sz w:val="24"/>
          <w:szCs w:val="24"/>
          <w:lang w:eastAsia="zh-CN"/>
        </w:rPr>
        <w:t>年   月   日</w:t>
      </w:r>
    </w:p>
    <w:p>
      <w:pPr>
        <w:kinsoku/>
        <w:spacing w:line="360" w:lineRule="auto"/>
        <w:ind w:firstLine="480" w:firstLineChars="200"/>
        <w:rPr>
          <w:rFonts w:ascii="宋体" w:eastAsia="宋体" w:cs="宋体"/>
          <w:color w:val="auto"/>
          <w:sz w:val="24"/>
          <w:szCs w:val="24"/>
          <w:lang w:eastAsia="zh-CN"/>
        </w:rPr>
        <w:sectPr>
          <w:footerReference r:id="rId25" w:type="default"/>
          <w:pgSz w:w="11906" w:h="16838"/>
          <w:pgMar w:top="1440" w:right="1080" w:bottom="1440" w:left="1080" w:header="0" w:footer="850" w:gutter="0"/>
          <w:cols w:space="0" w:num="1"/>
          <w:docGrid w:linePitch="312" w:charSpace="0"/>
        </w:sectPr>
      </w:pPr>
    </w:p>
    <w:p>
      <w:pPr>
        <w:kinsoku/>
        <w:spacing w:line="360" w:lineRule="auto"/>
        <w:jc w:val="center"/>
        <w:outlineLvl w:val="1"/>
        <w:rPr>
          <w:rFonts w:ascii="宋体" w:eastAsia="宋体" w:cs="宋体"/>
          <w:color w:val="auto"/>
          <w:sz w:val="24"/>
          <w:szCs w:val="24"/>
          <w:lang w:eastAsia="zh-CN"/>
        </w:rPr>
      </w:pPr>
      <w:bookmarkStart w:id="61" w:name="_Toc17165"/>
      <w:r>
        <w:rPr>
          <w:rFonts w:hint="eastAsia" w:ascii="宋体" w:eastAsia="宋体" w:cs="宋体"/>
          <w:b/>
          <w:bCs/>
          <w:color w:val="auto"/>
          <w:sz w:val="28"/>
          <w:szCs w:val="28"/>
          <w:lang w:eastAsia="zh-CN"/>
        </w:rPr>
        <w:t>十七、技术偏离表</w:t>
      </w:r>
      <w:bookmarkEnd w:id="61"/>
    </w:p>
    <w:tbl>
      <w:tblPr>
        <w:tblStyle w:val="20"/>
        <w:tblW w:w="94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7"/>
        <w:gridCol w:w="1044"/>
        <w:gridCol w:w="1239"/>
        <w:gridCol w:w="2611"/>
        <w:gridCol w:w="1467"/>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15" w:type="dxa"/>
            <w:shd w:val="clear" w:color="auto" w:fill="auto"/>
            <w:vAlign w:val="center"/>
          </w:tcPr>
          <w:p>
            <w:pPr>
              <w:jc w:val="center"/>
              <w:rPr>
                <w:color w:val="auto"/>
              </w:rPr>
            </w:pPr>
            <w:r>
              <w:rPr>
                <w:rFonts w:hint="eastAsia"/>
                <w:color w:val="auto"/>
              </w:rPr>
              <w:t>序号</w:t>
            </w:r>
          </w:p>
        </w:tc>
        <w:tc>
          <w:tcPr>
            <w:tcW w:w="1307" w:type="dxa"/>
            <w:shd w:val="clear" w:color="auto" w:fill="auto"/>
            <w:vAlign w:val="center"/>
          </w:tcPr>
          <w:p>
            <w:pPr>
              <w:jc w:val="center"/>
              <w:rPr>
                <w:color w:val="auto"/>
              </w:rPr>
            </w:pPr>
            <w:r>
              <w:rPr>
                <w:rFonts w:hint="eastAsia"/>
                <w:color w:val="auto"/>
              </w:rPr>
              <w:t>标的名称</w:t>
            </w:r>
          </w:p>
        </w:tc>
        <w:tc>
          <w:tcPr>
            <w:tcW w:w="2283" w:type="dxa"/>
            <w:gridSpan w:val="2"/>
            <w:shd w:val="clear" w:color="auto" w:fill="auto"/>
            <w:vAlign w:val="center"/>
          </w:tcPr>
          <w:p>
            <w:pPr>
              <w:jc w:val="center"/>
              <w:rPr>
                <w:color w:val="auto"/>
              </w:rPr>
            </w:pPr>
            <w:r>
              <w:rPr>
                <w:rFonts w:hint="eastAsia"/>
                <w:color w:val="auto"/>
              </w:rPr>
              <w:t>技术要求</w:t>
            </w:r>
          </w:p>
        </w:tc>
        <w:tc>
          <w:tcPr>
            <w:tcW w:w="2611" w:type="dxa"/>
            <w:shd w:val="clear" w:color="auto" w:fill="auto"/>
            <w:vAlign w:val="center"/>
          </w:tcPr>
          <w:p>
            <w:pPr>
              <w:jc w:val="center"/>
              <w:rPr>
                <w:color w:val="auto"/>
              </w:rPr>
            </w:pPr>
            <w:r>
              <w:rPr>
                <w:rFonts w:hint="eastAsia"/>
                <w:color w:val="auto"/>
              </w:rPr>
              <w:t>响应内容</w:t>
            </w:r>
          </w:p>
        </w:tc>
        <w:tc>
          <w:tcPr>
            <w:tcW w:w="1467" w:type="dxa"/>
            <w:shd w:val="clear" w:color="auto" w:fill="auto"/>
            <w:vAlign w:val="center"/>
          </w:tcPr>
          <w:p>
            <w:pPr>
              <w:jc w:val="center"/>
              <w:rPr>
                <w:color w:val="auto"/>
              </w:rPr>
            </w:pPr>
            <w:r>
              <w:rPr>
                <w:rFonts w:hint="eastAsia"/>
                <w:color w:val="auto"/>
              </w:rPr>
              <w:t>偏离程度</w:t>
            </w:r>
          </w:p>
        </w:tc>
        <w:tc>
          <w:tcPr>
            <w:tcW w:w="934" w:type="dxa"/>
            <w:shd w:val="clear" w:color="auto" w:fill="auto"/>
            <w:vAlign w:val="center"/>
          </w:tcPr>
          <w:p>
            <w:pPr>
              <w:jc w:val="center"/>
              <w:rPr>
                <w:color w:val="auto"/>
              </w:rPr>
            </w:pPr>
            <w:r>
              <w:rPr>
                <w:rFonts w:hint="eastAsia"/>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restart"/>
            <w:tcBorders>
              <w:bottom w:val="nil"/>
            </w:tcBorders>
            <w:shd w:val="clear" w:color="auto" w:fill="auto"/>
            <w:vAlign w:val="center"/>
          </w:tcPr>
          <w:p>
            <w:pPr>
              <w:jc w:val="center"/>
              <w:rPr>
                <w:color w:val="auto"/>
              </w:rPr>
            </w:pPr>
            <w:r>
              <w:rPr>
                <w:rFonts w:hint="eastAsia"/>
                <w:color w:val="auto"/>
              </w:rPr>
              <w:t>1</w:t>
            </w:r>
          </w:p>
        </w:tc>
        <w:tc>
          <w:tcPr>
            <w:tcW w:w="1307" w:type="dxa"/>
            <w:vMerge w:val="restart"/>
            <w:tcBorders>
              <w:bottom w:val="nil"/>
            </w:tcBorders>
            <w:shd w:val="clear" w:color="auto" w:fill="auto"/>
            <w:vAlign w:val="center"/>
          </w:tcPr>
          <w:p>
            <w:pPr>
              <w:jc w:val="center"/>
              <w:rPr>
                <w:color w:val="auto"/>
              </w:rPr>
            </w:pPr>
          </w:p>
        </w:tc>
        <w:tc>
          <w:tcPr>
            <w:tcW w:w="1044" w:type="dxa"/>
            <w:shd w:val="clear" w:color="auto" w:fill="auto"/>
            <w:vAlign w:val="center"/>
          </w:tcPr>
          <w:p>
            <w:pPr>
              <w:jc w:val="center"/>
              <w:rPr>
                <w:color w:val="auto"/>
              </w:rPr>
            </w:pPr>
            <w:r>
              <w:rPr>
                <w:rFonts w:hint="eastAsia"/>
                <w:color w:val="auto"/>
              </w:rPr>
              <w:t>★</w:t>
            </w:r>
          </w:p>
        </w:tc>
        <w:tc>
          <w:tcPr>
            <w:tcW w:w="1239" w:type="dxa"/>
            <w:shd w:val="clear" w:color="auto" w:fill="auto"/>
            <w:vAlign w:val="center"/>
          </w:tcPr>
          <w:p>
            <w:pPr>
              <w:jc w:val="center"/>
              <w:rPr>
                <w:color w:val="auto"/>
              </w:rPr>
            </w:pPr>
            <w:r>
              <w:rPr>
                <w:rFonts w:hint="eastAsia"/>
                <w:color w:val="auto"/>
              </w:rPr>
              <w:t>1.1…</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color w:val="auto"/>
              </w:rPr>
            </w:pPr>
          </w:p>
        </w:tc>
        <w:tc>
          <w:tcPr>
            <w:tcW w:w="1307" w:type="dxa"/>
            <w:vMerge w:val="continue"/>
            <w:tcBorders>
              <w:top w:val="nil"/>
              <w:bottom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1.2…</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jc w:val="center"/>
        </w:trPr>
        <w:tc>
          <w:tcPr>
            <w:tcW w:w="815" w:type="dxa"/>
            <w:vMerge w:val="continue"/>
            <w:tcBorders>
              <w:top w:val="nil"/>
            </w:tcBorders>
            <w:shd w:val="clear" w:color="auto" w:fill="auto"/>
            <w:vAlign w:val="center"/>
          </w:tcPr>
          <w:p>
            <w:pPr>
              <w:rPr>
                <w:color w:val="auto"/>
              </w:rPr>
            </w:pPr>
          </w:p>
        </w:tc>
        <w:tc>
          <w:tcPr>
            <w:tcW w:w="1307" w:type="dxa"/>
            <w:vMerge w:val="continue"/>
            <w:tcBorders>
              <w:top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restart"/>
            <w:tcBorders>
              <w:bottom w:val="nil"/>
            </w:tcBorders>
            <w:shd w:val="clear" w:color="auto" w:fill="auto"/>
            <w:vAlign w:val="center"/>
          </w:tcPr>
          <w:p>
            <w:pPr>
              <w:jc w:val="center"/>
              <w:rPr>
                <w:color w:val="auto"/>
              </w:rPr>
            </w:pPr>
            <w:r>
              <w:rPr>
                <w:rFonts w:hint="eastAsia"/>
                <w:color w:val="auto"/>
              </w:rPr>
              <w:t>2</w:t>
            </w:r>
          </w:p>
        </w:tc>
        <w:tc>
          <w:tcPr>
            <w:tcW w:w="1307" w:type="dxa"/>
            <w:vMerge w:val="restart"/>
            <w:tcBorders>
              <w:bottom w:val="nil"/>
            </w:tcBorders>
            <w:shd w:val="clear" w:color="auto" w:fill="auto"/>
            <w:vAlign w:val="center"/>
          </w:tcPr>
          <w:p>
            <w:pPr>
              <w:jc w:val="center"/>
              <w:rPr>
                <w:color w:val="auto"/>
              </w:rPr>
            </w:pPr>
          </w:p>
        </w:tc>
        <w:tc>
          <w:tcPr>
            <w:tcW w:w="1044" w:type="dxa"/>
            <w:shd w:val="clear" w:color="auto" w:fill="auto"/>
            <w:vAlign w:val="center"/>
          </w:tcPr>
          <w:p>
            <w:pPr>
              <w:jc w:val="center"/>
              <w:rPr>
                <w:color w:val="auto"/>
              </w:rPr>
            </w:pPr>
            <w:r>
              <w:rPr>
                <w:rFonts w:hint="eastAsia"/>
                <w:color w:val="auto"/>
              </w:rPr>
              <w:t>★</w:t>
            </w:r>
          </w:p>
        </w:tc>
        <w:tc>
          <w:tcPr>
            <w:tcW w:w="1239" w:type="dxa"/>
            <w:shd w:val="clear" w:color="auto" w:fill="auto"/>
            <w:vAlign w:val="center"/>
          </w:tcPr>
          <w:p>
            <w:pPr>
              <w:jc w:val="center"/>
              <w:rPr>
                <w:color w:val="auto"/>
              </w:rPr>
            </w:pPr>
            <w:r>
              <w:rPr>
                <w:rFonts w:hint="eastAsia"/>
                <w:color w:val="auto"/>
              </w:rPr>
              <w:t>2.1…</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color w:val="auto"/>
              </w:rPr>
            </w:pPr>
          </w:p>
        </w:tc>
        <w:tc>
          <w:tcPr>
            <w:tcW w:w="1307" w:type="dxa"/>
            <w:vMerge w:val="continue"/>
            <w:tcBorders>
              <w:top w:val="nil"/>
              <w:bottom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2.2…</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continue"/>
            <w:tcBorders>
              <w:top w:val="nil"/>
            </w:tcBorders>
            <w:shd w:val="clear" w:color="auto" w:fill="auto"/>
            <w:vAlign w:val="center"/>
          </w:tcPr>
          <w:p>
            <w:pPr>
              <w:rPr>
                <w:color w:val="auto"/>
              </w:rPr>
            </w:pPr>
          </w:p>
        </w:tc>
        <w:tc>
          <w:tcPr>
            <w:tcW w:w="1307" w:type="dxa"/>
            <w:vMerge w:val="continue"/>
            <w:tcBorders>
              <w:top w:val="nil"/>
            </w:tcBorders>
            <w:shd w:val="clear" w:color="auto" w:fill="auto"/>
            <w:vAlign w:val="center"/>
          </w:tcPr>
          <w:p>
            <w:pP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r>
              <w:rPr>
                <w:rFonts w:hint="eastAsia"/>
                <w:color w:val="auto"/>
              </w:rPr>
              <w:t>…</w:t>
            </w: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jc w:val="center"/>
        </w:trPr>
        <w:tc>
          <w:tcPr>
            <w:tcW w:w="815" w:type="dxa"/>
            <w:shd w:val="clear" w:color="auto" w:fill="auto"/>
            <w:vAlign w:val="center"/>
          </w:tcPr>
          <w:p>
            <w:pPr>
              <w:jc w:val="center"/>
              <w:rPr>
                <w:color w:val="auto"/>
              </w:rPr>
            </w:pPr>
          </w:p>
        </w:tc>
        <w:tc>
          <w:tcPr>
            <w:tcW w:w="1307" w:type="dxa"/>
            <w:shd w:val="clear" w:color="auto" w:fill="auto"/>
            <w:vAlign w:val="center"/>
          </w:tcPr>
          <w:p>
            <w:pPr>
              <w:jc w:val="center"/>
              <w:rPr>
                <w:color w:val="auto"/>
              </w:rPr>
            </w:pPr>
          </w:p>
        </w:tc>
        <w:tc>
          <w:tcPr>
            <w:tcW w:w="1044" w:type="dxa"/>
            <w:shd w:val="clear" w:color="auto" w:fill="auto"/>
            <w:vAlign w:val="center"/>
          </w:tcPr>
          <w:p>
            <w:pPr>
              <w:jc w:val="center"/>
              <w:rPr>
                <w:color w:val="auto"/>
              </w:rPr>
            </w:pPr>
          </w:p>
        </w:tc>
        <w:tc>
          <w:tcPr>
            <w:tcW w:w="1239" w:type="dxa"/>
            <w:shd w:val="clear" w:color="auto" w:fill="auto"/>
            <w:vAlign w:val="center"/>
          </w:tcPr>
          <w:p>
            <w:pPr>
              <w:jc w:val="center"/>
              <w:rPr>
                <w:color w:val="auto"/>
              </w:rPr>
            </w:pPr>
          </w:p>
        </w:tc>
        <w:tc>
          <w:tcPr>
            <w:tcW w:w="2611" w:type="dxa"/>
            <w:shd w:val="clear" w:color="auto" w:fill="auto"/>
            <w:vAlign w:val="center"/>
          </w:tcPr>
          <w:p>
            <w:pPr>
              <w:jc w:val="center"/>
              <w:rPr>
                <w:color w:val="auto"/>
              </w:rPr>
            </w:pPr>
          </w:p>
        </w:tc>
        <w:tc>
          <w:tcPr>
            <w:tcW w:w="1467" w:type="dxa"/>
            <w:shd w:val="clear" w:color="auto" w:fill="auto"/>
            <w:vAlign w:val="center"/>
          </w:tcPr>
          <w:p>
            <w:pPr>
              <w:jc w:val="center"/>
              <w:rPr>
                <w:color w:val="auto"/>
              </w:rPr>
            </w:pPr>
          </w:p>
        </w:tc>
        <w:tc>
          <w:tcPr>
            <w:tcW w:w="934" w:type="dxa"/>
            <w:shd w:val="clear" w:color="auto" w:fill="auto"/>
            <w:vAlign w:val="center"/>
          </w:tcPr>
          <w:p>
            <w:pPr>
              <w:jc w:val="center"/>
              <w:rPr>
                <w:color w:val="auto"/>
              </w:rPr>
            </w:pPr>
          </w:p>
        </w:tc>
      </w:tr>
    </w:tbl>
    <w:p>
      <w:pPr>
        <w:kinsoku/>
        <w:spacing w:before="240" w:beforeLines="100" w:line="360" w:lineRule="auto"/>
        <w:ind w:firstLine="480" w:firstLineChars="200"/>
        <w:rPr>
          <w:rFonts w:ascii="宋体" w:eastAsia="宋体" w:cs="宋体"/>
          <w:color w:val="auto"/>
          <w:sz w:val="24"/>
          <w:szCs w:val="24"/>
        </w:rPr>
      </w:pPr>
      <w:r>
        <w:rPr>
          <w:rFonts w:hint="eastAsia" w:ascii="宋体" w:eastAsia="宋体" w:cs="宋体"/>
          <w:color w:val="auto"/>
          <w:sz w:val="24"/>
          <w:szCs w:val="24"/>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1.“技术要求”栏应详细列明磋商文件中的技术要求。</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2.“响应内容”栏填写供应商对磋商文件提出的技术要求作出的明确响应，并列明具体响应数值或内容，只注明符合、满足等无具体内容表述的，将视为未实质性满足磋商文件要求。</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3.“偏离程度”栏填写满足、响应或正偏离、负偏离。</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4.“备注”栏填写偏离情况的具体说明。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5.本表填写内容与分项报价明细表不一致的，以分项报价明细表内容为准。</w:t>
      </w:r>
    </w:p>
    <w:p>
      <w:pPr>
        <w:kinsoku/>
        <w:spacing w:line="360" w:lineRule="auto"/>
        <w:ind w:firstLine="480" w:firstLineChars="200"/>
        <w:rPr>
          <w:rFonts w:ascii="宋体" w:eastAsia="宋体" w:cs="宋体"/>
          <w:color w:val="auto"/>
          <w:sz w:val="24"/>
          <w:szCs w:val="24"/>
          <w:lang w:eastAsia="zh-CN"/>
        </w:rPr>
        <w:sectPr>
          <w:footerReference r:id="rId26" w:type="default"/>
          <w:pgSz w:w="11906" w:h="16838"/>
          <w:pgMar w:top="1440" w:right="1080" w:bottom="1440" w:left="1080" w:header="0" w:footer="850" w:gutter="0"/>
          <w:cols w:space="0" w:num="1"/>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jc w:val="center"/>
        <w:outlineLvl w:val="1"/>
        <w:rPr>
          <w:rFonts w:ascii="宋体" w:eastAsia="宋体" w:cs="宋体"/>
          <w:b/>
          <w:bCs/>
          <w:color w:val="auto"/>
          <w:sz w:val="28"/>
          <w:szCs w:val="28"/>
          <w:lang w:eastAsia="zh-CN"/>
        </w:rPr>
      </w:pPr>
      <w:bookmarkStart w:id="62" w:name="_Toc21649"/>
      <w:r>
        <w:rPr>
          <w:rFonts w:hint="eastAsia" w:ascii="宋体" w:eastAsia="宋体" w:cs="宋体"/>
          <w:b/>
          <w:bCs/>
          <w:color w:val="auto"/>
          <w:sz w:val="28"/>
          <w:szCs w:val="28"/>
          <w:lang w:eastAsia="zh-CN"/>
        </w:rPr>
        <w:t>十八、项目组成人员一览表</w:t>
      </w:r>
      <w:bookmarkEnd w:id="62"/>
    </w:p>
    <w:tbl>
      <w:tblPr>
        <w:tblStyle w:val="2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066"/>
        <w:gridCol w:w="2233"/>
        <w:gridCol w:w="765"/>
        <w:gridCol w:w="2061"/>
        <w:gridCol w:w="1256"/>
        <w:gridCol w:w="1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1066"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姓名</w:t>
            </w:r>
          </w:p>
        </w:tc>
        <w:tc>
          <w:tcPr>
            <w:tcW w:w="2233"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本项目拟任职务</w:t>
            </w:r>
          </w:p>
        </w:tc>
        <w:tc>
          <w:tcPr>
            <w:tcW w:w="765"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学历</w:t>
            </w:r>
          </w:p>
        </w:tc>
        <w:tc>
          <w:tcPr>
            <w:tcW w:w="206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职称或执业资格</w:t>
            </w:r>
          </w:p>
        </w:tc>
        <w:tc>
          <w:tcPr>
            <w:tcW w:w="1256"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身份证号</w:t>
            </w:r>
          </w:p>
        </w:tc>
        <w:tc>
          <w:tcPr>
            <w:tcW w:w="125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3</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1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1066" w:type="dxa"/>
            <w:shd w:val="clear" w:color="auto" w:fill="auto"/>
            <w:vAlign w:val="center"/>
          </w:tcPr>
          <w:p>
            <w:pPr>
              <w:jc w:val="center"/>
              <w:rPr>
                <w:rFonts w:ascii="宋体" w:eastAsia="宋体" w:cs="宋体"/>
                <w:color w:val="auto"/>
                <w:sz w:val="24"/>
                <w:szCs w:val="24"/>
              </w:rPr>
            </w:pPr>
          </w:p>
        </w:tc>
        <w:tc>
          <w:tcPr>
            <w:tcW w:w="2233" w:type="dxa"/>
            <w:shd w:val="clear" w:color="auto" w:fill="auto"/>
            <w:vAlign w:val="center"/>
          </w:tcPr>
          <w:p>
            <w:pPr>
              <w:jc w:val="center"/>
              <w:rPr>
                <w:rFonts w:ascii="宋体" w:eastAsia="宋体" w:cs="宋体"/>
                <w:color w:val="auto"/>
                <w:sz w:val="24"/>
                <w:szCs w:val="24"/>
              </w:rPr>
            </w:pPr>
          </w:p>
        </w:tc>
        <w:tc>
          <w:tcPr>
            <w:tcW w:w="765" w:type="dxa"/>
            <w:shd w:val="clear" w:color="auto" w:fill="auto"/>
            <w:vAlign w:val="center"/>
          </w:tcPr>
          <w:p>
            <w:pPr>
              <w:jc w:val="center"/>
              <w:rPr>
                <w:rFonts w:ascii="宋体" w:eastAsia="宋体" w:cs="宋体"/>
                <w:color w:val="auto"/>
                <w:sz w:val="24"/>
                <w:szCs w:val="24"/>
              </w:rPr>
            </w:pPr>
          </w:p>
        </w:tc>
        <w:tc>
          <w:tcPr>
            <w:tcW w:w="2061" w:type="dxa"/>
            <w:shd w:val="clear" w:color="auto" w:fill="auto"/>
            <w:vAlign w:val="center"/>
          </w:tcPr>
          <w:p>
            <w:pPr>
              <w:jc w:val="center"/>
              <w:rPr>
                <w:rFonts w:ascii="宋体" w:eastAsia="宋体" w:cs="宋体"/>
                <w:color w:val="auto"/>
                <w:sz w:val="24"/>
                <w:szCs w:val="24"/>
              </w:rPr>
            </w:pPr>
          </w:p>
        </w:tc>
        <w:tc>
          <w:tcPr>
            <w:tcW w:w="1256" w:type="dxa"/>
            <w:shd w:val="clear" w:color="auto" w:fill="auto"/>
            <w:vAlign w:val="center"/>
          </w:tcPr>
          <w:p>
            <w:pPr>
              <w:jc w:val="center"/>
              <w:rPr>
                <w:rFonts w:ascii="宋体" w:eastAsia="宋体" w:cs="宋体"/>
                <w:color w:val="auto"/>
                <w:sz w:val="24"/>
                <w:szCs w:val="24"/>
              </w:rPr>
            </w:pPr>
          </w:p>
        </w:tc>
        <w:tc>
          <w:tcPr>
            <w:tcW w:w="1258" w:type="dxa"/>
            <w:shd w:val="clear" w:color="auto" w:fill="auto"/>
            <w:vAlign w:val="center"/>
          </w:tcPr>
          <w:p>
            <w:pPr>
              <w:jc w:val="center"/>
              <w:rPr>
                <w:rFonts w:ascii="宋体" w:eastAsia="宋体" w:cs="宋体"/>
                <w:color w:val="auto"/>
                <w:sz w:val="24"/>
                <w:szCs w:val="24"/>
              </w:rPr>
            </w:pPr>
          </w:p>
        </w:tc>
      </w:tr>
    </w:tbl>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根据上述人员情况及磋商文件要求在本表后附相关证明材料。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说明：</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1.“本项目拟任职务”栏可包括：项目负责人、项目联系人、项目服务人员或技术人员等。</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2.如供应商成交，须按本表项目组成人员操作，不得随意更换。</w:t>
      </w:r>
    </w:p>
    <w:p>
      <w:pPr>
        <w:kinsoku/>
        <w:spacing w:line="360" w:lineRule="auto"/>
        <w:ind w:firstLine="480" w:firstLineChars="200"/>
        <w:rPr>
          <w:rFonts w:ascii="宋体" w:eastAsia="宋体" w:cs="宋体"/>
          <w:color w:val="auto"/>
          <w:sz w:val="24"/>
          <w:szCs w:val="24"/>
          <w:lang w:eastAsia="zh-CN"/>
        </w:rPr>
        <w:sectPr>
          <w:footerReference r:id="rId27" w:type="default"/>
          <w:pgSz w:w="11906" w:h="16838"/>
          <w:pgMar w:top="1440" w:right="1080" w:bottom="1440" w:left="1080" w:header="0" w:footer="850" w:gutter="0"/>
          <w:cols w:space="0" w:num="1"/>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jc w:val="center"/>
        <w:outlineLvl w:val="1"/>
        <w:rPr>
          <w:rFonts w:ascii="宋体" w:eastAsia="宋体" w:cs="宋体"/>
          <w:color w:val="auto"/>
          <w:sz w:val="24"/>
          <w:szCs w:val="24"/>
          <w:lang w:eastAsia="zh-CN"/>
        </w:rPr>
      </w:pPr>
      <w:bookmarkStart w:id="63" w:name="_Toc24906"/>
      <w:r>
        <w:rPr>
          <w:rFonts w:hint="eastAsia" w:ascii="宋体" w:eastAsia="宋体" w:cs="宋体"/>
          <w:b/>
          <w:bCs/>
          <w:color w:val="auto"/>
          <w:sz w:val="28"/>
          <w:szCs w:val="28"/>
          <w:lang w:eastAsia="zh-CN"/>
        </w:rPr>
        <w:t>十九、项目实施方案、质量保证及售后服务承诺等</w:t>
      </w:r>
      <w:bookmarkEnd w:id="63"/>
    </w:p>
    <w:p>
      <w:pPr>
        <w:kinsoku/>
        <w:spacing w:line="360" w:lineRule="auto"/>
        <w:jc w:val="center"/>
        <w:rPr>
          <w:rFonts w:ascii="宋体" w:eastAsia="宋体" w:cs="宋体"/>
          <w:color w:val="auto"/>
          <w:sz w:val="24"/>
          <w:szCs w:val="24"/>
          <w:lang w:eastAsia="zh-CN"/>
        </w:rPr>
      </w:pPr>
      <w:r>
        <w:rPr>
          <w:rFonts w:hint="eastAsia" w:ascii="宋体" w:eastAsia="宋体" w:cs="宋体"/>
          <w:color w:val="auto"/>
          <w:sz w:val="24"/>
          <w:szCs w:val="24"/>
          <w:lang w:eastAsia="zh-CN"/>
        </w:rPr>
        <w:t>（内容和格式自拟）</w:t>
      </w:r>
    </w:p>
    <w:p>
      <w:pPr>
        <w:kinsoku/>
        <w:spacing w:line="360" w:lineRule="auto"/>
        <w:ind w:firstLine="480" w:firstLineChars="200"/>
        <w:rPr>
          <w:rFonts w:ascii="宋体" w:eastAsia="宋体" w:cs="宋体"/>
          <w:color w:val="auto"/>
          <w:sz w:val="24"/>
          <w:szCs w:val="24"/>
          <w:lang w:eastAsia="zh-CN"/>
        </w:rPr>
        <w:sectPr>
          <w:footerReference r:id="rId28" w:type="default"/>
          <w:pgSz w:w="11906" w:h="16838"/>
          <w:pgMar w:top="1440" w:right="1080" w:bottom="1440" w:left="1080" w:header="0" w:footer="850" w:gutter="0"/>
          <w:cols w:space="0" w:num="1"/>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jc w:val="center"/>
        <w:outlineLvl w:val="1"/>
        <w:rPr>
          <w:rFonts w:ascii="宋体" w:eastAsia="宋体" w:cs="宋体"/>
          <w:color w:val="auto"/>
          <w:sz w:val="24"/>
          <w:szCs w:val="24"/>
          <w:lang w:eastAsia="zh-CN"/>
        </w:rPr>
      </w:pPr>
      <w:bookmarkStart w:id="64" w:name="_Toc31999"/>
      <w:r>
        <w:rPr>
          <w:rFonts w:hint="eastAsia" w:ascii="宋体" w:eastAsia="宋体" w:cs="宋体"/>
          <w:b/>
          <w:bCs/>
          <w:color w:val="auto"/>
          <w:sz w:val="28"/>
          <w:szCs w:val="28"/>
          <w:lang w:eastAsia="zh-CN"/>
        </w:rPr>
        <w:t>二十、供应商业绩情况表</w:t>
      </w:r>
      <w:bookmarkEnd w:id="64"/>
    </w:p>
    <w:tbl>
      <w:tblPr>
        <w:tblStyle w:val="20"/>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8"/>
        <w:gridCol w:w="1941"/>
        <w:gridCol w:w="1941"/>
        <w:gridCol w:w="1941"/>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序号</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使用单位</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业绩名称</w:t>
            </w:r>
          </w:p>
        </w:tc>
        <w:tc>
          <w:tcPr>
            <w:tcW w:w="1941"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合同总价</w:t>
            </w:r>
          </w:p>
        </w:tc>
        <w:tc>
          <w:tcPr>
            <w:tcW w:w="194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1</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2</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3</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4</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528" w:type="dxa"/>
            <w:shd w:val="clear" w:color="auto" w:fill="auto"/>
            <w:vAlign w:val="center"/>
          </w:tcPr>
          <w:p>
            <w:pPr>
              <w:jc w:val="center"/>
              <w:rPr>
                <w:rFonts w:ascii="宋体" w:eastAsia="宋体" w:cs="宋体"/>
                <w:color w:val="auto"/>
                <w:sz w:val="24"/>
                <w:szCs w:val="24"/>
              </w:rPr>
            </w:pPr>
            <w:r>
              <w:rPr>
                <w:rFonts w:hint="eastAsia" w:ascii="宋体" w:eastAsia="宋体" w:cs="宋体"/>
                <w:color w:val="auto"/>
                <w:sz w:val="24"/>
                <w:szCs w:val="24"/>
              </w:rPr>
              <w:t>…</w:t>
            </w: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1" w:type="dxa"/>
            <w:shd w:val="clear" w:color="auto" w:fill="auto"/>
            <w:vAlign w:val="center"/>
          </w:tcPr>
          <w:p>
            <w:pPr>
              <w:jc w:val="center"/>
              <w:rPr>
                <w:rFonts w:ascii="宋体" w:eastAsia="宋体" w:cs="宋体"/>
                <w:color w:val="auto"/>
                <w:sz w:val="24"/>
                <w:szCs w:val="24"/>
              </w:rPr>
            </w:pPr>
          </w:p>
        </w:tc>
        <w:tc>
          <w:tcPr>
            <w:tcW w:w="1948" w:type="dxa"/>
            <w:shd w:val="clear" w:color="auto" w:fill="auto"/>
            <w:vAlign w:val="center"/>
          </w:tcPr>
          <w:p>
            <w:pPr>
              <w:jc w:val="center"/>
              <w:rPr>
                <w:rFonts w:ascii="宋体" w:eastAsia="宋体" w:cs="宋体"/>
                <w:color w:val="auto"/>
                <w:sz w:val="24"/>
                <w:szCs w:val="24"/>
              </w:rPr>
            </w:pPr>
          </w:p>
        </w:tc>
      </w:tr>
    </w:tbl>
    <w:p>
      <w:pPr>
        <w:kinsoku/>
        <w:spacing w:before="240" w:beforeLines="100"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供应商根据上述业绩情况及磋商文件要求后附相关证明材料。</w:t>
      </w:r>
    </w:p>
    <w:p>
      <w:pPr>
        <w:kinsoku/>
        <w:spacing w:line="360" w:lineRule="auto"/>
        <w:ind w:firstLine="480" w:firstLineChars="200"/>
        <w:rPr>
          <w:rFonts w:ascii="宋体" w:eastAsia="宋体" w:cs="宋体"/>
          <w:color w:val="auto"/>
          <w:sz w:val="24"/>
          <w:szCs w:val="24"/>
          <w:lang w:eastAsia="zh-CN"/>
        </w:rPr>
        <w:sectPr>
          <w:footerReference r:id="rId29" w:type="default"/>
          <w:pgSz w:w="11906" w:h="16838"/>
          <w:pgMar w:top="1440" w:right="1080" w:bottom="1440" w:left="1080" w:header="0" w:footer="850" w:gutter="0"/>
          <w:cols w:space="0" w:num="1"/>
          <w:docGrid w:linePitch="312" w:charSpace="0"/>
        </w:sectPr>
      </w:pP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（以下格式文件由供应商根据需要选用）</w:t>
      </w:r>
    </w:p>
    <w:p>
      <w:pPr>
        <w:kinsoku/>
        <w:spacing w:line="360" w:lineRule="auto"/>
        <w:jc w:val="center"/>
        <w:outlineLvl w:val="1"/>
        <w:rPr>
          <w:rFonts w:ascii="宋体" w:eastAsia="宋体" w:cs="宋体"/>
          <w:color w:val="auto"/>
          <w:sz w:val="24"/>
          <w:szCs w:val="24"/>
          <w:lang w:eastAsia="zh-CN"/>
        </w:rPr>
      </w:pPr>
      <w:bookmarkStart w:id="65" w:name="_Toc4914"/>
      <w:r>
        <w:rPr>
          <w:rFonts w:hint="eastAsia" w:ascii="宋体" w:eastAsia="宋体" w:cs="宋体"/>
          <w:b/>
          <w:bCs/>
          <w:color w:val="auto"/>
          <w:sz w:val="28"/>
          <w:szCs w:val="28"/>
          <w:lang w:eastAsia="zh-CN"/>
        </w:rPr>
        <w:t>二十一、其他证明材料</w:t>
      </w:r>
      <w:bookmarkEnd w:id="65"/>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1.磋商文件要求提供的其他资料。</w:t>
      </w:r>
    </w:p>
    <w:p>
      <w:pPr>
        <w:kinsoku/>
        <w:spacing w:line="360" w:lineRule="auto"/>
        <w:ind w:firstLine="480" w:firstLineChars="200"/>
        <w:rPr>
          <w:rFonts w:ascii="宋体" w:eastAsia="宋体" w:cs="宋体"/>
          <w:color w:val="auto"/>
          <w:sz w:val="24"/>
          <w:szCs w:val="24"/>
          <w:lang w:eastAsia="zh-CN"/>
        </w:rPr>
      </w:pPr>
      <w:r>
        <w:rPr>
          <w:rFonts w:hint="eastAsia" w:ascii="宋体" w:eastAsia="宋体" w:cs="宋体"/>
          <w:color w:val="auto"/>
          <w:sz w:val="24"/>
          <w:szCs w:val="24"/>
          <w:lang w:eastAsia="zh-CN"/>
        </w:rPr>
        <w:t>2.供应商认为需提供的其他资料。</w:t>
      </w:r>
    </w:p>
    <w:sectPr>
      <w:footerReference r:id="rId30" w:type="default"/>
      <w:pgSz w:w="11906" w:h="16838"/>
      <w:pgMar w:top="1440" w:right="1080" w:bottom="1440" w:left="1080" w:header="0"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C059">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WIy7x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U9xvFgIAABsEAAAOAAAAZHJz&#10;L2Uyb0RvYy54bWytU8uO0zAU3SPxD5b3NGlHDF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VPcbx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U+OH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RU+OHFQIAABsEAAAOAAAAAAAAAAEAIAAAADU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hYg0HFgIAABsEAAAOAAAAZHJz&#10;L2Uyb0RvYy54bWytU8uO0zAU3SPxD5b3NGlHjEr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1cvy/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WINBx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51GBRR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BXYG/FFQIAABsEAAAOAAAAAAAAAAEAIAAAADU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NCyf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N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xjQsnx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BcIfFgIAABsEAAAOAAAAZHJz&#10;L2Uyb0RvYy54bWytU8uO0zAU3SPxD5b3NGk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V9eUWKYxo5OX7+cvv04ff9M&#10;YANArQszxK0dImP32nYVjX4vBleAPY3eSa/TF0MRhADt4wVh0UXCYRxPJ9NpCReHb1BQonj63fkQ&#10;3wirSRIq6rHCjCw73Id4Dh1CUjVjV41SeY3KkLai11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dgXCHx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naorFgIAABsEAAAOAAAAZHJz&#10;L2Uyb0RvYy54bWytU8uO0zAU3SPxD5b3NGkZ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uKDFMY0enr19O336cvn8m&#10;sAGg1oUZ4tYOkbF7bbuKRr8XgyvAnkbvpNfpi6EIQoD28YKw6CLhMI6nk+m0hIvDNygoUTz97nyI&#10;b4TVJAkV9VhhRpYd7kM8hw4hqZqxq0apvEZlSFvR65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5J2qKx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rESrFgIAABsEAAAOAAAAZHJz&#10;L2Uyb0RvYy54bWytU8uO0zAU3SPxD5b3NGl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V9dUWKYxo5OX7+cvv04ff9M&#10;YANArQszxK0dImP32nYVjX4vBleAPY3eSa/TF0MRhADt4wVh0UXCYRxPJ9NpCReHb1BQonj63fkQ&#10;3wirSRIq6rHCjCw73Id4Dh1CUjVjV41SeY3KkLai1y+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VKxEqx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y1gj1B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sz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F+AfxFQIAABsEAAAOAAAAAAAAAAEAIAAAADU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dcnpcR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ydaZ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hydaZFQIAABsEAAAOAAAAAAAAAAEAIAAAADU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Ufg4GR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oMYI4UAgAAGwQAAA4AAAAAAAAAAQAgAAAANQ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qPY4OFQIAABsEAAAOAAAAAAAAAAEAIAAAADU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ac1UFg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r++K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e2nNVB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P+zMFg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TFMY0enb19P3x9PP74Q&#10;2ABQ68IMcWuHyNi9sV1Fo9+LwRVgT6N30uv0xVAEIUD7eEFYdJFwGMfTyXRawsXhGxSUKJ5+dz7E&#10;t8JqkoSKeqwwI8sOdyGeQ4eQVM3YVaNUXqMypK3o1ct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D/szB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8u0Wx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rPr>
        <w:rFonts w:ascii="Calibri" w:hAnsi="Calibri" w:eastAsia="等线"/>
        <w:sz w:val="18"/>
        <w:szCs w:val="18"/>
        <w:lang w:eastAsia="zh-CN"/>
      </w:rPr>
    </w:pPr>
    <w:r>
      <w:rPr>
        <w:rFonts w:ascii="Calibri" w:hAnsi="Calibri" w:eastAsia="等线"/>
        <w:sz w:val="18"/>
        <w:szCs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6"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widowControl w:val="0"/>
                            <w:tabs>
                              <w:tab w:val="center" w:pos="4153"/>
                              <w:tab w:val="right" w:pos="8306"/>
                            </w:tabs>
                            <w:rPr>
                              <w:rFonts w:ascii="Calibri" w:hAnsi="Calibri" w:eastAsia="等线"/>
                              <w:sz w:val="18"/>
                              <w:szCs w:val="18"/>
                              <w:lang w:eastAsia="zh-CN"/>
                            </w:rPr>
                          </w:pPr>
                          <w:r>
                            <w:rPr>
                              <w:rFonts w:ascii="Calibri" w:hAnsi="Calibri" w:eastAsia="等线"/>
                              <w:sz w:val="18"/>
                              <w:szCs w:val="18"/>
                              <w:lang w:eastAsia="zh-CN"/>
                            </w:rPr>
                            <w:fldChar w:fldCharType="begin"/>
                          </w:r>
                          <w:r>
                            <w:rPr>
                              <w:rFonts w:ascii="Calibri" w:hAnsi="Calibri" w:eastAsia="等线"/>
                              <w:sz w:val="18"/>
                              <w:szCs w:val="18"/>
                              <w:lang w:eastAsia="zh-CN"/>
                            </w:rPr>
                            <w:instrText xml:space="preserve"> PAGE  \* MERGEFORMAT </w:instrText>
                          </w:r>
                          <w:r>
                            <w:rPr>
                              <w:rFonts w:ascii="Calibri" w:hAnsi="Calibri" w:eastAsia="等线"/>
                              <w:sz w:val="18"/>
                              <w:szCs w:val="18"/>
                              <w:lang w:eastAsia="zh-CN"/>
                            </w:rPr>
                            <w:fldChar w:fldCharType="separate"/>
                          </w:r>
                          <w:r>
                            <w:rPr>
                              <w:rFonts w:ascii="Calibri" w:hAnsi="Calibri" w:eastAsia="等线"/>
                              <w:sz w:val="18"/>
                              <w:szCs w:val="18"/>
                              <w:lang w:eastAsia="zh-CN"/>
                            </w:rPr>
                            <w:t>4</w:t>
                          </w:r>
                          <w:r>
                            <w:rPr>
                              <w:rFonts w:ascii="Calibri" w:hAnsi="Calibri" w:eastAsia="等线"/>
                              <w:sz w:val="18"/>
                              <w:szCs w:val="18"/>
                              <w:lang w:eastAsia="zh-CN"/>
                            </w:rPr>
                            <w:fldChar w:fldCharType="end"/>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LW7l30AAAAAIBAAAPAAAAAAAAAAEAIAAAADgAAABkcnMv&#10;ZG93bnJldi54bWxQSwECFAAUAAAACACHTuJAIcfMefUBAADBAwAADgAAAAAAAAABACAAAAA1AQAA&#10;ZHJzL2Uyb0RvYy54bWxQSwUGAAAAAAYABgBZAQAAnAUAAAAA&#10;">
              <v:fill on="f" focussize="0,0"/>
              <v:stroke on="f"/>
              <v:imagedata o:title=""/>
              <o:lock v:ext="edit" aspectratio="f"/>
              <v:textbox inset="0mm,0mm,0mm,0mm" style="mso-fit-shape-to-text:t;">
                <w:txbxContent>
                  <w:p>
                    <w:pPr>
                      <w:widowControl w:val="0"/>
                      <w:tabs>
                        <w:tab w:val="center" w:pos="4153"/>
                        <w:tab w:val="right" w:pos="8306"/>
                      </w:tabs>
                      <w:rPr>
                        <w:rFonts w:ascii="Calibri" w:hAnsi="Calibri" w:eastAsia="等线"/>
                        <w:sz w:val="18"/>
                        <w:szCs w:val="18"/>
                        <w:lang w:eastAsia="zh-CN"/>
                      </w:rPr>
                    </w:pPr>
                    <w:r>
                      <w:rPr>
                        <w:rFonts w:ascii="Calibri" w:hAnsi="Calibri" w:eastAsia="等线"/>
                        <w:sz w:val="18"/>
                        <w:szCs w:val="18"/>
                        <w:lang w:eastAsia="zh-CN"/>
                      </w:rPr>
                      <w:fldChar w:fldCharType="begin"/>
                    </w:r>
                    <w:r>
                      <w:rPr>
                        <w:rFonts w:ascii="Calibri" w:hAnsi="Calibri" w:eastAsia="等线"/>
                        <w:sz w:val="18"/>
                        <w:szCs w:val="18"/>
                        <w:lang w:eastAsia="zh-CN"/>
                      </w:rPr>
                      <w:instrText xml:space="preserve"> PAGE  \* MERGEFORMAT </w:instrText>
                    </w:r>
                    <w:r>
                      <w:rPr>
                        <w:rFonts w:ascii="Calibri" w:hAnsi="Calibri" w:eastAsia="等线"/>
                        <w:sz w:val="18"/>
                        <w:szCs w:val="18"/>
                        <w:lang w:eastAsia="zh-CN"/>
                      </w:rPr>
                      <w:fldChar w:fldCharType="separate"/>
                    </w:r>
                    <w:r>
                      <w:rPr>
                        <w:rFonts w:ascii="Calibri" w:hAnsi="Calibri" w:eastAsia="等线"/>
                        <w:sz w:val="18"/>
                        <w:szCs w:val="18"/>
                        <w:lang w:eastAsia="zh-CN"/>
                      </w:rPr>
                      <w:t>4</w:t>
                    </w:r>
                    <w:r>
                      <w:rPr>
                        <w:rFonts w:ascii="Calibri" w:hAnsi="Calibri" w:eastAsia="等线"/>
                        <w:sz w:val="18"/>
                        <w:szCs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rPr>
        <w:rFonts w:ascii="Calibri" w:hAnsi="Calibri" w:eastAsia="等线"/>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rhmB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q4ZgR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p/3AR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B581FgIAABsEAAAOAAAAZHJz&#10;L2Uyb0RvYy54bWytU8uO0zAU3SPxD5b3NGk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mKYxo5OX7+cvv04ff9M&#10;YANArQszxK0dImP32nYVjX4vBleAPY3eSa/TF0MRhADt4wVh0UXCYRxPJ9NpCReHb1BQonj63fkQ&#10;3wirSRIq6rHCjCw73Id4Dh1CUjVjV41SeY3KkLai11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AefNR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pDZxtRYCAAAbBAAADgAAAAAAAAABACAAAAA1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210"/>
  <w:drawingGridVerticalSpacing w:val="-7944"/>
  <w:noPunctuationKerning w:val="true"/>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dlZTdkNzQzNmI2ZWQ5Yzk0MmQzY2E2ZDJjNDE2M2QifQ=="/>
  </w:docVars>
  <w:rsids>
    <w:rsidRoot w:val="003D23E5"/>
    <w:rsid w:val="000D3562"/>
    <w:rsid w:val="00142906"/>
    <w:rsid w:val="001C6C81"/>
    <w:rsid w:val="002C0594"/>
    <w:rsid w:val="003D23E5"/>
    <w:rsid w:val="003F23CE"/>
    <w:rsid w:val="00447AA1"/>
    <w:rsid w:val="00496CED"/>
    <w:rsid w:val="004C4C0A"/>
    <w:rsid w:val="005B29FB"/>
    <w:rsid w:val="00617680"/>
    <w:rsid w:val="00645638"/>
    <w:rsid w:val="00743C37"/>
    <w:rsid w:val="007D6E3B"/>
    <w:rsid w:val="00805919"/>
    <w:rsid w:val="008826E3"/>
    <w:rsid w:val="008C54D2"/>
    <w:rsid w:val="008D42A6"/>
    <w:rsid w:val="009F7BB0"/>
    <w:rsid w:val="00B97271"/>
    <w:rsid w:val="00BA1A55"/>
    <w:rsid w:val="00BE7797"/>
    <w:rsid w:val="00CF5DEC"/>
    <w:rsid w:val="00DF405D"/>
    <w:rsid w:val="010A6538"/>
    <w:rsid w:val="01213882"/>
    <w:rsid w:val="013637D1"/>
    <w:rsid w:val="01572697"/>
    <w:rsid w:val="016D00D2"/>
    <w:rsid w:val="01C118EA"/>
    <w:rsid w:val="01CC7C92"/>
    <w:rsid w:val="01E449DA"/>
    <w:rsid w:val="01F06E98"/>
    <w:rsid w:val="020B07BA"/>
    <w:rsid w:val="020B4F68"/>
    <w:rsid w:val="02762337"/>
    <w:rsid w:val="027D71DE"/>
    <w:rsid w:val="0282055C"/>
    <w:rsid w:val="02891DD2"/>
    <w:rsid w:val="02902A6D"/>
    <w:rsid w:val="029C3B08"/>
    <w:rsid w:val="029C7664"/>
    <w:rsid w:val="02B153F0"/>
    <w:rsid w:val="02BB22C4"/>
    <w:rsid w:val="02C80459"/>
    <w:rsid w:val="02C92423"/>
    <w:rsid w:val="02E132C9"/>
    <w:rsid w:val="02EB4148"/>
    <w:rsid w:val="03060F81"/>
    <w:rsid w:val="0316553E"/>
    <w:rsid w:val="0321587C"/>
    <w:rsid w:val="034F48ED"/>
    <w:rsid w:val="0352759D"/>
    <w:rsid w:val="03667EB4"/>
    <w:rsid w:val="03790EAE"/>
    <w:rsid w:val="038325D2"/>
    <w:rsid w:val="03875EC9"/>
    <w:rsid w:val="03A013D6"/>
    <w:rsid w:val="03A11C8C"/>
    <w:rsid w:val="03AC4D56"/>
    <w:rsid w:val="03B13165"/>
    <w:rsid w:val="03E548A5"/>
    <w:rsid w:val="040372EE"/>
    <w:rsid w:val="040E6340"/>
    <w:rsid w:val="041A3F82"/>
    <w:rsid w:val="041B0E47"/>
    <w:rsid w:val="047C599F"/>
    <w:rsid w:val="047F32B1"/>
    <w:rsid w:val="048760F2"/>
    <w:rsid w:val="04886557"/>
    <w:rsid w:val="048B3E34"/>
    <w:rsid w:val="048F7C19"/>
    <w:rsid w:val="04936845"/>
    <w:rsid w:val="04A41BC5"/>
    <w:rsid w:val="04F7427E"/>
    <w:rsid w:val="050249EE"/>
    <w:rsid w:val="0518285B"/>
    <w:rsid w:val="052027CE"/>
    <w:rsid w:val="054339CB"/>
    <w:rsid w:val="05575AC4"/>
    <w:rsid w:val="05A625A8"/>
    <w:rsid w:val="05AF12EB"/>
    <w:rsid w:val="05B05E96"/>
    <w:rsid w:val="05D03C38"/>
    <w:rsid w:val="05E57574"/>
    <w:rsid w:val="0624009C"/>
    <w:rsid w:val="063A78C0"/>
    <w:rsid w:val="06615071"/>
    <w:rsid w:val="069B010A"/>
    <w:rsid w:val="06A75898"/>
    <w:rsid w:val="06BF0E31"/>
    <w:rsid w:val="06C31610"/>
    <w:rsid w:val="06EF57A4"/>
    <w:rsid w:val="0733656D"/>
    <w:rsid w:val="07570716"/>
    <w:rsid w:val="07720CB2"/>
    <w:rsid w:val="077B21C7"/>
    <w:rsid w:val="079A71A9"/>
    <w:rsid w:val="079E5C2C"/>
    <w:rsid w:val="079F3753"/>
    <w:rsid w:val="07B76CEE"/>
    <w:rsid w:val="07C37441"/>
    <w:rsid w:val="07F07584"/>
    <w:rsid w:val="080628D5"/>
    <w:rsid w:val="080737D2"/>
    <w:rsid w:val="082B32A2"/>
    <w:rsid w:val="083E11BD"/>
    <w:rsid w:val="08512C9F"/>
    <w:rsid w:val="085E716A"/>
    <w:rsid w:val="08732C15"/>
    <w:rsid w:val="087F2519"/>
    <w:rsid w:val="08891FDF"/>
    <w:rsid w:val="088A61B1"/>
    <w:rsid w:val="08986B20"/>
    <w:rsid w:val="08F24482"/>
    <w:rsid w:val="08F8378C"/>
    <w:rsid w:val="0935594C"/>
    <w:rsid w:val="093A3733"/>
    <w:rsid w:val="09473C1D"/>
    <w:rsid w:val="094C3466"/>
    <w:rsid w:val="094E0A7E"/>
    <w:rsid w:val="097E472B"/>
    <w:rsid w:val="099202DD"/>
    <w:rsid w:val="09C83435"/>
    <w:rsid w:val="09D41DD9"/>
    <w:rsid w:val="09DD72C1"/>
    <w:rsid w:val="09F2400E"/>
    <w:rsid w:val="0A03446D"/>
    <w:rsid w:val="0A0B6E5E"/>
    <w:rsid w:val="0A0F6089"/>
    <w:rsid w:val="0A3679BF"/>
    <w:rsid w:val="0A424F95"/>
    <w:rsid w:val="0AD025A1"/>
    <w:rsid w:val="0ADA51CD"/>
    <w:rsid w:val="0ADD081A"/>
    <w:rsid w:val="0AEF64DF"/>
    <w:rsid w:val="0AF10769"/>
    <w:rsid w:val="0B04224A"/>
    <w:rsid w:val="0B2C17A1"/>
    <w:rsid w:val="0B2C354F"/>
    <w:rsid w:val="0B50723E"/>
    <w:rsid w:val="0B5F3925"/>
    <w:rsid w:val="0B602C60"/>
    <w:rsid w:val="0B6422B6"/>
    <w:rsid w:val="0B6B051B"/>
    <w:rsid w:val="0B6D3320"/>
    <w:rsid w:val="0B893870"/>
    <w:rsid w:val="0BB84DE3"/>
    <w:rsid w:val="0BB97AC8"/>
    <w:rsid w:val="0BED2CDE"/>
    <w:rsid w:val="0BF2140F"/>
    <w:rsid w:val="0C021626"/>
    <w:rsid w:val="0C0A140B"/>
    <w:rsid w:val="0C4D7C21"/>
    <w:rsid w:val="0C567D0B"/>
    <w:rsid w:val="0C627A39"/>
    <w:rsid w:val="0C746EAB"/>
    <w:rsid w:val="0C935806"/>
    <w:rsid w:val="0C942A80"/>
    <w:rsid w:val="0C945A00"/>
    <w:rsid w:val="0CA65052"/>
    <w:rsid w:val="0CAC51AC"/>
    <w:rsid w:val="0CC021A1"/>
    <w:rsid w:val="0CF511D5"/>
    <w:rsid w:val="0CF73F0B"/>
    <w:rsid w:val="0D020A0B"/>
    <w:rsid w:val="0D0504FC"/>
    <w:rsid w:val="0D2D3F6A"/>
    <w:rsid w:val="0D3E4136"/>
    <w:rsid w:val="0D3F756A"/>
    <w:rsid w:val="0D490DFB"/>
    <w:rsid w:val="0D4D28BF"/>
    <w:rsid w:val="0D584ACF"/>
    <w:rsid w:val="0D7511DD"/>
    <w:rsid w:val="0D7C3293"/>
    <w:rsid w:val="0D9011DC"/>
    <w:rsid w:val="0D906017"/>
    <w:rsid w:val="0DA27AF9"/>
    <w:rsid w:val="0DA87805"/>
    <w:rsid w:val="0DB22432"/>
    <w:rsid w:val="0DC42165"/>
    <w:rsid w:val="0DCA72A3"/>
    <w:rsid w:val="0DF806B8"/>
    <w:rsid w:val="0E212997"/>
    <w:rsid w:val="0E4017EB"/>
    <w:rsid w:val="0E7479E9"/>
    <w:rsid w:val="0E77572D"/>
    <w:rsid w:val="0EE02A09"/>
    <w:rsid w:val="0EE24651"/>
    <w:rsid w:val="0EFD148A"/>
    <w:rsid w:val="0F0F5662"/>
    <w:rsid w:val="0F202AFE"/>
    <w:rsid w:val="0F264E85"/>
    <w:rsid w:val="0F2C4152"/>
    <w:rsid w:val="0F334EAC"/>
    <w:rsid w:val="0F574CA3"/>
    <w:rsid w:val="0F8751F8"/>
    <w:rsid w:val="0FA7589A"/>
    <w:rsid w:val="0FB74D7B"/>
    <w:rsid w:val="0FC67F13"/>
    <w:rsid w:val="0FD0094D"/>
    <w:rsid w:val="0FE1702F"/>
    <w:rsid w:val="0FE73EE9"/>
    <w:rsid w:val="0FE8038D"/>
    <w:rsid w:val="0FF004AA"/>
    <w:rsid w:val="10066A65"/>
    <w:rsid w:val="101D790A"/>
    <w:rsid w:val="102021A1"/>
    <w:rsid w:val="10277FDE"/>
    <w:rsid w:val="103B2673"/>
    <w:rsid w:val="10A2678D"/>
    <w:rsid w:val="10A342B4"/>
    <w:rsid w:val="10B06929"/>
    <w:rsid w:val="10BA4BD5"/>
    <w:rsid w:val="10CA0971"/>
    <w:rsid w:val="10D12BCF"/>
    <w:rsid w:val="10EF7769"/>
    <w:rsid w:val="10F36FE9"/>
    <w:rsid w:val="110519DE"/>
    <w:rsid w:val="110A7E8F"/>
    <w:rsid w:val="111E24A0"/>
    <w:rsid w:val="112406FA"/>
    <w:rsid w:val="11346F8C"/>
    <w:rsid w:val="1141166B"/>
    <w:rsid w:val="116F4F22"/>
    <w:rsid w:val="11755C50"/>
    <w:rsid w:val="11791639"/>
    <w:rsid w:val="11845E93"/>
    <w:rsid w:val="118F7275"/>
    <w:rsid w:val="1192349F"/>
    <w:rsid w:val="1198193E"/>
    <w:rsid w:val="11A71B81"/>
    <w:rsid w:val="12386C7D"/>
    <w:rsid w:val="124949E7"/>
    <w:rsid w:val="124A2EBE"/>
    <w:rsid w:val="126F18CA"/>
    <w:rsid w:val="127000BF"/>
    <w:rsid w:val="128F3AF7"/>
    <w:rsid w:val="1298160C"/>
    <w:rsid w:val="12AA1929"/>
    <w:rsid w:val="12BB442E"/>
    <w:rsid w:val="12BB6A51"/>
    <w:rsid w:val="12F157AA"/>
    <w:rsid w:val="13085987"/>
    <w:rsid w:val="13223BB5"/>
    <w:rsid w:val="132F1E2E"/>
    <w:rsid w:val="1344242A"/>
    <w:rsid w:val="134A0A16"/>
    <w:rsid w:val="13712447"/>
    <w:rsid w:val="138E124B"/>
    <w:rsid w:val="13A57D35"/>
    <w:rsid w:val="13A740BB"/>
    <w:rsid w:val="13D91E69"/>
    <w:rsid w:val="14045069"/>
    <w:rsid w:val="14343DF9"/>
    <w:rsid w:val="143E4A1F"/>
    <w:rsid w:val="14593607"/>
    <w:rsid w:val="146F6F38"/>
    <w:rsid w:val="14885C1E"/>
    <w:rsid w:val="148E0DD7"/>
    <w:rsid w:val="14D96BDD"/>
    <w:rsid w:val="14FE41AE"/>
    <w:rsid w:val="152009F8"/>
    <w:rsid w:val="1525101E"/>
    <w:rsid w:val="154C4F1A"/>
    <w:rsid w:val="155913E5"/>
    <w:rsid w:val="15604521"/>
    <w:rsid w:val="15727625"/>
    <w:rsid w:val="158C299F"/>
    <w:rsid w:val="15A5287C"/>
    <w:rsid w:val="15C2342E"/>
    <w:rsid w:val="15C70A44"/>
    <w:rsid w:val="15D53161"/>
    <w:rsid w:val="15E2762C"/>
    <w:rsid w:val="15E74C42"/>
    <w:rsid w:val="15F5735F"/>
    <w:rsid w:val="16197E6B"/>
    <w:rsid w:val="16257519"/>
    <w:rsid w:val="166B734E"/>
    <w:rsid w:val="16783E10"/>
    <w:rsid w:val="168242D0"/>
    <w:rsid w:val="168E3310"/>
    <w:rsid w:val="168F3833"/>
    <w:rsid w:val="16B873C6"/>
    <w:rsid w:val="16CC2691"/>
    <w:rsid w:val="16D52CED"/>
    <w:rsid w:val="17051824"/>
    <w:rsid w:val="17070303"/>
    <w:rsid w:val="172779EC"/>
    <w:rsid w:val="172942A5"/>
    <w:rsid w:val="17562080"/>
    <w:rsid w:val="176A505F"/>
    <w:rsid w:val="178F5592"/>
    <w:rsid w:val="17AA5F28"/>
    <w:rsid w:val="17B64B4E"/>
    <w:rsid w:val="17C43DD0"/>
    <w:rsid w:val="17D03229"/>
    <w:rsid w:val="17F04282"/>
    <w:rsid w:val="17F17FFA"/>
    <w:rsid w:val="18055854"/>
    <w:rsid w:val="18107B4F"/>
    <w:rsid w:val="18613F4D"/>
    <w:rsid w:val="186B3909"/>
    <w:rsid w:val="18787DD4"/>
    <w:rsid w:val="18C66D91"/>
    <w:rsid w:val="18D019BE"/>
    <w:rsid w:val="18FC0A05"/>
    <w:rsid w:val="193E6C8C"/>
    <w:rsid w:val="19595AAF"/>
    <w:rsid w:val="19722343"/>
    <w:rsid w:val="197B0BEB"/>
    <w:rsid w:val="19834C82"/>
    <w:rsid w:val="19906C5A"/>
    <w:rsid w:val="1A0C09AF"/>
    <w:rsid w:val="1A29497D"/>
    <w:rsid w:val="1A2975D8"/>
    <w:rsid w:val="1A366198"/>
    <w:rsid w:val="1A404921"/>
    <w:rsid w:val="1A462F97"/>
    <w:rsid w:val="1A506BEA"/>
    <w:rsid w:val="1A512291"/>
    <w:rsid w:val="1A650743"/>
    <w:rsid w:val="1A693E78"/>
    <w:rsid w:val="1A7647E7"/>
    <w:rsid w:val="1A7A42B2"/>
    <w:rsid w:val="1A7D0EE8"/>
    <w:rsid w:val="1A9845E5"/>
    <w:rsid w:val="1A9D63A4"/>
    <w:rsid w:val="1A9F657E"/>
    <w:rsid w:val="1AA7647A"/>
    <w:rsid w:val="1ABC4D24"/>
    <w:rsid w:val="1B034424"/>
    <w:rsid w:val="1B097409"/>
    <w:rsid w:val="1B1069E9"/>
    <w:rsid w:val="1B1262BE"/>
    <w:rsid w:val="1B214649"/>
    <w:rsid w:val="1B24533D"/>
    <w:rsid w:val="1B305120"/>
    <w:rsid w:val="1B7D4190"/>
    <w:rsid w:val="1B8D003A"/>
    <w:rsid w:val="1BA675CC"/>
    <w:rsid w:val="1BB72BDE"/>
    <w:rsid w:val="1BD27C70"/>
    <w:rsid w:val="1BF14125"/>
    <w:rsid w:val="1C013A85"/>
    <w:rsid w:val="1C0C7CC4"/>
    <w:rsid w:val="1C185B56"/>
    <w:rsid w:val="1C3855A4"/>
    <w:rsid w:val="1C4921B3"/>
    <w:rsid w:val="1C4A1A87"/>
    <w:rsid w:val="1C552F3C"/>
    <w:rsid w:val="1C5618C8"/>
    <w:rsid w:val="1C5648D0"/>
    <w:rsid w:val="1C654B13"/>
    <w:rsid w:val="1C8B5015"/>
    <w:rsid w:val="1C8C02F2"/>
    <w:rsid w:val="1C8E5E18"/>
    <w:rsid w:val="1C98798D"/>
    <w:rsid w:val="1CD22C12"/>
    <w:rsid w:val="1CD32A5C"/>
    <w:rsid w:val="1CD5442F"/>
    <w:rsid w:val="1CE54004"/>
    <w:rsid w:val="1CEC6CD0"/>
    <w:rsid w:val="1D003B60"/>
    <w:rsid w:val="1D06604B"/>
    <w:rsid w:val="1D2B7B0B"/>
    <w:rsid w:val="1D444728"/>
    <w:rsid w:val="1D4B1610"/>
    <w:rsid w:val="1D6E79F7"/>
    <w:rsid w:val="1D81336E"/>
    <w:rsid w:val="1DAF4298"/>
    <w:rsid w:val="1DC82DEF"/>
    <w:rsid w:val="1DF46E42"/>
    <w:rsid w:val="1DFD6618"/>
    <w:rsid w:val="1E0A4259"/>
    <w:rsid w:val="1E220F0E"/>
    <w:rsid w:val="1E2F7187"/>
    <w:rsid w:val="1E4470D6"/>
    <w:rsid w:val="1E4E1C67"/>
    <w:rsid w:val="1E5F5DFB"/>
    <w:rsid w:val="1E64796A"/>
    <w:rsid w:val="1E71779F"/>
    <w:rsid w:val="1E8F5E77"/>
    <w:rsid w:val="1E982F7E"/>
    <w:rsid w:val="1E9E1A62"/>
    <w:rsid w:val="1EB21CEB"/>
    <w:rsid w:val="1EE61F3B"/>
    <w:rsid w:val="1F022AED"/>
    <w:rsid w:val="1F176598"/>
    <w:rsid w:val="1F3C7DAD"/>
    <w:rsid w:val="1F3F2038"/>
    <w:rsid w:val="1F4E5D32"/>
    <w:rsid w:val="1F5570C1"/>
    <w:rsid w:val="1F703EFB"/>
    <w:rsid w:val="1F76742A"/>
    <w:rsid w:val="1F8258B0"/>
    <w:rsid w:val="1FAC4C3D"/>
    <w:rsid w:val="1FBC147E"/>
    <w:rsid w:val="1FC54F55"/>
    <w:rsid w:val="1FCC0A47"/>
    <w:rsid w:val="1FEE75D9"/>
    <w:rsid w:val="2010356D"/>
    <w:rsid w:val="20253C29"/>
    <w:rsid w:val="20280FE1"/>
    <w:rsid w:val="20557672"/>
    <w:rsid w:val="2056004D"/>
    <w:rsid w:val="20601D7D"/>
    <w:rsid w:val="206155F1"/>
    <w:rsid w:val="206375BB"/>
    <w:rsid w:val="20825C93"/>
    <w:rsid w:val="20987265"/>
    <w:rsid w:val="20AC0F62"/>
    <w:rsid w:val="20BA367F"/>
    <w:rsid w:val="20D61B3B"/>
    <w:rsid w:val="20EA55E7"/>
    <w:rsid w:val="20F45776"/>
    <w:rsid w:val="210E78A5"/>
    <w:rsid w:val="211D3C0E"/>
    <w:rsid w:val="214C257C"/>
    <w:rsid w:val="2180377B"/>
    <w:rsid w:val="21B66AE8"/>
    <w:rsid w:val="21F030D1"/>
    <w:rsid w:val="220A75A6"/>
    <w:rsid w:val="22600256"/>
    <w:rsid w:val="2274264E"/>
    <w:rsid w:val="22B12860"/>
    <w:rsid w:val="22CB7258"/>
    <w:rsid w:val="23156613"/>
    <w:rsid w:val="231E370F"/>
    <w:rsid w:val="234E4553"/>
    <w:rsid w:val="23741495"/>
    <w:rsid w:val="238008AB"/>
    <w:rsid w:val="23DC4779"/>
    <w:rsid w:val="23E6478B"/>
    <w:rsid w:val="23FA0464"/>
    <w:rsid w:val="241C63FF"/>
    <w:rsid w:val="2423386F"/>
    <w:rsid w:val="243F3E9B"/>
    <w:rsid w:val="24421EE4"/>
    <w:rsid w:val="2443398C"/>
    <w:rsid w:val="24566EAF"/>
    <w:rsid w:val="245A2A83"/>
    <w:rsid w:val="245E2574"/>
    <w:rsid w:val="24676B48"/>
    <w:rsid w:val="24755AC5"/>
    <w:rsid w:val="247E78C9"/>
    <w:rsid w:val="2491699B"/>
    <w:rsid w:val="249661B1"/>
    <w:rsid w:val="24A51F50"/>
    <w:rsid w:val="24C04FDC"/>
    <w:rsid w:val="24C90335"/>
    <w:rsid w:val="24CF6FCD"/>
    <w:rsid w:val="24D046C0"/>
    <w:rsid w:val="24D32F62"/>
    <w:rsid w:val="24D77167"/>
    <w:rsid w:val="24E23186"/>
    <w:rsid w:val="251946ED"/>
    <w:rsid w:val="2526015E"/>
    <w:rsid w:val="25383E1B"/>
    <w:rsid w:val="253F322D"/>
    <w:rsid w:val="254A5CCC"/>
    <w:rsid w:val="25A466AC"/>
    <w:rsid w:val="25BC39F6"/>
    <w:rsid w:val="25CE3729"/>
    <w:rsid w:val="25D95944"/>
    <w:rsid w:val="25DC6087"/>
    <w:rsid w:val="25F767DC"/>
    <w:rsid w:val="25FF1B34"/>
    <w:rsid w:val="262D7EE2"/>
    <w:rsid w:val="2644571B"/>
    <w:rsid w:val="265637FF"/>
    <w:rsid w:val="26655897"/>
    <w:rsid w:val="26C30562"/>
    <w:rsid w:val="26C41A57"/>
    <w:rsid w:val="26CE1B16"/>
    <w:rsid w:val="26E054C2"/>
    <w:rsid w:val="270D699A"/>
    <w:rsid w:val="27247AA4"/>
    <w:rsid w:val="27373C76"/>
    <w:rsid w:val="273A290F"/>
    <w:rsid w:val="274D0493"/>
    <w:rsid w:val="276212D4"/>
    <w:rsid w:val="276C4CBC"/>
    <w:rsid w:val="277F227A"/>
    <w:rsid w:val="278E13C2"/>
    <w:rsid w:val="279302CF"/>
    <w:rsid w:val="27A400FB"/>
    <w:rsid w:val="27B07189"/>
    <w:rsid w:val="27BB0F5E"/>
    <w:rsid w:val="27D33A7D"/>
    <w:rsid w:val="27F43060"/>
    <w:rsid w:val="28133675"/>
    <w:rsid w:val="28461C9C"/>
    <w:rsid w:val="285E6FE6"/>
    <w:rsid w:val="286A7DAB"/>
    <w:rsid w:val="286E6AFD"/>
    <w:rsid w:val="2870379F"/>
    <w:rsid w:val="28735EF7"/>
    <w:rsid w:val="2896777B"/>
    <w:rsid w:val="28A46D6B"/>
    <w:rsid w:val="28B673C2"/>
    <w:rsid w:val="28C8445F"/>
    <w:rsid w:val="28F066CA"/>
    <w:rsid w:val="28F93369"/>
    <w:rsid w:val="291B0A33"/>
    <w:rsid w:val="291C47AB"/>
    <w:rsid w:val="291D29FD"/>
    <w:rsid w:val="291E6775"/>
    <w:rsid w:val="29235B3A"/>
    <w:rsid w:val="292B7768"/>
    <w:rsid w:val="294D5BB5"/>
    <w:rsid w:val="294F2DD3"/>
    <w:rsid w:val="29507C42"/>
    <w:rsid w:val="29532AE3"/>
    <w:rsid w:val="29586F2B"/>
    <w:rsid w:val="295A1365"/>
    <w:rsid w:val="298D21FE"/>
    <w:rsid w:val="299407E6"/>
    <w:rsid w:val="29C70AA4"/>
    <w:rsid w:val="29CE3CF8"/>
    <w:rsid w:val="2A187669"/>
    <w:rsid w:val="2A251687"/>
    <w:rsid w:val="2A297180"/>
    <w:rsid w:val="2A452073"/>
    <w:rsid w:val="2A461AE0"/>
    <w:rsid w:val="2A693A20"/>
    <w:rsid w:val="2AD92315"/>
    <w:rsid w:val="2AF163C6"/>
    <w:rsid w:val="2AFC6642"/>
    <w:rsid w:val="2AFE7D7F"/>
    <w:rsid w:val="2B096D7F"/>
    <w:rsid w:val="2B1E2A5D"/>
    <w:rsid w:val="2B285A09"/>
    <w:rsid w:val="2B3C3502"/>
    <w:rsid w:val="2B717030"/>
    <w:rsid w:val="2B7A5EA3"/>
    <w:rsid w:val="2B966A97"/>
    <w:rsid w:val="2B9E10A7"/>
    <w:rsid w:val="2BA50A88"/>
    <w:rsid w:val="2BAA5F79"/>
    <w:rsid w:val="2BC857E0"/>
    <w:rsid w:val="2BCF1FA9"/>
    <w:rsid w:val="2BDF3682"/>
    <w:rsid w:val="2BEB2E89"/>
    <w:rsid w:val="2BED20FC"/>
    <w:rsid w:val="2C205AD9"/>
    <w:rsid w:val="2C361F6B"/>
    <w:rsid w:val="2C426380"/>
    <w:rsid w:val="2C7A59DB"/>
    <w:rsid w:val="2CA17633"/>
    <w:rsid w:val="2CB05185"/>
    <w:rsid w:val="2CB30491"/>
    <w:rsid w:val="2CC118F2"/>
    <w:rsid w:val="2CCB09C2"/>
    <w:rsid w:val="2CE96994"/>
    <w:rsid w:val="2CFE4891"/>
    <w:rsid w:val="2D02347E"/>
    <w:rsid w:val="2D1F3041"/>
    <w:rsid w:val="2D46460C"/>
    <w:rsid w:val="2D4D07A5"/>
    <w:rsid w:val="2D590226"/>
    <w:rsid w:val="2D621DCA"/>
    <w:rsid w:val="2D830611"/>
    <w:rsid w:val="2D9E60D7"/>
    <w:rsid w:val="2DAC4350"/>
    <w:rsid w:val="2DDF6B09"/>
    <w:rsid w:val="2DFB0E33"/>
    <w:rsid w:val="2E221CCA"/>
    <w:rsid w:val="2E23315A"/>
    <w:rsid w:val="2E304F81"/>
    <w:rsid w:val="2E344345"/>
    <w:rsid w:val="2E3F4FA6"/>
    <w:rsid w:val="2E7330BF"/>
    <w:rsid w:val="2E854930"/>
    <w:rsid w:val="2EA84FA5"/>
    <w:rsid w:val="2EB37826"/>
    <w:rsid w:val="2EC845D4"/>
    <w:rsid w:val="2ED753FC"/>
    <w:rsid w:val="2EDC2A13"/>
    <w:rsid w:val="2EE31A67"/>
    <w:rsid w:val="2EEA15D4"/>
    <w:rsid w:val="2F0E4E31"/>
    <w:rsid w:val="2F192FE1"/>
    <w:rsid w:val="2F252203"/>
    <w:rsid w:val="2F3C7955"/>
    <w:rsid w:val="2F4326D1"/>
    <w:rsid w:val="2F464E8D"/>
    <w:rsid w:val="2F866E22"/>
    <w:rsid w:val="2F8D7364"/>
    <w:rsid w:val="2FC64215"/>
    <w:rsid w:val="2FD23E16"/>
    <w:rsid w:val="2FDD171B"/>
    <w:rsid w:val="300F506A"/>
    <w:rsid w:val="301B756B"/>
    <w:rsid w:val="30305A40"/>
    <w:rsid w:val="30576230"/>
    <w:rsid w:val="30766201"/>
    <w:rsid w:val="30A909AA"/>
    <w:rsid w:val="30B30514"/>
    <w:rsid w:val="30CE14CF"/>
    <w:rsid w:val="30D077C5"/>
    <w:rsid w:val="31000688"/>
    <w:rsid w:val="31146DD0"/>
    <w:rsid w:val="31152803"/>
    <w:rsid w:val="318555E4"/>
    <w:rsid w:val="318D07DA"/>
    <w:rsid w:val="319C0B7F"/>
    <w:rsid w:val="319F714E"/>
    <w:rsid w:val="323112C7"/>
    <w:rsid w:val="324E1E79"/>
    <w:rsid w:val="32534AFB"/>
    <w:rsid w:val="326C67A3"/>
    <w:rsid w:val="327B3DBE"/>
    <w:rsid w:val="32A8039A"/>
    <w:rsid w:val="32D57EA5"/>
    <w:rsid w:val="33137A65"/>
    <w:rsid w:val="331A1D5C"/>
    <w:rsid w:val="33205E2B"/>
    <w:rsid w:val="33555EBD"/>
    <w:rsid w:val="335A5CA1"/>
    <w:rsid w:val="336B6A5B"/>
    <w:rsid w:val="33813BF9"/>
    <w:rsid w:val="33A21975"/>
    <w:rsid w:val="33A36B60"/>
    <w:rsid w:val="33CC2BAF"/>
    <w:rsid w:val="33CF0157"/>
    <w:rsid w:val="346516FC"/>
    <w:rsid w:val="348051F1"/>
    <w:rsid w:val="34842CBB"/>
    <w:rsid w:val="348778C5"/>
    <w:rsid w:val="34C75D1D"/>
    <w:rsid w:val="34E02B31"/>
    <w:rsid w:val="350607E9"/>
    <w:rsid w:val="35382109"/>
    <w:rsid w:val="35434130"/>
    <w:rsid w:val="355778BB"/>
    <w:rsid w:val="35675000"/>
    <w:rsid w:val="35833D31"/>
    <w:rsid w:val="358C6C4C"/>
    <w:rsid w:val="3599165E"/>
    <w:rsid w:val="35BF1F03"/>
    <w:rsid w:val="35CF1987"/>
    <w:rsid w:val="35DC59EE"/>
    <w:rsid w:val="35DC5FA2"/>
    <w:rsid w:val="35FA4F9F"/>
    <w:rsid w:val="35FD0996"/>
    <w:rsid w:val="360705A5"/>
    <w:rsid w:val="360A255B"/>
    <w:rsid w:val="360E2C5A"/>
    <w:rsid w:val="36267CB5"/>
    <w:rsid w:val="367762AE"/>
    <w:rsid w:val="36864FB9"/>
    <w:rsid w:val="36956196"/>
    <w:rsid w:val="36A209E6"/>
    <w:rsid w:val="36C4095C"/>
    <w:rsid w:val="36C43710"/>
    <w:rsid w:val="36F15ED0"/>
    <w:rsid w:val="36F26843"/>
    <w:rsid w:val="37302205"/>
    <w:rsid w:val="37453C40"/>
    <w:rsid w:val="37542097"/>
    <w:rsid w:val="3766401B"/>
    <w:rsid w:val="37737C8C"/>
    <w:rsid w:val="377834F5"/>
    <w:rsid w:val="378325C5"/>
    <w:rsid w:val="378B76CC"/>
    <w:rsid w:val="37AB38CA"/>
    <w:rsid w:val="37C83786"/>
    <w:rsid w:val="37C87FD8"/>
    <w:rsid w:val="38441C7C"/>
    <w:rsid w:val="389425B0"/>
    <w:rsid w:val="38AD71CE"/>
    <w:rsid w:val="38C118E6"/>
    <w:rsid w:val="38CE5CE6"/>
    <w:rsid w:val="38D26C34"/>
    <w:rsid w:val="39040459"/>
    <w:rsid w:val="39113C01"/>
    <w:rsid w:val="39141B89"/>
    <w:rsid w:val="39161217"/>
    <w:rsid w:val="39692168"/>
    <w:rsid w:val="3970274A"/>
    <w:rsid w:val="398D0970"/>
    <w:rsid w:val="399F745E"/>
    <w:rsid w:val="39CA4C1F"/>
    <w:rsid w:val="39D81ED7"/>
    <w:rsid w:val="39DE1D35"/>
    <w:rsid w:val="3A00614F"/>
    <w:rsid w:val="3A2D6818"/>
    <w:rsid w:val="3A31121C"/>
    <w:rsid w:val="3A3F1EB2"/>
    <w:rsid w:val="3A4E2C7C"/>
    <w:rsid w:val="3A5E1C16"/>
    <w:rsid w:val="3A696CD3"/>
    <w:rsid w:val="3AC42054"/>
    <w:rsid w:val="3AD1189A"/>
    <w:rsid w:val="3ADD0854"/>
    <w:rsid w:val="3AF065EC"/>
    <w:rsid w:val="3B073DC2"/>
    <w:rsid w:val="3B137FF8"/>
    <w:rsid w:val="3B395FEA"/>
    <w:rsid w:val="3B536111"/>
    <w:rsid w:val="3B5978C5"/>
    <w:rsid w:val="3B8F330A"/>
    <w:rsid w:val="3B9D63DC"/>
    <w:rsid w:val="3BAE1209"/>
    <w:rsid w:val="3BAE3989"/>
    <w:rsid w:val="3BBA0580"/>
    <w:rsid w:val="3BD7212D"/>
    <w:rsid w:val="3BD74C8E"/>
    <w:rsid w:val="3BFA097C"/>
    <w:rsid w:val="3BFD3F4B"/>
    <w:rsid w:val="3C1119BE"/>
    <w:rsid w:val="3C325F6A"/>
    <w:rsid w:val="3C860462"/>
    <w:rsid w:val="3C8A2C04"/>
    <w:rsid w:val="3CA32DC2"/>
    <w:rsid w:val="3CA75B1E"/>
    <w:rsid w:val="3CAA5311"/>
    <w:rsid w:val="3CB62557"/>
    <w:rsid w:val="3CD4741F"/>
    <w:rsid w:val="3CD62999"/>
    <w:rsid w:val="3CFC3141"/>
    <w:rsid w:val="3CFD6976"/>
    <w:rsid w:val="3D1B32A0"/>
    <w:rsid w:val="3D211F38"/>
    <w:rsid w:val="3D3B2FFA"/>
    <w:rsid w:val="3D524B13"/>
    <w:rsid w:val="3DAB63D2"/>
    <w:rsid w:val="3DB3271D"/>
    <w:rsid w:val="3DD50037"/>
    <w:rsid w:val="3E291B84"/>
    <w:rsid w:val="3E292905"/>
    <w:rsid w:val="3E507B57"/>
    <w:rsid w:val="3E595E2E"/>
    <w:rsid w:val="3E61781D"/>
    <w:rsid w:val="3E7A2248"/>
    <w:rsid w:val="3E7C1B1C"/>
    <w:rsid w:val="3E816406"/>
    <w:rsid w:val="3EC43D05"/>
    <w:rsid w:val="3EDC080D"/>
    <w:rsid w:val="3EE020AB"/>
    <w:rsid w:val="3EE8492E"/>
    <w:rsid w:val="3EED5823"/>
    <w:rsid w:val="3EF17F10"/>
    <w:rsid w:val="3F1735F3"/>
    <w:rsid w:val="3F240F03"/>
    <w:rsid w:val="3F287AAC"/>
    <w:rsid w:val="3F312907"/>
    <w:rsid w:val="3F830C89"/>
    <w:rsid w:val="3F91350E"/>
    <w:rsid w:val="3FD0283B"/>
    <w:rsid w:val="40016053"/>
    <w:rsid w:val="40263C01"/>
    <w:rsid w:val="40321FEF"/>
    <w:rsid w:val="40387CC5"/>
    <w:rsid w:val="40534AFF"/>
    <w:rsid w:val="40580367"/>
    <w:rsid w:val="407B61A9"/>
    <w:rsid w:val="409018AF"/>
    <w:rsid w:val="40A846C6"/>
    <w:rsid w:val="40A84E4B"/>
    <w:rsid w:val="40C35C84"/>
    <w:rsid w:val="40C56FE7"/>
    <w:rsid w:val="40CA2A93"/>
    <w:rsid w:val="40D21EC7"/>
    <w:rsid w:val="40D914A8"/>
    <w:rsid w:val="40F57964"/>
    <w:rsid w:val="412F0F7D"/>
    <w:rsid w:val="41391F47"/>
    <w:rsid w:val="418164BE"/>
    <w:rsid w:val="41865FB5"/>
    <w:rsid w:val="41B35639"/>
    <w:rsid w:val="41BE79EC"/>
    <w:rsid w:val="41C1797D"/>
    <w:rsid w:val="41E8145E"/>
    <w:rsid w:val="41E974C9"/>
    <w:rsid w:val="422E0127"/>
    <w:rsid w:val="422E312E"/>
    <w:rsid w:val="42310866"/>
    <w:rsid w:val="423E1C25"/>
    <w:rsid w:val="425A3900"/>
    <w:rsid w:val="427B3E29"/>
    <w:rsid w:val="42905B96"/>
    <w:rsid w:val="4298130E"/>
    <w:rsid w:val="42AE426E"/>
    <w:rsid w:val="42F8373B"/>
    <w:rsid w:val="43387D84"/>
    <w:rsid w:val="436F0017"/>
    <w:rsid w:val="43761536"/>
    <w:rsid w:val="438230E1"/>
    <w:rsid w:val="43840DFB"/>
    <w:rsid w:val="438E2857"/>
    <w:rsid w:val="4396542E"/>
    <w:rsid w:val="43A87863"/>
    <w:rsid w:val="43CF26EE"/>
    <w:rsid w:val="43D23954"/>
    <w:rsid w:val="43E27BB0"/>
    <w:rsid w:val="43EF4BA7"/>
    <w:rsid w:val="43FA35F7"/>
    <w:rsid w:val="43FF1225"/>
    <w:rsid w:val="440A7BCA"/>
    <w:rsid w:val="44112D07"/>
    <w:rsid w:val="444F7820"/>
    <w:rsid w:val="44562E10"/>
    <w:rsid w:val="44581EC4"/>
    <w:rsid w:val="448A73E4"/>
    <w:rsid w:val="44B91EC5"/>
    <w:rsid w:val="44D50DCD"/>
    <w:rsid w:val="44E67CEF"/>
    <w:rsid w:val="44E73A68"/>
    <w:rsid w:val="44F01836"/>
    <w:rsid w:val="452D5742"/>
    <w:rsid w:val="454A2974"/>
    <w:rsid w:val="45533F2D"/>
    <w:rsid w:val="455523D4"/>
    <w:rsid w:val="45563C52"/>
    <w:rsid w:val="455B692F"/>
    <w:rsid w:val="456D21BF"/>
    <w:rsid w:val="45AD6A5F"/>
    <w:rsid w:val="45B47DEE"/>
    <w:rsid w:val="45CF6DB3"/>
    <w:rsid w:val="461865CE"/>
    <w:rsid w:val="46492C2C"/>
    <w:rsid w:val="4653381F"/>
    <w:rsid w:val="46734DDC"/>
    <w:rsid w:val="46780E1B"/>
    <w:rsid w:val="469A0956"/>
    <w:rsid w:val="46AC5946"/>
    <w:rsid w:val="46B34549"/>
    <w:rsid w:val="46BE2367"/>
    <w:rsid w:val="46E01323"/>
    <w:rsid w:val="46E249A6"/>
    <w:rsid w:val="474B29D4"/>
    <w:rsid w:val="475353E4"/>
    <w:rsid w:val="47685334"/>
    <w:rsid w:val="479052F0"/>
    <w:rsid w:val="4799373F"/>
    <w:rsid w:val="479B006A"/>
    <w:rsid w:val="47A143A2"/>
    <w:rsid w:val="47A455D1"/>
    <w:rsid w:val="47B448F0"/>
    <w:rsid w:val="47D12ED9"/>
    <w:rsid w:val="47D604EF"/>
    <w:rsid w:val="47DE188B"/>
    <w:rsid w:val="47ED7D50"/>
    <w:rsid w:val="47FB5C11"/>
    <w:rsid w:val="48135632"/>
    <w:rsid w:val="48253225"/>
    <w:rsid w:val="482F3186"/>
    <w:rsid w:val="48455675"/>
    <w:rsid w:val="48592ECE"/>
    <w:rsid w:val="48602451"/>
    <w:rsid w:val="487D4E0F"/>
    <w:rsid w:val="48AC74A2"/>
    <w:rsid w:val="48DB38E3"/>
    <w:rsid w:val="48F0738F"/>
    <w:rsid w:val="48FD1AAC"/>
    <w:rsid w:val="4900334A"/>
    <w:rsid w:val="49592CF7"/>
    <w:rsid w:val="496120EC"/>
    <w:rsid w:val="499557A4"/>
    <w:rsid w:val="49AB1913"/>
    <w:rsid w:val="49B6503F"/>
    <w:rsid w:val="49BD484D"/>
    <w:rsid w:val="49EC6155"/>
    <w:rsid w:val="49F32068"/>
    <w:rsid w:val="4A115CF3"/>
    <w:rsid w:val="4A1D2914"/>
    <w:rsid w:val="4A235542"/>
    <w:rsid w:val="4A58343D"/>
    <w:rsid w:val="4A735595"/>
    <w:rsid w:val="4A7A23FB"/>
    <w:rsid w:val="4AB03279"/>
    <w:rsid w:val="4AB83EDC"/>
    <w:rsid w:val="4AC72B94"/>
    <w:rsid w:val="4AD319B0"/>
    <w:rsid w:val="4AFD5D93"/>
    <w:rsid w:val="4B182BCD"/>
    <w:rsid w:val="4B362C2A"/>
    <w:rsid w:val="4B4734DA"/>
    <w:rsid w:val="4B5F25AA"/>
    <w:rsid w:val="4B8D7117"/>
    <w:rsid w:val="4BB24DCF"/>
    <w:rsid w:val="4BE07B8E"/>
    <w:rsid w:val="4BED5E07"/>
    <w:rsid w:val="4BF26204"/>
    <w:rsid w:val="4C043151"/>
    <w:rsid w:val="4C196AA6"/>
    <w:rsid w:val="4C4F6197"/>
    <w:rsid w:val="4C5B0FC3"/>
    <w:rsid w:val="4C601B1D"/>
    <w:rsid w:val="4C7A2B00"/>
    <w:rsid w:val="4C856040"/>
    <w:rsid w:val="4C96209D"/>
    <w:rsid w:val="4CAF47D4"/>
    <w:rsid w:val="4CC96874"/>
    <w:rsid w:val="4CE76CFB"/>
    <w:rsid w:val="4D070B60"/>
    <w:rsid w:val="4D0B7AA1"/>
    <w:rsid w:val="4D151722"/>
    <w:rsid w:val="4D4A231F"/>
    <w:rsid w:val="4D536BA4"/>
    <w:rsid w:val="4D5D0D6B"/>
    <w:rsid w:val="4D6D5452"/>
    <w:rsid w:val="4D866514"/>
    <w:rsid w:val="4D8F03FC"/>
    <w:rsid w:val="4D95296E"/>
    <w:rsid w:val="4DAF2A89"/>
    <w:rsid w:val="4DC4703C"/>
    <w:rsid w:val="4E07242C"/>
    <w:rsid w:val="4E0F0B9A"/>
    <w:rsid w:val="4E163BB7"/>
    <w:rsid w:val="4E2E3285"/>
    <w:rsid w:val="4E323135"/>
    <w:rsid w:val="4E686513"/>
    <w:rsid w:val="4E6C5868"/>
    <w:rsid w:val="4E74636C"/>
    <w:rsid w:val="4E796078"/>
    <w:rsid w:val="4E832A53"/>
    <w:rsid w:val="4E850579"/>
    <w:rsid w:val="4EB232D6"/>
    <w:rsid w:val="4EC72940"/>
    <w:rsid w:val="4ED9236E"/>
    <w:rsid w:val="4EE055EC"/>
    <w:rsid w:val="4F1C3380"/>
    <w:rsid w:val="4F1E452A"/>
    <w:rsid w:val="4F1F1E6B"/>
    <w:rsid w:val="4F4F7445"/>
    <w:rsid w:val="4F501671"/>
    <w:rsid w:val="4F5A32CC"/>
    <w:rsid w:val="4F8E345D"/>
    <w:rsid w:val="4FD56E81"/>
    <w:rsid w:val="4FD65542"/>
    <w:rsid w:val="4FEE214E"/>
    <w:rsid w:val="501F67AB"/>
    <w:rsid w:val="502A28FA"/>
    <w:rsid w:val="5043765F"/>
    <w:rsid w:val="50575F45"/>
    <w:rsid w:val="505E62E4"/>
    <w:rsid w:val="507E1724"/>
    <w:rsid w:val="50A5310D"/>
    <w:rsid w:val="50AA12A8"/>
    <w:rsid w:val="50AC44E3"/>
    <w:rsid w:val="50B320FA"/>
    <w:rsid w:val="50BE6DE7"/>
    <w:rsid w:val="50C3541E"/>
    <w:rsid w:val="50CC3BD1"/>
    <w:rsid w:val="50CD4459"/>
    <w:rsid w:val="50EF617E"/>
    <w:rsid w:val="51394C2E"/>
    <w:rsid w:val="514A5AAA"/>
    <w:rsid w:val="51656440"/>
    <w:rsid w:val="518E5997"/>
    <w:rsid w:val="51DA6E2E"/>
    <w:rsid w:val="51DF4444"/>
    <w:rsid w:val="51E952C3"/>
    <w:rsid w:val="51E95631"/>
    <w:rsid w:val="51EA0B55"/>
    <w:rsid w:val="51FD2B1C"/>
    <w:rsid w:val="520619D1"/>
    <w:rsid w:val="521074C0"/>
    <w:rsid w:val="525210BA"/>
    <w:rsid w:val="525F47FF"/>
    <w:rsid w:val="52854FEC"/>
    <w:rsid w:val="528D20F2"/>
    <w:rsid w:val="52A26081"/>
    <w:rsid w:val="52BE77B3"/>
    <w:rsid w:val="52D12F4A"/>
    <w:rsid w:val="52E77A54"/>
    <w:rsid w:val="52FC2DD4"/>
    <w:rsid w:val="532760A3"/>
    <w:rsid w:val="5354268C"/>
    <w:rsid w:val="53566867"/>
    <w:rsid w:val="536F71D7"/>
    <w:rsid w:val="5373753A"/>
    <w:rsid w:val="53755970"/>
    <w:rsid w:val="538B4884"/>
    <w:rsid w:val="53914C04"/>
    <w:rsid w:val="53954974"/>
    <w:rsid w:val="53BA6F17"/>
    <w:rsid w:val="53BF3ED7"/>
    <w:rsid w:val="53C42C87"/>
    <w:rsid w:val="53E81058"/>
    <w:rsid w:val="540D6463"/>
    <w:rsid w:val="5416474D"/>
    <w:rsid w:val="54273E81"/>
    <w:rsid w:val="543E1F56"/>
    <w:rsid w:val="54830B19"/>
    <w:rsid w:val="5488491F"/>
    <w:rsid w:val="54942937"/>
    <w:rsid w:val="549A0ADA"/>
    <w:rsid w:val="549A0AF6"/>
    <w:rsid w:val="54A43723"/>
    <w:rsid w:val="54B7390F"/>
    <w:rsid w:val="54CB6F02"/>
    <w:rsid w:val="54EF499E"/>
    <w:rsid w:val="54F204FA"/>
    <w:rsid w:val="55132319"/>
    <w:rsid w:val="553625CD"/>
    <w:rsid w:val="5539030F"/>
    <w:rsid w:val="555A031F"/>
    <w:rsid w:val="55621614"/>
    <w:rsid w:val="55806E31"/>
    <w:rsid w:val="558363DF"/>
    <w:rsid w:val="55915A7C"/>
    <w:rsid w:val="5594755F"/>
    <w:rsid w:val="55AE2AAB"/>
    <w:rsid w:val="55CB0003"/>
    <w:rsid w:val="55EE2EA8"/>
    <w:rsid w:val="55F028DC"/>
    <w:rsid w:val="55FD30EB"/>
    <w:rsid w:val="561A1EEF"/>
    <w:rsid w:val="56582A17"/>
    <w:rsid w:val="5687388E"/>
    <w:rsid w:val="569972B8"/>
    <w:rsid w:val="569A4B00"/>
    <w:rsid w:val="56AD6028"/>
    <w:rsid w:val="56C1680E"/>
    <w:rsid w:val="56E2065A"/>
    <w:rsid w:val="56E338D3"/>
    <w:rsid w:val="56F97D56"/>
    <w:rsid w:val="56FD47C7"/>
    <w:rsid w:val="572F5526"/>
    <w:rsid w:val="57450C2F"/>
    <w:rsid w:val="575C2093"/>
    <w:rsid w:val="576308DB"/>
    <w:rsid w:val="57636530"/>
    <w:rsid w:val="57666D80"/>
    <w:rsid w:val="579E5E04"/>
    <w:rsid w:val="579F66F9"/>
    <w:rsid w:val="57AA6773"/>
    <w:rsid w:val="57B516F0"/>
    <w:rsid w:val="57BC0474"/>
    <w:rsid w:val="57C974C9"/>
    <w:rsid w:val="57DA78C0"/>
    <w:rsid w:val="57E275E3"/>
    <w:rsid w:val="57E47724"/>
    <w:rsid w:val="57F02454"/>
    <w:rsid w:val="581666E6"/>
    <w:rsid w:val="58226E39"/>
    <w:rsid w:val="58316012"/>
    <w:rsid w:val="583354EA"/>
    <w:rsid w:val="586E5608"/>
    <w:rsid w:val="58840BF6"/>
    <w:rsid w:val="588A75BA"/>
    <w:rsid w:val="58AA44E6"/>
    <w:rsid w:val="59255664"/>
    <w:rsid w:val="59292E82"/>
    <w:rsid w:val="595219A0"/>
    <w:rsid w:val="59701E26"/>
    <w:rsid w:val="598B6C60"/>
    <w:rsid w:val="5991320A"/>
    <w:rsid w:val="59A3044D"/>
    <w:rsid w:val="59EC302B"/>
    <w:rsid w:val="59ED3476"/>
    <w:rsid w:val="5A0805BE"/>
    <w:rsid w:val="5A2E5F69"/>
    <w:rsid w:val="5A360913"/>
    <w:rsid w:val="5A5C2788"/>
    <w:rsid w:val="5A821E11"/>
    <w:rsid w:val="5A9102A6"/>
    <w:rsid w:val="5ABA1C31"/>
    <w:rsid w:val="5AC153A5"/>
    <w:rsid w:val="5AC95C92"/>
    <w:rsid w:val="5ACE5819"/>
    <w:rsid w:val="5AEB5C08"/>
    <w:rsid w:val="5AF076C2"/>
    <w:rsid w:val="5AFA409D"/>
    <w:rsid w:val="5B0B62AA"/>
    <w:rsid w:val="5B1A64ED"/>
    <w:rsid w:val="5B2A7729"/>
    <w:rsid w:val="5B535D1A"/>
    <w:rsid w:val="5B8F0C89"/>
    <w:rsid w:val="5B935C4E"/>
    <w:rsid w:val="5BA313DA"/>
    <w:rsid w:val="5BA65FD3"/>
    <w:rsid w:val="5BAA0324"/>
    <w:rsid w:val="5BC16969"/>
    <w:rsid w:val="5BD3501A"/>
    <w:rsid w:val="5C211DEF"/>
    <w:rsid w:val="5C260EE4"/>
    <w:rsid w:val="5C3B3596"/>
    <w:rsid w:val="5C3D63E1"/>
    <w:rsid w:val="5C3E7FB9"/>
    <w:rsid w:val="5C470A30"/>
    <w:rsid w:val="5C546655"/>
    <w:rsid w:val="5C793511"/>
    <w:rsid w:val="5C82259C"/>
    <w:rsid w:val="5C82434A"/>
    <w:rsid w:val="5C84127D"/>
    <w:rsid w:val="5C89392A"/>
    <w:rsid w:val="5CA442C0"/>
    <w:rsid w:val="5CC26E3C"/>
    <w:rsid w:val="5CD32B1A"/>
    <w:rsid w:val="5CDA5F34"/>
    <w:rsid w:val="5CDF179C"/>
    <w:rsid w:val="5CE65C3D"/>
    <w:rsid w:val="5D125FB6"/>
    <w:rsid w:val="5D36061C"/>
    <w:rsid w:val="5D4355F8"/>
    <w:rsid w:val="5D50269A"/>
    <w:rsid w:val="5D8F6D1E"/>
    <w:rsid w:val="5D9A5C7C"/>
    <w:rsid w:val="5DA402F0"/>
    <w:rsid w:val="5DA84284"/>
    <w:rsid w:val="5DD3710F"/>
    <w:rsid w:val="5DF52F95"/>
    <w:rsid w:val="5DF54CD0"/>
    <w:rsid w:val="5E20206C"/>
    <w:rsid w:val="5E2A6A47"/>
    <w:rsid w:val="5E367223"/>
    <w:rsid w:val="5E596C50"/>
    <w:rsid w:val="5E6737F7"/>
    <w:rsid w:val="5E6A138B"/>
    <w:rsid w:val="5E6A549D"/>
    <w:rsid w:val="5E924C9F"/>
    <w:rsid w:val="5EBC6ECA"/>
    <w:rsid w:val="5ED15115"/>
    <w:rsid w:val="5EDE78C5"/>
    <w:rsid w:val="5EED6B4B"/>
    <w:rsid w:val="5EF61933"/>
    <w:rsid w:val="5EFA466C"/>
    <w:rsid w:val="5EFA6EC3"/>
    <w:rsid w:val="5EFC3FDE"/>
    <w:rsid w:val="5EFF5519"/>
    <w:rsid w:val="5F025C16"/>
    <w:rsid w:val="5F2359E1"/>
    <w:rsid w:val="5F2416E8"/>
    <w:rsid w:val="5F50072F"/>
    <w:rsid w:val="5F517C97"/>
    <w:rsid w:val="5F6847A5"/>
    <w:rsid w:val="5F724B4A"/>
    <w:rsid w:val="5FAF3B40"/>
    <w:rsid w:val="5FD9037C"/>
    <w:rsid w:val="5FF74A0F"/>
    <w:rsid w:val="60017C7C"/>
    <w:rsid w:val="60104F22"/>
    <w:rsid w:val="60116111"/>
    <w:rsid w:val="601B4E22"/>
    <w:rsid w:val="60235E44"/>
    <w:rsid w:val="60251BBC"/>
    <w:rsid w:val="60292CCF"/>
    <w:rsid w:val="604858AA"/>
    <w:rsid w:val="605D7F9C"/>
    <w:rsid w:val="607C320C"/>
    <w:rsid w:val="60981E16"/>
    <w:rsid w:val="60A725D1"/>
    <w:rsid w:val="60B50B1F"/>
    <w:rsid w:val="60D07D7A"/>
    <w:rsid w:val="60D64C64"/>
    <w:rsid w:val="6110461A"/>
    <w:rsid w:val="6138147B"/>
    <w:rsid w:val="61497B2C"/>
    <w:rsid w:val="614D57CA"/>
    <w:rsid w:val="614E6EF1"/>
    <w:rsid w:val="615362B5"/>
    <w:rsid w:val="616C7377"/>
    <w:rsid w:val="617464F3"/>
    <w:rsid w:val="61840B64"/>
    <w:rsid w:val="618648DC"/>
    <w:rsid w:val="61C17622"/>
    <w:rsid w:val="61CA2A1B"/>
    <w:rsid w:val="61E433B1"/>
    <w:rsid w:val="61EF4230"/>
    <w:rsid w:val="61F45B79"/>
    <w:rsid w:val="61F47A98"/>
    <w:rsid w:val="622B7CCC"/>
    <w:rsid w:val="622C46F4"/>
    <w:rsid w:val="62381C48"/>
    <w:rsid w:val="623F15C0"/>
    <w:rsid w:val="628D3A49"/>
    <w:rsid w:val="629D1EDE"/>
    <w:rsid w:val="629E17B2"/>
    <w:rsid w:val="62BB6808"/>
    <w:rsid w:val="62E55633"/>
    <w:rsid w:val="62EC4C13"/>
    <w:rsid w:val="62FF77F3"/>
    <w:rsid w:val="63021D41"/>
    <w:rsid w:val="630C0E11"/>
    <w:rsid w:val="634964C9"/>
    <w:rsid w:val="635754D0"/>
    <w:rsid w:val="63703357"/>
    <w:rsid w:val="63A1155A"/>
    <w:rsid w:val="63BA086D"/>
    <w:rsid w:val="64050D4F"/>
    <w:rsid w:val="64063AB3"/>
    <w:rsid w:val="64122457"/>
    <w:rsid w:val="641A254C"/>
    <w:rsid w:val="645B6376"/>
    <w:rsid w:val="646434D8"/>
    <w:rsid w:val="646D6E0F"/>
    <w:rsid w:val="64750C69"/>
    <w:rsid w:val="64801AB7"/>
    <w:rsid w:val="64CA0F84"/>
    <w:rsid w:val="64CF20F6"/>
    <w:rsid w:val="64E5191A"/>
    <w:rsid w:val="64E93BEF"/>
    <w:rsid w:val="64EC4A56"/>
    <w:rsid w:val="64F642EB"/>
    <w:rsid w:val="65062EC3"/>
    <w:rsid w:val="6518154A"/>
    <w:rsid w:val="651D4188"/>
    <w:rsid w:val="65493C57"/>
    <w:rsid w:val="654D7CEA"/>
    <w:rsid w:val="657B6143"/>
    <w:rsid w:val="657E45EB"/>
    <w:rsid w:val="65962C14"/>
    <w:rsid w:val="65A97955"/>
    <w:rsid w:val="65AE61B0"/>
    <w:rsid w:val="65F71DB5"/>
    <w:rsid w:val="66150BC3"/>
    <w:rsid w:val="662F3849"/>
    <w:rsid w:val="6635242D"/>
    <w:rsid w:val="665A1E94"/>
    <w:rsid w:val="667C62AE"/>
    <w:rsid w:val="667D0FD4"/>
    <w:rsid w:val="669E7BD0"/>
    <w:rsid w:val="66AF0431"/>
    <w:rsid w:val="66BC2B4E"/>
    <w:rsid w:val="66CA3A4C"/>
    <w:rsid w:val="66D659BE"/>
    <w:rsid w:val="66EC51E2"/>
    <w:rsid w:val="66FE5F6A"/>
    <w:rsid w:val="671D13A0"/>
    <w:rsid w:val="672524A2"/>
    <w:rsid w:val="67630A8D"/>
    <w:rsid w:val="67631FF9"/>
    <w:rsid w:val="67957627"/>
    <w:rsid w:val="67966EFB"/>
    <w:rsid w:val="67A8710C"/>
    <w:rsid w:val="67F92022"/>
    <w:rsid w:val="680D7442"/>
    <w:rsid w:val="681349F0"/>
    <w:rsid w:val="682409AB"/>
    <w:rsid w:val="68953657"/>
    <w:rsid w:val="689D535F"/>
    <w:rsid w:val="68A125DD"/>
    <w:rsid w:val="68D45F2D"/>
    <w:rsid w:val="691B3B5C"/>
    <w:rsid w:val="69290B91"/>
    <w:rsid w:val="692D1AE1"/>
    <w:rsid w:val="695E1C9B"/>
    <w:rsid w:val="696D1EDE"/>
    <w:rsid w:val="69766FE4"/>
    <w:rsid w:val="69791C16"/>
    <w:rsid w:val="699D0A15"/>
    <w:rsid w:val="69AA3132"/>
    <w:rsid w:val="69AA4B49"/>
    <w:rsid w:val="69BD5B76"/>
    <w:rsid w:val="69C266CE"/>
    <w:rsid w:val="69DA217A"/>
    <w:rsid w:val="69E4426C"/>
    <w:rsid w:val="69F36887"/>
    <w:rsid w:val="69FC1E0A"/>
    <w:rsid w:val="6A03057B"/>
    <w:rsid w:val="6A164324"/>
    <w:rsid w:val="6A372C18"/>
    <w:rsid w:val="6A4946F9"/>
    <w:rsid w:val="6A530054"/>
    <w:rsid w:val="6A5946B7"/>
    <w:rsid w:val="6A661B5C"/>
    <w:rsid w:val="6A783D65"/>
    <w:rsid w:val="6A964B0D"/>
    <w:rsid w:val="6AAA163C"/>
    <w:rsid w:val="6AAA7D24"/>
    <w:rsid w:val="6AF64E23"/>
    <w:rsid w:val="6AFC5C0F"/>
    <w:rsid w:val="6B267B8C"/>
    <w:rsid w:val="6B303BD2"/>
    <w:rsid w:val="6B3D6E76"/>
    <w:rsid w:val="6B471B43"/>
    <w:rsid w:val="6B533A81"/>
    <w:rsid w:val="6B657FAD"/>
    <w:rsid w:val="6B6A4927"/>
    <w:rsid w:val="6B846399"/>
    <w:rsid w:val="6BA936A1"/>
    <w:rsid w:val="6BD76A04"/>
    <w:rsid w:val="6BD85602"/>
    <w:rsid w:val="6BDD0871"/>
    <w:rsid w:val="6BE741CA"/>
    <w:rsid w:val="6C0472D8"/>
    <w:rsid w:val="6C103720"/>
    <w:rsid w:val="6C315445"/>
    <w:rsid w:val="6C406B00"/>
    <w:rsid w:val="6C4C5D63"/>
    <w:rsid w:val="6C605FED"/>
    <w:rsid w:val="6C697A79"/>
    <w:rsid w:val="6C7A503E"/>
    <w:rsid w:val="6C9C4FB4"/>
    <w:rsid w:val="6CA02C98"/>
    <w:rsid w:val="6CF74C85"/>
    <w:rsid w:val="6D194857"/>
    <w:rsid w:val="6D3F3B91"/>
    <w:rsid w:val="6D401DE3"/>
    <w:rsid w:val="6D463172"/>
    <w:rsid w:val="6DB23417"/>
    <w:rsid w:val="6DB327B5"/>
    <w:rsid w:val="6DD16EDF"/>
    <w:rsid w:val="6DD43CBA"/>
    <w:rsid w:val="6DDA24CA"/>
    <w:rsid w:val="6E1F7C4B"/>
    <w:rsid w:val="6E364F94"/>
    <w:rsid w:val="6E8937A9"/>
    <w:rsid w:val="6ECE17D3"/>
    <w:rsid w:val="6ED04C8E"/>
    <w:rsid w:val="6ED70525"/>
    <w:rsid w:val="6EE844E0"/>
    <w:rsid w:val="6F1C3334"/>
    <w:rsid w:val="6F2B6AC3"/>
    <w:rsid w:val="6F4436E1"/>
    <w:rsid w:val="6F5A4F08"/>
    <w:rsid w:val="6F6E3402"/>
    <w:rsid w:val="6F9C5C9C"/>
    <w:rsid w:val="6FCC3C6E"/>
    <w:rsid w:val="6FDB2297"/>
    <w:rsid w:val="6FE0340A"/>
    <w:rsid w:val="6FF869A5"/>
    <w:rsid w:val="700A3C33"/>
    <w:rsid w:val="700F0311"/>
    <w:rsid w:val="70201246"/>
    <w:rsid w:val="70320200"/>
    <w:rsid w:val="704020FA"/>
    <w:rsid w:val="70710506"/>
    <w:rsid w:val="707133B5"/>
    <w:rsid w:val="7080196A"/>
    <w:rsid w:val="709A7A5C"/>
    <w:rsid w:val="70AC7718"/>
    <w:rsid w:val="70B1066E"/>
    <w:rsid w:val="70DC1E23"/>
    <w:rsid w:val="70DF5DB7"/>
    <w:rsid w:val="71042289"/>
    <w:rsid w:val="71091A03"/>
    <w:rsid w:val="71206BA2"/>
    <w:rsid w:val="713B244B"/>
    <w:rsid w:val="714479C8"/>
    <w:rsid w:val="717007BD"/>
    <w:rsid w:val="71A10E2B"/>
    <w:rsid w:val="71A92189"/>
    <w:rsid w:val="71D451F0"/>
    <w:rsid w:val="71D473EF"/>
    <w:rsid w:val="71E82A49"/>
    <w:rsid w:val="71ED62B2"/>
    <w:rsid w:val="71F31B1A"/>
    <w:rsid w:val="71FD4747"/>
    <w:rsid w:val="71FD5C00"/>
    <w:rsid w:val="721101F2"/>
    <w:rsid w:val="722F68CA"/>
    <w:rsid w:val="724C4072"/>
    <w:rsid w:val="726A345E"/>
    <w:rsid w:val="726C71D7"/>
    <w:rsid w:val="7281019A"/>
    <w:rsid w:val="728F1117"/>
    <w:rsid w:val="72953091"/>
    <w:rsid w:val="72BF19FC"/>
    <w:rsid w:val="72DF5BFA"/>
    <w:rsid w:val="72E31F50"/>
    <w:rsid w:val="72E84901"/>
    <w:rsid w:val="72F21F81"/>
    <w:rsid w:val="72F35B4A"/>
    <w:rsid w:val="72F7510E"/>
    <w:rsid w:val="73060316"/>
    <w:rsid w:val="73116800"/>
    <w:rsid w:val="7325578F"/>
    <w:rsid w:val="73705D98"/>
    <w:rsid w:val="7370719A"/>
    <w:rsid w:val="738A0B87"/>
    <w:rsid w:val="73A330CC"/>
    <w:rsid w:val="73B057E9"/>
    <w:rsid w:val="73B548E7"/>
    <w:rsid w:val="73CE1987"/>
    <w:rsid w:val="740B04E1"/>
    <w:rsid w:val="74100F6E"/>
    <w:rsid w:val="742064CB"/>
    <w:rsid w:val="74264E1B"/>
    <w:rsid w:val="742A559B"/>
    <w:rsid w:val="743704F7"/>
    <w:rsid w:val="74384AB6"/>
    <w:rsid w:val="744523D5"/>
    <w:rsid w:val="745002BA"/>
    <w:rsid w:val="7476433D"/>
    <w:rsid w:val="748F1ECD"/>
    <w:rsid w:val="74D15A17"/>
    <w:rsid w:val="74D177C5"/>
    <w:rsid w:val="74E6183A"/>
    <w:rsid w:val="74FF2348"/>
    <w:rsid w:val="751604C9"/>
    <w:rsid w:val="75165D7D"/>
    <w:rsid w:val="75220020"/>
    <w:rsid w:val="75416D1D"/>
    <w:rsid w:val="75426573"/>
    <w:rsid w:val="754E7067"/>
    <w:rsid w:val="7564688B"/>
    <w:rsid w:val="75907968"/>
    <w:rsid w:val="75A760AB"/>
    <w:rsid w:val="75C8506C"/>
    <w:rsid w:val="75CB690A"/>
    <w:rsid w:val="75D716AE"/>
    <w:rsid w:val="75DB0F68"/>
    <w:rsid w:val="75DC127C"/>
    <w:rsid w:val="75E136B5"/>
    <w:rsid w:val="75E33C54"/>
    <w:rsid w:val="762A1A08"/>
    <w:rsid w:val="762A44F2"/>
    <w:rsid w:val="76484031"/>
    <w:rsid w:val="76686AC8"/>
    <w:rsid w:val="76764AC8"/>
    <w:rsid w:val="767A688A"/>
    <w:rsid w:val="76880357"/>
    <w:rsid w:val="768C4209"/>
    <w:rsid w:val="76AC1737"/>
    <w:rsid w:val="76B146D8"/>
    <w:rsid w:val="76B45779"/>
    <w:rsid w:val="76C70E7F"/>
    <w:rsid w:val="76E15749"/>
    <w:rsid w:val="76E67B05"/>
    <w:rsid w:val="771E3409"/>
    <w:rsid w:val="774676CF"/>
    <w:rsid w:val="774C5829"/>
    <w:rsid w:val="77524C79"/>
    <w:rsid w:val="77562203"/>
    <w:rsid w:val="7757693D"/>
    <w:rsid w:val="776209F2"/>
    <w:rsid w:val="779D4BE0"/>
    <w:rsid w:val="77A318EC"/>
    <w:rsid w:val="77B21B30"/>
    <w:rsid w:val="77BF05BB"/>
    <w:rsid w:val="77C27899"/>
    <w:rsid w:val="78596547"/>
    <w:rsid w:val="78743289"/>
    <w:rsid w:val="7879089F"/>
    <w:rsid w:val="789C633C"/>
    <w:rsid w:val="78B24F5D"/>
    <w:rsid w:val="78D12489"/>
    <w:rsid w:val="78D464FE"/>
    <w:rsid w:val="78E3111F"/>
    <w:rsid w:val="79200C4B"/>
    <w:rsid w:val="797955D3"/>
    <w:rsid w:val="79854D63"/>
    <w:rsid w:val="798D4602"/>
    <w:rsid w:val="79A61220"/>
    <w:rsid w:val="79BE1CAB"/>
    <w:rsid w:val="79C13788"/>
    <w:rsid w:val="79C45B4A"/>
    <w:rsid w:val="79D57D57"/>
    <w:rsid w:val="79DC10E6"/>
    <w:rsid w:val="79FE105C"/>
    <w:rsid w:val="7A3A405E"/>
    <w:rsid w:val="7A3F0262"/>
    <w:rsid w:val="7A5A0EA5"/>
    <w:rsid w:val="7A5B776F"/>
    <w:rsid w:val="7A6F1F5A"/>
    <w:rsid w:val="7A811C8D"/>
    <w:rsid w:val="7A9609AA"/>
    <w:rsid w:val="7AB21E46"/>
    <w:rsid w:val="7AD87AFF"/>
    <w:rsid w:val="7B1E128A"/>
    <w:rsid w:val="7B322A32"/>
    <w:rsid w:val="7B385484"/>
    <w:rsid w:val="7B3B2540"/>
    <w:rsid w:val="7B484745"/>
    <w:rsid w:val="7B5F3D7C"/>
    <w:rsid w:val="7B63258C"/>
    <w:rsid w:val="7B6770D5"/>
    <w:rsid w:val="7B7B1B66"/>
    <w:rsid w:val="7B8F585A"/>
    <w:rsid w:val="7BB120FE"/>
    <w:rsid w:val="7BC2430B"/>
    <w:rsid w:val="7BE82394"/>
    <w:rsid w:val="7C001F2C"/>
    <w:rsid w:val="7C071EA8"/>
    <w:rsid w:val="7C1136B0"/>
    <w:rsid w:val="7C1F350C"/>
    <w:rsid w:val="7C4D6A81"/>
    <w:rsid w:val="7C5807CC"/>
    <w:rsid w:val="7C5C02BC"/>
    <w:rsid w:val="7C623C46"/>
    <w:rsid w:val="7C727ADF"/>
    <w:rsid w:val="7C772BB5"/>
    <w:rsid w:val="7C8A4997"/>
    <w:rsid w:val="7CAA1027"/>
    <w:rsid w:val="7CF11B3F"/>
    <w:rsid w:val="7D0B583E"/>
    <w:rsid w:val="7D1312C2"/>
    <w:rsid w:val="7D251FB8"/>
    <w:rsid w:val="7D456FA2"/>
    <w:rsid w:val="7D6733BC"/>
    <w:rsid w:val="7D6D05B7"/>
    <w:rsid w:val="7D741635"/>
    <w:rsid w:val="7D87580C"/>
    <w:rsid w:val="7D9056B7"/>
    <w:rsid w:val="7D9D6DDE"/>
    <w:rsid w:val="7DA912DF"/>
    <w:rsid w:val="7DD83ADC"/>
    <w:rsid w:val="7DDD6497"/>
    <w:rsid w:val="7DFA0FA7"/>
    <w:rsid w:val="7E252C7E"/>
    <w:rsid w:val="7E3C2A2D"/>
    <w:rsid w:val="7E3D5A87"/>
    <w:rsid w:val="7E3E1B66"/>
    <w:rsid w:val="7E5E656D"/>
    <w:rsid w:val="7E71385C"/>
    <w:rsid w:val="7E891C46"/>
    <w:rsid w:val="7EA33149"/>
    <w:rsid w:val="7EC73A39"/>
    <w:rsid w:val="7ECC2AE8"/>
    <w:rsid w:val="7ECD1590"/>
    <w:rsid w:val="7F0C5FC9"/>
    <w:rsid w:val="7F3B6D7B"/>
    <w:rsid w:val="7F506F1B"/>
    <w:rsid w:val="7F587460"/>
    <w:rsid w:val="7F7D04DF"/>
    <w:rsid w:val="7F995383"/>
    <w:rsid w:val="7FBD5515"/>
    <w:rsid w:val="7FBF128D"/>
    <w:rsid w:val="7FCB5E84"/>
    <w:rsid w:val="7FFC4290"/>
    <w:rsid w:val="7FFFB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pPr>
    <w:rPr>
      <w:rFonts w:ascii="Arial" w:hAnsi="Arial" w:eastAsia="Arial" w:cs="Arial"/>
      <w:color w:val="000000"/>
      <w:sz w:val="21"/>
      <w:szCs w:val="21"/>
      <w:lang w:val="en-US" w:eastAsia="en-US" w:bidi="ar-SA"/>
    </w:rPr>
  </w:style>
  <w:style w:type="paragraph" w:styleId="5">
    <w:name w:val="heading 1"/>
    <w:basedOn w:val="1"/>
    <w:next w:val="1"/>
    <w:qFormat/>
    <w:uiPriority w:val="9"/>
    <w:pPr>
      <w:keepNext/>
      <w:keepLines/>
      <w:spacing w:before="340" w:after="330" w:line="578" w:lineRule="auto"/>
      <w:outlineLvl w:val="0"/>
    </w:pPr>
    <w:rPr>
      <w:b/>
      <w:bCs/>
      <w:kern w:val="44"/>
      <w:sz w:val="44"/>
    </w:rPr>
  </w:style>
  <w:style w:type="paragraph" w:styleId="6">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7">
    <w:name w:val="heading 3"/>
    <w:basedOn w:val="1"/>
    <w:next w:val="1"/>
    <w:semiHidden/>
    <w:unhideWhenUsed/>
    <w:qFormat/>
    <w:uiPriority w:val="9"/>
    <w:pPr>
      <w:keepNext/>
      <w:keepLines/>
      <w:spacing w:before="260" w:after="260" w:line="415" w:lineRule="auto"/>
      <w:outlineLvl w:val="2"/>
    </w:pPr>
    <w:rPr>
      <w:b/>
      <w:sz w:val="32"/>
    </w:rPr>
  </w:style>
  <w:style w:type="paragraph" w:styleId="8">
    <w:name w:val="heading 4"/>
    <w:basedOn w:val="1"/>
    <w:next w:val="1"/>
    <w:semiHidden/>
    <w:unhideWhenUsed/>
    <w:qFormat/>
    <w:uiPriority w:val="9"/>
    <w:pPr>
      <w:keepNext/>
      <w:spacing w:line="440" w:lineRule="exact"/>
      <w:jc w:val="center"/>
      <w:outlineLvl w:val="3"/>
    </w:pPr>
    <w:rPr>
      <w:rFonts w:ascii="仿宋_GB2312" w:eastAsia="仿宋_GB2312"/>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4">
    <w:name w:val="Quote1"/>
    <w:basedOn w:val="1"/>
    <w:next w:val="1"/>
    <w:qFormat/>
    <w:uiPriority w:val="0"/>
    <w:pPr>
      <w:wordWrap w:val="0"/>
      <w:spacing w:before="200" w:after="160"/>
      <w:ind w:left="864" w:right="864"/>
      <w:jc w:val="center"/>
    </w:pPr>
    <w:rPr>
      <w:rFonts w:ascii="宋体"/>
      <w:i/>
      <w:color w:val="404040"/>
    </w:rPr>
  </w:style>
  <w:style w:type="paragraph" w:styleId="9">
    <w:name w:val="index 8"/>
    <w:basedOn w:val="1"/>
    <w:next w:val="1"/>
    <w:qFormat/>
    <w:uiPriority w:val="0"/>
    <w:pPr>
      <w:ind w:left="1400" w:leftChars="1400"/>
    </w:pPr>
  </w:style>
  <w:style w:type="paragraph" w:styleId="10">
    <w:name w:val="Normal Indent"/>
    <w:basedOn w:val="1"/>
    <w:qFormat/>
    <w:uiPriority w:val="0"/>
    <w:pPr>
      <w:ind w:firstLine="200" w:firstLineChars="200"/>
    </w:pPr>
  </w:style>
  <w:style w:type="paragraph" w:styleId="11">
    <w:name w:val="Body Text Indent"/>
    <w:basedOn w:val="1"/>
    <w:next w:val="1"/>
    <w:qFormat/>
    <w:uiPriority w:val="0"/>
    <w:pPr>
      <w:spacing w:after="120"/>
      <w:ind w:left="200" w:leftChars="200"/>
    </w:pPr>
  </w:style>
  <w:style w:type="paragraph" w:styleId="12">
    <w:name w:val="Plain Text"/>
    <w:basedOn w:val="1"/>
    <w:qFormat/>
    <w:uiPriority w:val="0"/>
    <w:rPr>
      <w:rFonts w:ascii="宋体" w:hAnsi="Courier New" w:cs="Courier New"/>
    </w:rPr>
  </w:style>
  <w:style w:type="paragraph" w:styleId="13">
    <w:name w:val="Body Text Indent 2"/>
    <w:basedOn w:val="1"/>
    <w:qFormat/>
    <w:uiPriority w:val="0"/>
    <w:pPr>
      <w:tabs>
        <w:tab w:val="left" w:pos="1140"/>
      </w:tabs>
      <w:ind w:firstLine="200" w:firstLineChars="200"/>
    </w:pPr>
    <w:rPr>
      <w:sz w:val="28"/>
      <w:szCs w:val="20"/>
    </w:rPr>
  </w:style>
  <w:style w:type="paragraph" w:styleId="14">
    <w:name w:val="footer"/>
    <w:basedOn w:val="1"/>
    <w:qFormat/>
    <w:uiPriority w:val="0"/>
    <w:pPr>
      <w:tabs>
        <w:tab w:val="center" w:pos="4153"/>
        <w:tab w:val="right" w:pos="8306"/>
      </w:tabs>
    </w:pPr>
    <w:rPr>
      <w:sz w:val="18"/>
    </w:rPr>
  </w:style>
  <w:style w:type="paragraph" w:styleId="15">
    <w:name w:val="toc 1"/>
    <w:basedOn w:val="1"/>
    <w:next w:val="1"/>
    <w:qFormat/>
    <w:uiPriority w:val="0"/>
  </w:style>
  <w:style w:type="paragraph" w:styleId="16">
    <w:name w:val="toc 2"/>
    <w:basedOn w:val="1"/>
    <w:next w:val="1"/>
    <w:qFormat/>
    <w:uiPriority w:val="39"/>
    <w:pPr>
      <w:ind w:left="420" w:leftChars="200"/>
    </w:pPr>
  </w:style>
  <w:style w:type="paragraph" w:styleId="17">
    <w:name w:val="Body Text 2"/>
    <w:basedOn w:val="1"/>
    <w:qFormat/>
    <w:uiPriority w:val="99"/>
    <w:pPr>
      <w:spacing w:after="120" w:line="480" w:lineRule="auto"/>
    </w:pPr>
    <w:rPr>
      <w:rFonts w:ascii="Times New Roman" w:hAnsi="Times New Roman" w:eastAsia="宋体"/>
      <w:sz w:val="24"/>
      <w:szCs w:val="24"/>
    </w:rPr>
  </w:style>
  <w:style w:type="paragraph" w:styleId="18">
    <w:name w:val="Body Text First Indent"/>
    <w:basedOn w:val="2"/>
    <w:next w:val="19"/>
    <w:qFormat/>
    <w:uiPriority w:val="99"/>
    <w:pPr>
      <w:ind w:firstLine="420" w:firstLineChars="100"/>
    </w:pPr>
    <w:rPr>
      <w:sz w:val="24"/>
    </w:rPr>
  </w:style>
  <w:style w:type="paragraph" w:styleId="19">
    <w:name w:val="Body Text First Indent 2"/>
    <w:basedOn w:val="11"/>
    <w:next w:val="1"/>
    <w:qFormat/>
    <w:uiPriority w:val="0"/>
    <w:pPr>
      <w:ind w:firstLine="20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UserStyle_1"/>
    <w:basedOn w:val="1"/>
    <w:qFormat/>
    <w:uiPriority w:val="0"/>
    <w:pPr>
      <w:spacing w:before="200" w:after="160"/>
      <w:ind w:left="864" w:right="864"/>
      <w:jc w:val="center"/>
    </w:pPr>
    <w:rPr>
      <w:rFonts w:ascii="宋体" w:hAnsi="Times New Roman" w:eastAsia="宋体"/>
      <w:i/>
      <w:color w:val="404040"/>
      <w:kern w:val="2"/>
      <w:sz w:val="28"/>
      <w:lang w:eastAsia="zh-CN"/>
    </w:rPr>
  </w:style>
  <w:style w:type="paragraph" w:customStyle="1" w:styleId="28">
    <w:name w:val="wang正文"/>
    <w:basedOn w:val="1"/>
    <w:qFormat/>
    <w:uiPriority w:val="0"/>
    <w:pPr>
      <w:tabs>
        <w:tab w:val="left" w:pos="6840"/>
      </w:tabs>
      <w:topLinePunct/>
      <w:ind w:firstLine="420"/>
    </w:pPr>
    <w:rPr>
      <w:szCs w:val="20"/>
    </w:rPr>
  </w:style>
  <w:style w:type="paragraph" w:customStyle="1" w:styleId="29">
    <w:name w:val="UserStyle_0"/>
    <w:basedOn w:val="1"/>
    <w:qFormat/>
    <w:uiPriority w:val="0"/>
    <w:pPr>
      <w:spacing w:after="120"/>
      <w:jc w:val="both"/>
    </w:pPr>
    <w:rPr>
      <w:rFonts w:ascii="Times New Roman" w:hAnsi="Times New Roman" w:eastAsia="宋体"/>
      <w:lang w:eastAsia="zh-CN"/>
    </w:r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Table Text"/>
    <w:basedOn w:val="1"/>
    <w:qFormat/>
    <w:uiPriority w:val="0"/>
    <w:rPr>
      <w:rFonts w:ascii="宋体" w:eastAsia="宋体" w:cs="宋体"/>
      <w:sz w:val="19"/>
      <w:szCs w:val="19"/>
    </w:rPr>
  </w:style>
  <w:style w:type="paragraph" w:customStyle="1" w:styleId="32">
    <w:name w:val="Table Paragraph"/>
    <w:basedOn w:val="1"/>
    <w:qFormat/>
    <w:uiPriority w:val="0"/>
    <w:rPr>
      <w:rFonts w:ascii="楷体" w:eastAsia="楷体" w:cs="楷体"/>
      <w:lang w:val="zh-CN" w:eastAsia="zh-CN" w:bidi="zh-CN"/>
    </w:rPr>
  </w:style>
  <w:style w:type="paragraph" w:customStyle="1" w:styleId="33">
    <w:name w:val="列表段落1"/>
    <w:basedOn w:val="1"/>
    <w:qFormat/>
    <w:uiPriority w:val="0"/>
    <w:pPr>
      <w:ind w:firstLine="200" w:firstLineChars="200"/>
    </w:pPr>
  </w:style>
  <w:style w:type="paragraph" w:customStyle="1" w:styleId="34">
    <w:name w:val="普通(网站)1"/>
    <w:basedOn w:val="1"/>
    <w:qFormat/>
    <w:uiPriority w:val="0"/>
    <w:pPr>
      <w:spacing w:before="100" w:after="100"/>
    </w:pPr>
    <w:rPr>
      <w:rFonts w:ascii="Arial Unicode MS" w:eastAsia="Arial Unicode MS" w:cs="Arial Unicode MS"/>
      <w:sz w:val="24"/>
    </w:rPr>
  </w:style>
  <w:style w:type="paragraph" w:customStyle="1" w:styleId="35">
    <w:name w:val="样式 首行缩进:  2 字符"/>
    <w:basedOn w:val="1"/>
    <w:qFormat/>
    <w:uiPriority w:val="0"/>
    <w:pPr>
      <w:ind w:firstLine="200" w:firstLineChars="200"/>
    </w:pPr>
    <w:rPr>
      <w:rFonts w:ascii="宋体" w:hAnsi="宋体"/>
      <w:sz w:val="32"/>
      <w:szCs w:val="32"/>
    </w:rPr>
  </w:style>
  <w:style w:type="paragraph" w:customStyle="1" w:styleId="36">
    <w:name w:val="引文目录标题1"/>
    <w:basedOn w:val="1"/>
    <w:qFormat/>
    <w:uiPriority w:val="0"/>
    <w:pPr>
      <w:spacing w:before="120"/>
    </w:pPr>
  </w:style>
  <w:style w:type="paragraph" w:customStyle="1" w:styleId="37">
    <w:name w:val="列出段落1"/>
    <w:basedOn w:val="1"/>
    <w:qFormat/>
    <w:uiPriority w:val="0"/>
    <w:pPr>
      <w:ind w:firstLine="420" w:firstLineChars="200"/>
    </w:p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null5"/>
    <w:qFormat/>
    <w:uiPriority w:val="0"/>
    <w:rPr>
      <w:rFonts w:hint="eastAsia" w:asciiTheme="minorHAnsi" w:hAnsiTheme="minorHAnsi" w:eastAsiaTheme="minorEastAsia" w:cstheme="minorBidi"/>
      <w:lang w:val="en-US" w:eastAsia="zh-CN" w:bidi="ar-SA"/>
    </w:rPr>
  </w:style>
  <w:style w:type="paragraph" w:customStyle="1" w:styleId="40">
    <w:name w:val="null3"/>
    <w:qFormat/>
    <w:uiPriority w:val="0"/>
    <w:rPr>
      <w:rFonts w:hint="eastAsia" w:asciiTheme="minorHAnsi" w:hAnsiTheme="minorHAnsi" w:eastAsiaTheme="minorEastAsia" w:cstheme="minorBidi"/>
      <w:lang w:val="en-US" w:eastAsia="zh-Hans" w:bidi="ar-SA"/>
    </w:rPr>
  </w:style>
  <w:style w:type="paragraph" w:customStyle="1" w:styleId="41">
    <w:name w:val="Text"/>
    <w:qFormat/>
    <w:uiPriority w:val="0"/>
    <w:pPr>
      <w:spacing w:line="315" w:lineRule="auto"/>
    </w:pPr>
    <w:rPr>
      <w:rFonts w:ascii="宋体" w:hAnsi="宋体" w:eastAsia="宋体" w:cs="宋体"/>
      <w:color w:val="000000"/>
      <w:sz w:val="21"/>
      <w:lang w:val="en-US" w:eastAsia="en-US" w:bidi="ar-SA"/>
    </w:rPr>
  </w:style>
  <w:style w:type="paragraph" w:customStyle="1" w:styleId="42">
    <w:name w:val="Other|1"/>
    <w:basedOn w:val="1"/>
    <w:qFormat/>
    <w:uiPriority w:val="0"/>
    <w:pPr>
      <w:widowControl w:val="0"/>
    </w:pPr>
    <w:rPr>
      <w:rFonts w:ascii="宋体" w:hAnsi="宋体" w:eastAsia="宋体" w:cs="宋体"/>
      <w:color w:val="666666"/>
      <w:sz w:val="19"/>
      <w:szCs w:val="19"/>
      <w:lang w:val="zh-TW" w:eastAsia="zh-TW" w:bidi="zh-TW"/>
    </w:rPr>
  </w:style>
  <w:style w:type="paragraph" w:styleId="43">
    <w:name w:val="List Paragraph"/>
    <w:basedOn w:val="1"/>
    <w:qFormat/>
    <w:uiPriority w:val="34"/>
    <w:pPr>
      <w:ind w:firstLine="420" w:firstLineChars="200"/>
    </w:pPr>
    <w:rPr>
      <w:szCs w:val="20"/>
    </w:rPr>
  </w:style>
  <w:style w:type="character" w:customStyle="1" w:styleId="44">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14463</Words>
  <Characters>14909</Characters>
  <Lines>203</Lines>
  <Paragraphs>57</Paragraphs>
  <TotalTime>39</TotalTime>
  <ScaleCrop>false</ScaleCrop>
  <LinksUpToDate>false</LinksUpToDate>
  <CharactersWithSpaces>15161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2024-04-16T23:11:00Z</dcterms:created>
  <dc:creator>崔 旺</dc:creator>
  <cp:lastModifiedBy>stj</cp:lastModifiedBy>
  <dcterms:modified xsi:type="dcterms:W3CDTF">2026-04-01T10:59:16Z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2024-04-15T16:00:00Z</vt:filetime>
  </property>
  <property fmtid="{D5CDD505-2E9C-101B-9397-08002B2CF9AE}" pid="4" name="KSOProductBuildVer">
    <vt:lpwstr>2052-11.8.2.10458</vt:lpwstr>
  </property>
  <property fmtid="{D5CDD505-2E9C-101B-9397-08002B2CF9AE}" pid="5" name="ICV">
    <vt:lpwstr>689573E9DC894445AC87A17783760CB4_13</vt:lpwstr>
  </property>
  <property fmtid="{D5CDD505-2E9C-101B-9397-08002B2CF9AE}" pid="6" name="KSOTemplateDocerSaveRecord">
    <vt:lpwstr>eyJoZGlkIjoiNjE3Njg3MTgzMzIxMTc2MjMzMjg4MWM1ODcyMzk1MTYiLCJ1c2VySWQiOiI0Mjg4NzU2NjgifQ==</vt:lpwstr>
  </property>
</Properties>
</file>