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ind w:firstLine="480" w:firstLineChars="200"/>
        <w:rPr>
          <w:rFonts w:ascii="宋体" w:eastAsia="宋体" w:cs="宋体"/>
          <w:color w:val="auto"/>
          <w:sz w:val="24"/>
          <w:szCs w:val="24"/>
        </w:rPr>
      </w:pPr>
    </w:p>
    <w:p>
      <w:pPr>
        <w:kinsoku/>
        <w:spacing w:line="360" w:lineRule="auto"/>
        <w:jc w:val="center"/>
        <w:rPr>
          <w:rFonts w:ascii="宋体" w:eastAsia="宋体" w:cs="宋体"/>
          <w:b/>
          <w:bCs/>
          <w:color w:val="auto"/>
          <w:sz w:val="48"/>
          <w:szCs w:val="48"/>
          <w:lang w:eastAsia="zh-CN"/>
        </w:rPr>
      </w:pPr>
    </w:p>
    <w:p>
      <w:pPr>
        <w:kinsoku/>
        <w:jc w:val="center"/>
        <w:rPr>
          <w:rFonts w:hint="eastAsia" w:ascii="宋体" w:eastAsia="宋体" w:cs="宋体"/>
          <w:b w:val="0"/>
          <w:bCs w:val="0"/>
          <w:color w:val="auto"/>
          <w:sz w:val="44"/>
          <w:szCs w:val="44"/>
          <w:lang w:eastAsia="zh-CN"/>
        </w:rPr>
      </w:pPr>
      <w:r>
        <w:rPr>
          <w:rFonts w:hint="eastAsia" w:ascii="宋体" w:eastAsia="宋体" w:cs="宋体"/>
          <w:b w:val="0"/>
          <w:bCs w:val="0"/>
          <w:color w:val="auto"/>
          <w:sz w:val="44"/>
          <w:szCs w:val="44"/>
          <w:lang w:eastAsia="zh-CN"/>
        </w:rPr>
        <w:t>赤峰市生态环境局喀喇沁旗分局2026年建设项目</w:t>
      </w:r>
    </w:p>
    <w:p>
      <w:pPr>
        <w:kinsoku/>
        <w:jc w:val="center"/>
        <w:rPr>
          <w:rFonts w:ascii="宋体" w:eastAsia="宋体" w:cs="宋体"/>
          <w:b w:val="0"/>
          <w:bCs w:val="0"/>
          <w:color w:val="auto"/>
          <w:sz w:val="24"/>
          <w:szCs w:val="24"/>
          <w:lang w:eastAsia="zh-CN"/>
        </w:rPr>
      </w:pPr>
      <w:r>
        <w:rPr>
          <w:rFonts w:hint="eastAsia" w:ascii="宋体" w:eastAsia="宋体" w:cs="宋体"/>
          <w:b w:val="0"/>
          <w:bCs w:val="0"/>
          <w:color w:val="auto"/>
          <w:sz w:val="44"/>
          <w:szCs w:val="44"/>
          <w:lang w:eastAsia="zh-CN"/>
        </w:rPr>
        <w:t>环评审批技术评估项目</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2"/>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b w:val="0"/>
          <w:bCs w:val="0"/>
          <w:color w:val="auto"/>
          <w:sz w:val="24"/>
          <w:szCs w:val="24"/>
          <w:lang w:eastAsia="zh-CN"/>
        </w:rPr>
      </w:pPr>
    </w:p>
    <w:p>
      <w:pPr>
        <w:kinsoku/>
        <w:spacing w:line="360" w:lineRule="auto"/>
        <w:ind w:left="0" w:leftChars="0" w:right="0" w:rightChars="0" w:firstLine="0" w:firstLineChars="0"/>
        <w:jc w:val="center"/>
        <w:rPr>
          <w:rFonts w:ascii="宋体" w:eastAsia="宋体" w:cs="宋体"/>
          <w:b w:val="0"/>
          <w:bCs w:val="0"/>
          <w:color w:val="auto"/>
          <w:sz w:val="24"/>
          <w:szCs w:val="24"/>
          <w:lang w:eastAsia="zh-CN"/>
        </w:rPr>
      </w:pPr>
      <w:r>
        <w:rPr>
          <w:rFonts w:hint="eastAsia" w:ascii="宋体" w:eastAsia="宋体" w:cs="宋体"/>
          <w:b w:val="0"/>
          <w:bCs w:val="0"/>
          <w:color w:val="auto"/>
          <w:sz w:val="48"/>
          <w:szCs w:val="48"/>
          <w:lang w:eastAsia="zh-CN"/>
        </w:rPr>
        <w:t>竞争性磋商文件</w:t>
      </w:r>
    </w:p>
    <w:p>
      <w:pPr>
        <w:kinsoku/>
        <w:spacing w:line="360" w:lineRule="auto"/>
        <w:ind w:left="0" w:leftChars="0" w:right="0" w:rightChars="0" w:firstLine="0" w:firstLineChars="0"/>
        <w:jc w:val="center"/>
        <w:rPr>
          <w:rFonts w:hint="default" w:ascii="宋体" w:eastAsia="宋体" w:cs="宋体"/>
          <w:b w:val="0"/>
          <w:bCs w:val="0"/>
          <w:color w:val="auto"/>
          <w:sz w:val="24"/>
          <w:szCs w:val="24"/>
          <w:lang w:val="en-US" w:eastAsia="zh-CN"/>
        </w:rPr>
      </w:pPr>
      <w:r>
        <w:rPr>
          <w:rFonts w:hint="eastAsia" w:ascii="宋体" w:eastAsia="宋体" w:cs="宋体"/>
          <w:b w:val="0"/>
          <w:bCs w:val="0"/>
          <w:color w:val="auto"/>
          <w:sz w:val="28"/>
          <w:szCs w:val="28"/>
          <w:lang w:eastAsia="zh-CN"/>
        </w:rPr>
        <w:t>项目编号：【2026】HT-CS-018</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2"/>
        <w:rPr>
          <w:rFonts w:ascii="宋体" w:eastAsia="宋体" w:cs="宋体"/>
          <w:color w:val="auto"/>
          <w:sz w:val="24"/>
          <w:szCs w:val="24"/>
          <w:lang w:eastAsia="zh-CN"/>
        </w:rPr>
      </w:pPr>
    </w:p>
    <w:p>
      <w:pPr>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8"/>
          <w:szCs w:val="28"/>
          <w:lang w:eastAsia="zh-CN"/>
        </w:rPr>
      </w:pPr>
      <w:r>
        <w:rPr>
          <w:rFonts w:hint="eastAsia" w:ascii="宋体" w:eastAsia="宋体" w:cs="宋体"/>
          <w:color w:val="auto"/>
          <w:sz w:val="28"/>
          <w:szCs w:val="28"/>
          <w:lang w:eastAsia="zh-CN"/>
        </w:rPr>
        <w:t>采购单位名称：赤峰市生态环境局喀喇沁旗分局</w:t>
      </w:r>
    </w:p>
    <w:p>
      <w:pPr>
        <w:kinsoku/>
        <w:spacing w:line="360" w:lineRule="auto"/>
        <w:ind w:left="0" w:leftChars="0" w:right="0" w:rightChars="0" w:firstLine="0" w:firstLineChars="0"/>
        <w:jc w:val="center"/>
        <w:rPr>
          <w:rFonts w:ascii="宋体" w:eastAsia="宋体" w:cs="宋体"/>
          <w:color w:val="auto"/>
          <w:sz w:val="28"/>
          <w:szCs w:val="28"/>
          <w:lang w:eastAsia="zh-CN"/>
        </w:rPr>
      </w:pPr>
      <w:r>
        <w:rPr>
          <w:rFonts w:hint="eastAsia" w:ascii="宋体" w:eastAsia="宋体" w:cs="宋体"/>
          <w:color w:val="auto"/>
          <w:sz w:val="28"/>
          <w:szCs w:val="28"/>
          <w:lang w:eastAsia="zh-CN"/>
        </w:rPr>
        <w:t>代理机构名称：赤峰鸿途</w:t>
      </w:r>
      <w:r>
        <w:rPr>
          <w:rFonts w:hint="eastAsia" w:ascii="宋体" w:eastAsia="宋体" w:cs="宋体"/>
          <w:b w:val="0"/>
          <w:bCs w:val="0"/>
          <w:color w:val="auto"/>
          <w:sz w:val="28"/>
          <w:szCs w:val="28"/>
          <w:lang w:eastAsia="zh-CN"/>
        </w:rPr>
        <w:t>项目管理</w:t>
      </w:r>
      <w:r>
        <w:rPr>
          <w:rFonts w:hint="eastAsia" w:ascii="宋体" w:eastAsia="宋体" w:cs="宋体"/>
          <w:color w:val="auto"/>
          <w:sz w:val="28"/>
          <w:szCs w:val="28"/>
          <w:lang w:eastAsia="zh-CN"/>
        </w:rPr>
        <w:t>有限公司</w:t>
      </w: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b w:val="0"/>
          <w:bCs w:val="0"/>
          <w:color w:val="auto"/>
          <w:sz w:val="28"/>
          <w:szCs w:val="28"/>
          <w:lang w:eastAsia="zh-CN"/>
        </w:rPr>
        <w:t>二○二六年</w:t>
      </w:r>
      <w:r>
        <w:rPr>
          <w:rFonts w:hint="eastAsia" w:ascii="宋体" w:eastAsia="宋体" w:cs="宋体"/>
          <w:b w:val="0"/>
          <w:bCs w:val="0"/>
          <w:color w:val="auto"/>
          <w:sz w:val="28"/>
          <w:szCs w:val="28"/>
          <w:lang w:val="en-US" w:eastAsia="zh-CN"/>
        </w:rPr>
        <w:t>四</w:t>
      </w:r>
      <w:r>
        <w:rPr>
          <w:rFonts w:hint="eastAsia" w:ascii="宋体" w:eastAsia="宋体" w:cs="宋体"/>
          <w:b w:val="0"/>
          <w:bCs w:val="0"/>
          <w:color w:val="auto"/>
          <w:sz w:val="28"/>
          <w:szCs w:val="28"/>
          <w:lang w:eastAsia="zh-CN"/>
        </w:rPr>
        <w:t>月</w:t>
      </w:r>
    </w:p>
    <w:p>
      <w:pPr>
        <w:kinsoku/>
        <w:spacing w:line="360" w:lineRule="auto"/>
        <w:ind w:firstLine="480" w:firstLineChars="200"/>
        <w:rPr>
          <w:rFonts w:ascii="宋体" w:eastAsia="宋体" w:cs="宋体"/>
          <w:color w:val="auto"/>
          <w:sz w:val="24"/>
          <w:szCs w:val="24"/>
          <w:lang w:eastAsia="zh-CN"/>
        </w:rPr>
        <w:sectPr>
          <w:headerReference r:id="rId3" w:type="default"/>
          <w:pgSz w:w="11906" w:h="16838"/>
          <w:pgMar w:top="1440" w:right="1080" w:bottom="1440" w:left="1080" w:header="0" w:footer="850" w:gutter="0"/>
          <w:cols w:space="0" w:num="1"/>
          <w:rtlGutter w:val="0"/>
          <w:docGrid w:linePitch="312" w:charSpace="0"/>
        </w:sectPr>
      </w:pPr>
    </w:p>
    <w:sdt>
      <w:sdtPr>
        <w:rPr>
          <w:rFonts w:ascii="宋体" w:hAnsi="宋体" w:eastAsia="宋体" w:cs="Arial"/>
          <w:b/>
          <w:bCs/>
          <w:color w:val="000000"/>
          <w:sz w:val="24"/>
          <w:szCs w:val="24"/>
          <w:lang w:val="en-US" w:eastAsia="en-US" w:bidi="ar-SA"/>
        </w:rPr>
        <w:id w:val="147454594"/>
        <w15:color w:val="DBDBDB"/>
        <w:docPartObj>
          <w:docPartGallery w:val="Table of Contents"/>
          <w:docPartUnique/>
        </w:docPartObj>
      </w:sdtPr>
      <w:sdtEndPr>
        <w:rPr>
          <w:rFonts w:ascii="宋体" w:hAnsi="宋体" w:eastAsia="宋体" w:cs="Arial"/>
          <w:b/>
          <w:bCs/>
          <w:color w:val="000000"/>
          <w:sz w:val="24"/>
          <w:szCs w:val="24"/>
          <w:lang w:val="en-US" w:eastAsia="en-US" w:bidi="ar-SA"/>
        </w:rPr>
      </w:sdtEndPr>
      <w:sdtContent>
        <w:p>
          <w:pPr>
            <w:spacing w:before="0" w:beforeLines="0" w:after="0" w:afterLines="0" w:line="240" w:lineRule="auto"/>
            <w:ind w:left="0" w:leftChars="0" w:right="0" w:rightChars="0" w:firstLine="0" w:firstLineChars="0"/>
            <w:jc w:val="center"/>
            <w:rPr>
              <w:b/>
              <w:bCs/>
              <w:sz w:val="24"/>
              <w:szCs w:val="24"/>
            </w:rPr>
          </w:pPr>
          <w:r>
            <w:rPr>
              <w:rFonts w:ascii="宋体" w:hAnsi="宋体" w:eastAsia="宋体"/>
              <w:b/>
              <w:bCs/>
              <w:sz w:val="24"/>
              <w:szCs w:val="24"/>
            </w:rPr>
            <w:t>目录</w:t>
          </w:r>
        </w:p>
        <w:p>
          <w:pPr>
            <w:pStyle w:val="2"/>
            <w:tabs>
              <w:tab w:val="right" w:leader="dot" w:pos="9746"/>
            </w:tabs>
          </w:pPr>
          <w:r>
            <w:fldChar w:fldCharType="begin"/>
          </w:r>
          <w:r>
            <w:instrText xml:space="preserve">TOC \o "1-2" \h \u </w:instrText>
          </w:r>
          <w:r>
            <w:fldChar w:fldCharType="separate"/>
          </w:r>
          <w:r>
            <w:fldChar w:fldCharType="begin"/>
          </w:r>
          <w:r>
            <w:instrText xml:space="preserve"> HYPERLINK \l _Toc18271 </w:instrText>
          </w:r>
          <w:r>
            <w:fldChar w:fldCharType="separate"/>
          </w:r>
          <w:r>
            <w:rPr>
              <w:rFonts w:hint="eastAsia" w:ascii="宋体" w:eastAsia="宋体" w:cs="宋体"/>
              <w:bCs/>
              <w:szCs w:val="28"/>
              <w:lang w:eastAsia="zh-CN"/>
            </w:rPr>
            <w:t>第一章  磋商邀请</w:t>
          </w:r>
          <w:r>
            <w:tab/>
          </w:r>
          <w:r>
            <w:fldChar w:fldCharType="begin"/>
          </w:r>
          <w:r>
            <w:instrText xml:space="preserve"> PAGEREF _Toc18271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_Toc24657 </w:instrText>
          </w:r>
          <w:r>
            <w:fldChar w:fldCharType="separate"/>
          </w:r>
          <w:r>
            <w:rPr>
              <w:rFonts w:hint="eastAsia" w:ascii="宋体" w:eastAsia="宋体" w:cs="宋体"/>
              <w:bCs/>
              <w:szCs w:val="24"/>
              <w:lang w:eastAsia="zh-CN"/>
            </w:rPr>
            <w:t>一、项目概述</w:t>
          </w:r>
          <w:r>
            <w:tab/>
          </w:r>
          <w:r>
            <w:fldChar w:fldCharType="begin"/>
          </w:r>
          <w:r>
            <w:instrText xml:space="preserve"> PAGEREF _Toc24657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_Toc1371 </w:instrText>
          </w:r>
          <w:r>
            <w:fldChar w:fldCharType="separate"/>
          </w:r>
          <w:r>
            <w:rPr>
              <w:rFonts w:hint="eastAsia" w:ascii="宋体" w:eastAsia="宋体" w:cs="宋体"/>
              <w:bCs/>
              <w:szCs w:val="24"/>
            </w:rPr>
            <w:t>二、供应商的资格要求</w:t>
          </w:r>
          <w:r>
            <w:tab/>
          </w:r>
          <w:r>
            <w:fldChar w:fldCharType="begin"/>
          </w:r>
          <w:r>
            <w:instrText xml:space="preserve"> PAGEREF _Toc1371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_Toc18062 </w:instrText>
          </w:r>
          <w:r>
            <w:fldChar w:fldCharType="separate"/>
          </w:r>
          <w:r>
            <w:rPr>
              <w:rFonts w:hint="eastAsia" w:ascii="宋体" w:eastAsia="宋体" w:cs="宋体"/>
              <w:bCs/>
              <w:szCs w:val="24"/>
              <w:lang w:eastAsia="zh-CN"/>
            </w:rPr>
            <w:t>三、获取磋商文件的时间、地点、方式</w:t>
          </w:r>
          <w:r>
            <w:tab/>
          </w:r>
          <w:r>
            <w:fldChar w:fldCharType="begin"/>
          </w:r>
          <w:r>
            <w:instrText xml:space="preserve"> PAGEREF _Toc18062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_Toc12846 </w:instrText>
          </w:r>
          <w:r>
            <w:fldChar w:fldCharType="separate"/>
          </w:r>
          <w:r>
            <w:rPr>
              <w:rFonts w:hint="eastAsia" w:ascii="宋体" w:eastAsia="宋体" w:cs="宋体"/>
              <w:bCs/>
              <w:szCs w:val="24"/>
              <w:lang w:eastAsia="zh-CN"/>
            </w:rPr>
            <w:t>四、磋商文件售价</w:t>
          </w:r>
          <w:r>
            <w:tab/>
          </w:r>
          <w:r>
            <w:fldChar w:fldCharType="begin"/>
          </w:r>
          <w:r>
            <w:instrText xml:space="preserve"> PAGEREF _Toc12846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_Toc24850 </w:instrText>
          </w:r>
          <w:r>
            <w:fldChar w:fldCharType="separate"/>
          </w:r>
          <w:r>
            <w:rPr>
              <w:rFonts w:hint="eastAsia" w:ascii="宋体" w:eastAsia="宋体" w:cs="宋体"/>
              <w:bCs/>
              <w:szCs w:val="24"/>
              <w:lang w:eastAsia="zh-CN"/>
            </w:rPr>
            <w:t>五、响应文件提交的截止时间、开启时间和地点</w:t>
          </w:r>
          <w:r>
            <w:tab/>
          </w:r>
          <w:r>
            <w:fldChar w:fldCharType="begin"/>
          </w:r>
          <w:r>
            <w:instrText xml:space="preserve"> PAGEREF _Toc24850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_Toc16586 </w:instrText>
          </w:r>
          <w:r>
            <w:fldChar w:fldCharType="separate"/>
          </w:r>
          <w:r>
            <w:rPr>
              <w:rFonts w:hint="eastAsia" w:ascii="宋体" w:eastAsia="宋体" w:cs="宋体"/>
              <w:bCs/>
              <w:szCs w:val="24"/>
              <w:lang w:eastAsia="zh-CN"/>
            </w:rPr>
            <w:t>六、联系方式</w:t>
          </w:r>
          <w:r>
            <w:tab/>
          </w:r>
          <w:r>
            <w:fldChar w:fldCharType="begin"/>
          </w:r>
          <w:r>
            <w:instrText xml:space="preserve"> PAGEREF _Toc16586 \h </w:instrText>
          </w:r>
          <w:r>
            <w:fldChar w:fldCharType="separate"/>
          </w:r>
          <w:r>
            <w:t>2</w:t>
          </w:r>
          <w:r>
            <w:fldChar w:fldCharType="end"/>
          </w:r>
          <w:r>
            <w:fldChar w:fldCharType="end"/>
          </w:r>
        </w:p>
        <w:p>
          <w:pPr>
            <w:pStyle w:val="2"/>
            <w:tabs>
              <w:tab w:val="right" w:leader="dot" w:pos="9746"/>
            </w:tabs>
          </w:pPr>
          <w:r>
            <w:fldChar w:fldCharType="begin"/>
          </w:r>
          <w:r>
            <w:instrText xml:space="preserve"> HYPERLINK \l _Toc22380 </w:instrText>
          </w:r>
          <w:r>
            <w:fldChar w:fldCharType="separate"/>
          </w:r>
          <w:r>
            <w:rPr>
              <w:rFonts w:hint="eastAsia" w:ascii="宋体" w:eastAsia="宋体" w:cs="宋体"/>
              <w:bCs/>
              <w:szCs w:val="28"/>
              <w:lang w:eastAsia="zh-CN"/>
            </w:rPr>
            <w:t>第二章  供应商须知</w:t>
          </w:r>
          <w:r>
            <w:tab/>
          </w:r>
          <w:r>
            <w:fldChar w:fldCharType="begin"/>
          </w:r>
          <w:r>
            <w:instrText xml:space="preserve"> PAGEREF _Toc22380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_Toc16727 </w:instrText>
          </w:r>
          <w:r>
            <w:fldChar w:fldCharType="separate"/>
          </w:r>
          <w:r>
            <w:rPr>
              <w:rFonts w:hint="eastAsia" w:ascii="宋体" w:eastAsia="宋体" w:cs="宋体"/>
              <w:bCs/>
              <w:szCs w:val="24"/>
            </w:rPr>
            <w:t>一、前附表</w:t>
          </w:r>
          <w:r>
            <w:tab/>
          </w:r>
          <w:r>
            <w:fldChar w:fldCharType="begin"/>
          </w:r>
          <w:r>
            <w:instrText xml:space="preserve"> PAGEREF _Toc16727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_Toc19600 </w:instrText>
          </w:r>
          <w:r>
            <w:fldChar w:fldCharType="separate"/>
          </w:r>
          <w:r>
            <w:rPr>
              <w:rFonts w:hint="eastAsia" w:ascii="宋体" w:eastAsia="宋体" w:cs="宋体"/>
              <w:bCs/>
              <w:szCs w:val="24"/>
            </w:rPr>
            <w:t>二、磋商须知</w:t>
          </w:r>
          <w:r>
            <w:tab/>
          </w:r>
          <w:r>
            <w:fldChar w:fldCharType="begin"/>
          </w:r>
          <w:r>
            <w:instrText xml:space="preserve"> PAGEREF _Toc19600 \h </w:instrText>
          </w:r>
          <w:r>
            <w:fldChar w:fldCharType="separate"/>
          </w:r>
          <w:r>
            <w:t>4</w:t>
          </w:r>
          <w:r>
            <w:fldChar w:fldCharType="end"/>
          </w:r>
          <w:r>
            <w:fldChar w:fldCharType="end"/>
          </w:r>
        </w:p>
        <w:p>
          <w:pPr>
            <w:pStyle w:val="16"/>
            <w:tabs>
              <w:tab w:val="right" w:leader="dot" w:pos="9746"/>
            </w:tabs>
          </w:pPr>
          <w:r>
            <w:fldChar w:fldCharType="begin"/>
          </w:r>
          <w:r>
            <w:instrText xml:space="preserve"> HYPERLINK \l _Toc6311 </w:instrText>
          </w:r>
          <w:r>
            <w:fldChar w:fldCharType="separate"/>
          </w:r>
          <w:r>
            <w:rPr>
              <w:rFonts w:hint="eastAsia" w:ascii="宋体" w:eastAsia="宋体" w:cs="宋体"/>
              <w:bCs/>
              <w:szCs w:val="24"/>
              <w:lang w:eastAsia="zh-CN"/>
            </w:rPr>
            <w:t>三、说明</w:t>
          </w:r>
          <w:r>
            <w:tab/>
          </w:r>
          <w:r>
            <w:fldChar w:fldCharType="begin"/>
          </w:r>
          <w:r>
            <w:instrText xml:space="preserve"> PAGEREF _Toc6311 \h </w:instrText>
          </w:r>
          <w:r>
            <w:fldChar w:fldCharType="separate"/>
          </w:r>
          <w:r>
            <w:t>5</w:t>
          </w:r>
          <w:r>
            <w:fldChar w:fldCharType="end"/>
          </w:r>
          <w:r>
            <w:fldChar w:fldCharType="end"/>
          </w:r>
        </w:p>
        <w:p>
          <w:pPr>
            <w:pStyle w:val="16"/>
            <w:tabs>
              <w:tab w:val="right" w:leader="dot" w:pos="9746"/>
            </w:tabs>
          </w:pPr>
          <w:r>
            <w:fldChar w:fldCharType="begin"/>
          </w:r>
          <w:r>
            <w:instrText xml:space="preserve"> HYPERLINK \l _Toc20752 </w:instrText>
          </w:r>
          <w:r>
            <w:fldChar w:fldCharType="separate"/>
          </w:r>
          <w:r>
            <w:rPr>
              <w:rFonts w:hint="eastAsia" w:ascii="宋体" w:eastAsia="宋体" w:cs="宋体"/>
              <w:bCs/>
              <w:szCs w:val="24"/>
            </w:rPr>
            <w:t>四、磋商文件的澄清或者修改</w:t>
          </w:r>
          <w:r>
            <w:tab/>
          </w:r>
          <w:r>
            <w:fldChar w:fldCharType="begin"/>
          </w:r>
          <w:r>
            <w:instrText xml:space="preserve"> PAGEREF _Toc20752 \h </w:instrText>
          </w:r>
          <w:r>
            <w:fldChar w:fldCharType="separate"/>
          </w:r>
          <w:r>
            <w:t>7</w:t>
          </w:r>
          <w:r>
            <w:fldChar w:fldCharType="end"/>
          </w:r>
          <w:r>
            <w:fldChar w:fldCharType="end"/>
          </w:r>
        </w:p>
        <w:p>
          <w:pPr>
            <w:pStyle w:val="16"/>
            <w:tabs>
              <w:tab w:val="right" w:leader="dot" w:pos="9746"/>
            </w:tabs>
          </w:pPr>
          <w:r>
            <w:fldChar w:fldCharType="begin"/>
          </w:r>
          <w:r>
            <w:instrText xml:space="preserve"> HYPERLINK \l _Toc24571 </w:instrText>
          </w:r>
          <w:r>
            <w:fldChar w:fldCharType="separate"/>
          </w:r>
          <w:r>
            <w:rPr>
              <w:rFonts w:hint="eastAsia" w:ascii="宋体" w:eastAsia="宋体" w:cs="宋体"/>
              <w:bCs/>
              <w:szCs w:val="24"/>
              <w:lang w:eastAsia="zh-CN"/>
            </w:rPr>
            <w:t>五、响应文件</w:t>
          </w:r>
          <w:r>
            <w:tab/>
          </w:r>
          <w:r>
            <w:fldChar w:fldCharType="begin"/>
          </w:r>
          <w:r>
            <w:instrText xml:space="preserve"> PAGEREF _Toc24571 \h </w:instrText>
          </w:r>
          <w:r>
            <w:fldChar w:fldCharType="separate"/>
          </w:r>
          <w:r>
            <w:t>7</w:t>
          </w:r>
          <w:r>
            <w:fldChar w:fldCharType="end"/>
          </w:r>
          <w:r>
            <w:fldChar w:fldCharType="end"/>
          </w:r>
        </w:p>
        <w:p>
          <w:pPr>
            <w:pStyle w:val="16"/>
            <w:tabs>
              <w:tab w:val="right" w:leader="dot" w:pos="9746"/>
            </w:tabs>
          </w:pPr>
          <w:r>
            <w:fldChar w:fldCharType="begin"/>
          </w:r>
          <w:r>
            <w:instrText xml:space="preserve"> HYPERLINK \l _Toc8246 </w:instrText>
          </w:r>
          <w:r>
            <w:fldChar w:fldCharType="separate"/>
          </w:r>
          <w:r>
            <w:rPr>
              <w:rFonts w:hint="eastAsia" w:ascii="宋体" w:eastAsia="宋体" w:cs="宋体"/>
              <w:bCs/>
              <w:szCs w:val="24"/>
              <w:lang w:eastAsia="zh-CN"/>
            </w:rPr>
            <w:t>六、开启、评审、结果公告、成交通知书</w:t>
          </w:r>
          <w:r>
            <w:tab/>
          </w:r>
          <w:r>
            <w:fldChar w:fldCharType="begin"/>
          </w:r>
          <w:r>
            <w:instrText xml:space="preserve"> PAGEREF _Toc8246 \h </w:instrText>
          </w:r>
          <w:r>
            <w:fldChar w:fldCharType="separate"/>
          </w:r>
          <w:r>
            <w:t>9</w:t>
          </w:r>
          <w:r>
            <w:fldChar w:fldCharType="end"/>
          </w:r>
          <w:r>
            <w:fldChar w:fldCharType="end"/>
          </w:r>
        </w:p>
        <w:p>
          <w:pPr>
            <w:pStyle w:val="16"/>
            <w:tabs>
              <w:tab w:val="right" w:leader="dot" w:pos="9746"/>
            </w:tabs>
          </w:pPr>
          <w:r>
            <w:fldChar w:fldCharType="begin"/>
          </w:r>
          <w:r>
            <w:instrText xml:space="preserve"> HYPERLINK \l _Toc6207 </w:instrText>
          </w:r>
          <w:r>
            <w:fldChar w:fldCharType="separate"/>
          </w:r>
          <w:r>
            <w:rPr>
              <w:rFonts w:hint="eastAsia" w:ascii="宋体" w:eastAsia="宋体" w:cs="宋体"/>
              <w:bCs/>
              <w:szCs w:val="24"/>
            </w:rPr>
            <w:t>七、询问、质疑与</w:t>
          </w:r>
          <w:r>
            <w:rPr>
              <w:rFonts w:hint="eastAsia" w:ascii="宋体" w:eastAsia="宋体" w:cs="宋体"/>
              <w:bCs/>
              <w:szCs w:val="24"/>
              <w:lang w:eastAsia="zh-CN"/>
            </w:rPr>
            <w:t>举报</w:t>
          </w:r>
          <w:r>
            <w:tab/>
          </w:r>
          <w:r>
            <w:fldChar w:fldCharType="begin"/>
          </w:r>
          <w:r>
            <w:instrText xml:space="preserve"> PAGEREF _Toc6207 \h </w:instrText>
          </w:r>
          <w:r>
            <w:fldChar w:fldCharType="separate"/>
          </w:r>
          <w:r>
            <w:t>9</w:t>
          </w:r>
          <w:r>
            <w:fldChar w:fldCharType="end"/>
          </w:r>
          <w:r>
            <w:fldChar w:fldCharType="end"/>
          </w:r>
        </w:p>
        <w:p>
          <w:pPr>
            <w:pStyle w:val="2"/>
            <w:tabs>
              <w:tab w:val="right" w:leader="dot" w:pos="9746"/>
            </w:tabs>
          </w:pPr>
          <w:r>
            <w:fldChar w:fldCharType="begin"/>
          </w:r>
          <w:r>
            <w:instrText xml:space="preserve"> HYPERLINK \l _Toc18147 </w:instrText>
          </w:r>
          <w:r>
            <w:fldChar w:fldCharType="separate"/>
          </w:r>
          <w:r>
            <w:rPr>
              <w:rFonts w:hint="eastAsia" w:ascii="宋体" w:eastAsia="宋体" w:cs="宋体"/>
              <w:bCs/>
              <w:szCs w:val="28"/>
              <w:lang w:eastAsia="zh-CN"/>
            </w:rPr>
            <w:t>第三章  采购内容与技术要求</w:t>
          </w:r>
          <w:r>
            <w:tab/>
          </w:r>
          <w:r>
            <w:fldChar w:fldCharType="begin"/>
          </w:r>
          <w:r>
            <w:instrText xml:space="preserve"> PAGEREF _Toc18147 \h </w:instrText>
          </w:r>
          <w:r>
            <w:fldChar w:fldCharType="separate"/>
          </w:r>
          <w:r>
            <w:t>12</w:t>
          </w:r>
          <w:r>
            <w:fldChar w:fldCharType="end"/>
          </w:r>
          <w:r>
            <w:fldChar w:fldCharType="end"/>
          </w:r>
        </w:p>
        <w:p>
          <w:pPr>
            <w:pStyle w:val="16"/>
            <w:tabs>
              <w:tab w:val="right" w:leader="dot" w:pos="9746"/>
            </w:tabs>
          </w:pPr>
          <w:r>
            <w:fldChar w:fldCharType="begin"/>
          </w:r>
          <w:r>
            <w:instrText xml:space="preserve"> HYPERLINK \l _Toc29679 </w:instrText>
          </w:r>
          <w:r>
            <w:fldChar w:fldCharType="separate"/>
          </w:r>
          <w:r>
            <w:rPr>
              <w:rFonts w:hint="eastAsia" w:ascii="宋体" w:eastAsia="宋体" w:cs="宋体"/>
              <w:bCs/>
              <w:szCs w:val="24"/>
              <w:lang w:eastAsia="zh-CN"/>
            </w:rPr>
            <w:t>一、项目概况</w:t>
          </w:r>
          <w:r>
            <w:tab/>
          </w:r>
          <w:r>
            <w:fldChar w:fldCharType="begin"/>
          </w:r>
          <w:r>
            <w:instrText xml:space="preserve"> PAGEREF _Toc29679 \h </w:instrText>
          </w:r>
          <w:r>
            <w:fldChar w:fldCharType="separate"/>
          </w:r>
          <w:r>
            <w:t>12</w:t>
          </w:r>
          <w:r>
            <w:fldChar w:fldCharType="end"/>
          </w:r>
          <w:r>
            <w:fldChar w:fldCharType="end"/>
          </w:r>
        </w:p>
        <w:p>
          <w:pPr>
            <w:pStyle w:val="16"/>
            <w:tabs>
              <w:tab w:val="right" w:leader="dot" w:pos="9746"/>
            </w:tabs>
          </w:pPr>
          <w:r>
            <w:fldChar w:fldCharType="begin"/>
          </w:r>
          <w:r>
            <w:instrText xml:space="preserve"> HYPERLINK \l _Toc2644 </w:instrText>
          </w:r>
          <w:r>
            <w:fldChar w:fldCharType="separate"/>
          </w:r>
          <w:r>
            <w:rPr>
              <w:rFonts w:hint="eastAsia" w:ascii="宋体" w:eastAsia="宋体" w:cs="宋体"/>
              <w:bCs/>
              <w:szCs w:val="24"/>
              <w:lang w:eastAsia="zh-CN"/>
            </w:rPr>
            <w:t>二、主要商务要求、技术要求</w:t>
          </w:r>
          <w:r>
            <w:tab/>
          </w:r>
          <w:r>
            <w:fldChar w:fldCharType="begin"/>
          </w:r>
          <w:r>
            <w:instrText xml:space="preserve"> PAGEREF _Toc2644 \h </w:instrText>
          </w:r>
          <w:r>
            <w:fldChar w:fldCharType="separate"/>
          </w:r>
          <w:r>
            <w:t>12</w:t>
          </w:r>
          <w:r>
            <w:fldChar w:fldCharType="end"/>
          </w:r>
          <w:r>
            <w:fldChar w:fldCharType="end"/>
          </w:r>
        </w:p>
        <w:p>
          <w:pPr>
            <w:pStyle w:val="2"/>
            <w:tabs>
              <w:tab w:val="right" w:leader="dot" w:pos="9746"/>
            </w:tabs>
          </w:pPr>
          <w:r>
            <w:fldChar w:fldCharType="begin"/>
          </w:r>
          <w:r>
            <w:instrText xml:space="preserve"> HYPERLINK \l _Toc21814 </w:instrText>
          </w:r>
          <w:r>
            <w:fldChar w:fldCharType="separate"/>
          </w:r>
          <w:r>
            <w:rPr>
              <w:rFonts w:hint="eastAsia" w:ascii="宋体" w:eastAsia="宋体" w:cs="宋体"/>
              <w:bCs/>
              <w:szCs w:val="28"/>
              <w:lang w:eastAsia="zh-CN"/>
            </w:rPr>
            <w:t>第四章  供应商应当提交的资格、资信证明文件</w:t>
          </w:r>
          <w:r>
            <w:tab/>
          </w:r>
          <w:r>
            <w:fldChar w:fldCharType="begin"/>
          </w:r>
          <w:r>
            <w:instrText xml:space="preserve"> PAGEREF _Toc21814 \h </w:instrText>
          </w:r>
          <w:r>
            <w:fldChar w:fldCharType="separate"/>
          </w:r>
          <w:r>
            <w:t>14</w:t>
          </w:r>
          <w:r>
            <w:fldChar w:fldCharType="end"/>
          </w:r>
          <w:r>
            <w:fldChar w:fldCharType="end"/>
          </w:r>
        </w:p>
        <w:p>
          <w:pPr>
            <w:pStyle w:val="2"/>
            <w:tabs>
              <w:tab w:val="right" w:leader="dot" w:pos="9746"/>
            </w:tabs>
          </w:pPr>
          <w:r>
            <w:fldChar w:fldCharType="begin"/>
          </w:r>
          <w:r>
            <w:instrText xml:space="preserve"> HYPERLINK \l _Toc22090 </w:instrText>
          </w:r>
          <w:r>
            <w:fldChar w:fldCharType="separate"/>
          </w:r>
          <w:r>
            <w:rPr>
              <w:rFonts w:hint="eastAsia" w:ascii="宋体" w:eastAsia="宋体" w:cs="宋体"/>
              <w:bCs/>
              <w:szCs w:val="28"/>
              <w:lang w:eastAsia="zh-CN"/>
            </w:rPr>
            <w:t>第五章  评审</w:t>
          </w:r>
          <w:r>
            <w:tab/>
          </w:r>
          <w:r>
            <w:fldChar w:fldCharType="begin"/>
          </w:r>
          <w:r>
            <w:instrText xml:space="preserve"> PAGEREF _Toc22090 \h </w:instrText>
          </w:r>
          <w:r>
            <w:fldChar w:fldCharType="separate"/>
          </w:r>
          <w:r>
            <w:t>15</w:t>
          </w:r>
          <w:r>
            <w:fldChar w:fldCharType="end"/>
          </w:r>
          <w:r>
            <w:fldChar w:fldCharType="end"/>
          </w:r>
        </w:p>
        <w:p>
          <w:pPr>
            <w:pStyle w:val="16"/>
            <w:tabs>
              <w:tab w:val="right" w:leader="dot" w:pos="9746"/>
            </w:tabs>
          </w:pPr>
          <w:r>
            <w:fldChar w:fldCharType="begin"/>
          </w:r>
          <w:r>
            <w:instrText xml:space="preserve"> HYPERLINK \l _Toc18962 </w:instrText>
          </w:r>
          <w:r>
            <w:fldChar w:fldCharType="separate"/>
          </w:r>
          <w:r>
            <w:rPr>
              <w:rFonts w:hint="eastAsia" w:ascii="宋体" w:eastAsia="宋体" w:cs="宋体"/>
              <w:bCs/>
              <w:szCs w:val="24"/>
              <w:lang w:eastAsia="zh-CN"/>
            </w:rPr>
            <w:t>一、评审要求</w:t>
          </w:r>
          <w:r>
            <w:tab/>
          </w:r>
          <w:r>
            <w:fldChar w:fldCharType="begin"/>
          </w:r>
          <w:r>
            <w:instrText xml:space="preserve"> PAGEREF _Toc18962 \h </w:instrText>
          </w:r>
          <w:r>
            <w:fldChar w:fldCharType="separate"/>
          </w:r>
          <w:r>
            <w:t>15</w:t>
          </w:r>
          <w:r>
            <w:fldChar w:fldCharType="end"/>
          </w:r>
          <w:r>
            <w:fldChar w:fldCharType="end"/>
          </w:r>
        </w:p>
        <w:p>
          <w:pPr>
            <w:pStyle w:val="16"/>
            <w:tabs>
              <w:tab w:val="right" w:leader="dot" w:pos="9746"/>
            </w:tabs>
          </w:pPr>
          <w:r>
            <w:fldChar w:fldCharType="begin"/>
          </w:r>
          <w:r>
            <w:instrText xml:space="preserve"> HYPERLINK \l _Toc29984 </w:instrText>
          </w:r>
          <w:r>
            <w:fldChar w:fldCharType="separate"/>
          </w:r>
          <w:r>
            <w:rPr>
              <w:rFonts w:hint="eastAsia" w:ascii="宋体" w:eastAsia="宋体" w:cs="宋体"/>
              <w:bCs/>
              <w:szCs w:val="24"/>
              <w:lang w:eastAsia="zh-CN"/>
            </w:rPr>
            <w:t>二、落实政府采购政策</w:t>
          </w:r>
          <w:r>
            <w:tab/>
          </w:r>
          <w:r>
            <w:fldChar w:fldCharType="begin"/>
          </w:r>
          <w:r>
            <w:instrText xml:space="preserve"> PAGEREF _Toc29984 \h </w:instrText>
          </w:r>
          <w:r>
            <w:fldChar w:fldCharType="separate"/>
          </w:r>
          <w:r>
            <w:t>17</w:t>
          </w:r>
          <w:r>
            <w:fldChar w:fldCharType="end"/>
          </w:r>
          <w:r>
            <w:fldChar w:fldCharType="end"/>
          </w:r>
        </w:p>
        <w:p>
          <w:pPr>
            <w:pStyle w:val="16"/>
            <w:tabs>
              <w:tab w:val="right" w:leader="dot" w:pos="9746"/>
            </w:tabs>
          </w:pPr>
          <w:r>
            <w:fldChar w:fldCharType="begin"/>
          </w:r>
          <w:r>
            <w:instrText xml:space="preserve"> HYPERLINK \l _Toc24185 </w:instrText>
          </w:r>
          <w:r>
            <w:fldChar w:fldCharType="separate"/>
          </w:r>
          <w:r>
            <w:rPr>
              <w:rFonts w:hint="eastAsia" w:ascii="宋体" w:eastAsia="宋体" w:cs="宋体"/>
              <w:bCs/>
              <w:szCs w:val="24"/>
              <w:lang w:eastAsia="zh-CN"/>
            </w:rPr>
            <w:t>三、评审程序</w:t>
          </w:r>
          <w:r>
            <w:tab/>
          </w:r>
          <w:r>
            <w:fldChar w:fldCharType="begin"/>
          </w:r>
          <w:r>
            <w:instrText xml:space="preserve"> PAGEREF _Toc24185 \h </w:instrText>
          </w:r>
          <w:r>
            <w:fldChar w:fldCharType="separate"/>
          </w:r>
          <w:r>
            <w:t>18</w:t>
          </w:r>
          <w:r>
            <w:fldChar w:fldCharType="end"/>
          </w:r>
          <w:r>
            <w:fldChar w:fldCharType="end"/>
          </w:r>
        </w:p>
        <w:p>
          <w:pPr>
            <w:pStyle w:val="2"/>
            <w:tabs>
              <w:tab w:val="right" w:leader="dot" w:pos="9746"/>
            </w:tabs>
          </w:pPr>
          <w:r>
            <w:fldChar w:fldCharType="begin"/>
          </w:r>
          <w:r>
            <w:instrText xml:space="preserve"> HYPERLINK \l _Toc10702 </w:instrText>
          </w:r>
          <w:r>
            <w:fldChar w:fldCharType="separate"/>
          </w:r>
          <w:r>
            <w:rPr>
              <w:rFonts w:hint="eastAsia" w:ascii="宋体" w:hAnsi="宋体" w:eastAsia="宋体" w:cs="宋体"/>
              <w:bCs/>
              <w:szCs w:val="28"/>
            </w:rPr>
            <w:t>第六章  合同</w:t>
          </w:r>
          <w:r>
            <w:tab/>
          </w:r>
          <w:r>
            <w:fldChar w:fldCharType="begin"/>
          </w:r>
          <w:r>
            <w:instrText xml:space="preserve"> PAGEREF _Toc10702 \h </w:instrText>
          </w:r>
          <w:r>
            <w:fldChar w:fldCharType="separate"/>
          </w:r>
          <w:r>
            <w:t>27</w:t>
          </w:r>
          <w:r>
            <w:fldChar w:fldCharType="end"/>
          </w:r>
          <w:r>
            <w:fldChar w:fldCharType="end"/>
          </w:r>
        </w:p>
        <w:p>
          <w:pPr>
            <w:pStyle w:val="16"/>
            <w:tabs>
              <w:tab w:val="right" w:leader="dot" w:pos="9746"/>
            </w:tabs>
          </w:pPr>
          <w:r>
            <w:fldChar w:fldCharType="begin"/>
          </w:r>
          <w:r>
            <w:instrText xml:space="preserve"> HYPERLINK \l _Toc7389 </w:instrText>
          </w:r>
          <w:r>
            <w:fldChar w:fldCharType="separate"/>
          </w:r>
          <w:r>
            <w:rPr>
              <w:rFonts w:hint="eastAsia" w:ascii="宋体" w:hAnsi="宋体" w:eastAsia="宋体" w:cs="宋体"/>
              <w:kern w:val="2"/>
              <w:szCs w:val="24"/>
              <w:highlight w:val="none"/>
              <w:lang w:val="en-US" w:eastAsia="zh-CN" w:bidi="ar-SA"/>
            </w:rPr>
            <w:t>一、合同要求</w:t>
          </w:r>
          <w:r>
            <w:tab/>
          </w:r>
          <w:r>
            <w:fldChar w:fldCharType="begin"/>
          </w:r>
          <w:r>
            <w:instrText xml:space="preserve"> PAGEREF _Toc7389 \h </w:instrText>
          </w:r>
          <w:r>
            <w:fldChar w:fldCharType="separate"/>
          </w:r>
          <w:r>
            <w:t>27</w:t>
          </w:r>
          <w:r>
            <w:fldChar w:fldCharType="end"/>
          </w:r>
          <w:r>
            <w:fldChar w:fldCharType="end"/>
          </w:r>
        </w:p>
        <w:p>
          <w:pPr>
            <w:pStyle w:val="16"/>
            <w:tabs>
              <w:tab w:val="right" w:leader="dot" w:pos="9746"/>
            </w:tabs>
          </w:pPr>
          <w:r>
            <w:fldChar w:fldCharType="begin"/>
          </w:r>
          <w:r>
            <w:instrText xml:space="preserve"> HYPERLINK \l _Toc17147 </w:instrText>
          </w:r>
          <w:r>
            <w:fldChar w:fldCharType="separate"/>
          </w:r>
          <w:r>
            <w:rPr>
              <w:rFonts w:hint="eastAsia" w:ascii="宋体" w:hAnsi="宋体" w:eastAsia="宋体" w:cs="宋体"/>
              <w:spacing w:val="18"/>
              <w:szCs w:val="24"/>
              <w:highlight w:val="none"/>
            </w:rPr>
            <w:t>二</w:t>
          </w:r>
          <w:r>
            <w:rPr>
              <w:rFonts w:hint="eastAsia" w:ascii="宋体" w:hAnsi="宋体" w:eastAsia="宋体" w:cs="宋体"/>
              <w:spacing w:val="18"/>
              <w:szCs w:val="24"/>
              <w:highlight w:val="none"/>
              <w:lang w:eastAsia="zh-CN"/>
            </w:rPr>
            <w:t>、</w:t>
          </w:r>
          <w:r>
            <w:rPr>
              <w:rFonts w:hint="eastAsia" w:ascii="宋体" w:hAnsi="宋体" w:eastAsia="宋体" w:cs="宋体"/>
              <w:spacing w:val="6"/>
              <w:szCs w:val="24"/>
              <w:highlight w:val="none"/>
            </w:rPr>
            <w:t>验收</w:t>
          </w:r>
          <w:r>
            <w:tab/>
          </w:r>
          <w:r>
            <w:fldChar w:fldCharType="begin"/>
          </w:r>
          <w:r>
            <w:instrText xml:space="preserve"> PAGEREF _Toc17147 \h </w:instrText>
          </w:r>
          <w:r>
            <w:fldChar w:fldCharType="separate"/>
          </w:r>
          <w:r>
            <w:t>32</w:t>
          </w:r>
          <w:r>
            <w:fldChar w:fldCharType="end"/>
          </w:r>
          <w:r>
            <w:fldChar w:fldCharType="end"/>
          </w:r>
        </w:p>
        <w:p>
          <w:pPr>
            <w:pStyle w:val="2"/>
            <w:tabs>
              <w:tab w:val="right" w:leader="dot" w:pos="9746"/>
            </w:tabs>
          </w:pPr>
          <w:r>
            <w:fldChar w:fldCharType="begin"/>
          </w:r>
          <w:r>
            <w:instrText xml:space="preserve"> HYPERLINK \l _Toc6005 </w:instrText>
          </w:r>
          <w:r>
            <w:fldChar w:fldCharType="separate"/>
          </w:r>
          <w:r>
            <w:rPr>
              <w:rFonts w:hint="eastAsia" w:ascii="宋体" w:eastAsia="宋体" w:cs="宋体"/>
              <w:bCs/>
              <w:szCs w:val="28"/>
              <w:lang w:eastAsia="zh-CN"/>
            </w:rPr>
            <w:t>第七章  响应文件格式与要求</w:t>
          </w:r>
          <w:r>
            <w:tab/>
          </w:r>
          <w:r>
            <w:fldChar w:fldCharType="begin"/>
          </w:r>
          <w:r>
            <w:instrText xml:space="preserve"> PAGEREF _Toc6005 \h </w:instrText>
          </w:r>
          <w:r>
            <w:fldChar w:fldCharType="separate"/>
          </w:r>
          <w:r>
            <w:t>34</w:t>
          </w:r>
          <w:r>
            <w:fldChar w:fldCharType="end"/>
          </w:r>
          <w:r>
            <w:fldChar w:fldCharType="end"/>
          </w:r>
        </w:p>
        <w:p>
          <w:pPr>
            <w:pStyle w:val="16"/>
            <w:tabs>
              <w:tab w:val="right" w:leader="dot" w:pos="9746"/>
            </w:tabs>
          </w:pPr>
          <w:r>
            <w:fldChar w:fldCharType="begin"/>
          </w:r>
          <w:r>
            <w:instrText xml:space="preserve"> HYPERLINK \l _Toc14203 </w:instrText>
          </w:r>
          <w:r>
            <w:fldChar w:fldCharType="separate"/>
          </w:r>
          <w:r>
            <w:rPr>
              <w:rFonts w:hint="eastAsia" w:ascii="宋体" w:eastAsia="宋体" w:cs="宋体"/>
              <w:bCs/>
              <w:szCs w:val="28"/>
              <w:lang w:eastAsia="zh-CN"/>
            </w:rPr>
            <w:t>一、响应承诺书</w:t>
          </w:r>
          <w:r>
            <w:tab/>
          </w:r>
          <w:r>
            <w:fldChar w:fldCharType="begin"/>
          </w:r>
          <w:r>
            <w:instrText xml:space="preserve"> PAGEREF _Toc14203 \h </w:instrText>
          </w:r>
          <w:r>
            <w:fldChar w:fldCharType="separate"/>
          </w:r>
          <w:r>
            <w:t>37</w:t>
          </w:r>
          <w:r>
            <w:fldChar w:fldCharType="end"/>
          </w:r>
          <w:r>
            <w:fldChar w:fldCharType="end"/>
          </w:r>
        </w:p>
        <w:p>
          <w:pPr>
            <w:pStyle w:val="16"/>
            <w:tabs>
              <w:tab w:val="right" w:leader="dot" w:pos="9746"/>
            </w:tabs>
          </w:pPr>
          <w:r>
            <w:fldChar w:fldCharType="begin"/>
          </w:r>
          <w:r>
            <w:instrText xml:space="preserve"> HYPERLINK \l _Toc26939 </w:instrText>
          </w:r>
          <w:r>
            <w:fldChar w:fldCharType="separate"/>
          </w:r>
          <w:r>
            <w:rPr>
              <w:rFonts w:hint="eastAsia" w:ascii="宋体" w:eastAsia="宋体" w:cs="宋体"/>
              <w:bCs/>
              <w:szCs w:val="28"/>
              <w:lang w:eastAsia="zh-CN"/>
            </w:rPr>
            <w:t>二、首轮报价表</w:t>
          </w:r>
          <w:r>
            <w:tab/>
          </w:r>
          <w:r>
            <w:fldChar w:fldCharType="begin"/>
          </w:r>
          <w:r>
            <w:instrText xml:space="preserve"> PAGEREF _Toc26939 \h </w:instrText>
          </w:r>
          <w:r>
            <w:fldChar w:fldCharType="separate"/>
          </w:r>
          <w:r>
            <w:t>38</w:t>
          </w:r>
          <w:r>
            <w:fldChar w:fldCharType="end"/>
          </w:r>
          <w:r>
            <w:fldChar w:fldCharType="end"/>
          </w:r>
        </w:p>
        <w:p>
          <w:pPr>
            <w:pStyle w:val="16"/>
            <w:tabs>
              <w:tab w:val="right" w:leader="dot" w:pos="9746"/>
            </w:tabs>
          </w:pPr>
          <w:r>
            <w:fldChar w:fldCharType="begin"/>
          </w:r>
          <w:r>
            <w:instrText xml:space="preserve"> HYPERLINK \l _Toc8181 </w:instrText>
          </w:r>
          <w:r>
            <w:fldChar w:fldCharType="separate"/>
          </w:r>
          <w:r>
            <w:rPr>
              <w:rFonts w:hint="eastAsia" w:ascii="宋体" w:eastAsia="宋体" w:cs="宋体"/>
              <w:bCs/>
              <w:szCs w:val="28"/>
              <w:lang w:eastAsia="zh-CN"/>
            </w:rPr>
            <w:t>三、</w:t>
          </w:r>
          <w:r>
            <w:rPr>
              <w:rFonts w:hint="eastAsia" w:ascii="宋体" w:eastAsia="宋体" w:cs="宋体"/>
              <w:bCs/>
              <w:szCs w:val="28"/>
            </w:rPr>
            <w:t>分项报价表</w:t>
          </w:r>
          <w:r>
            <w:tab/>
          </w:r>
          <w:r>
            <w:fldChar w:fldCharType="begin"/>
          </w:r>
          <w:r>
            <w:instrText xml:space="preserve"> PAGEREF _Toc8181 \h </w:instrText>
          </w:r>
          <w:r>
            <w:fldChar w:fldCharType="separate"/>
          </w:r>
          <w:r>
            <w:t>39</w:t>
          </w:r>
          <w:r>
            <w:fldChar w:fldCharType="end"/>
          </w:r>
          <w:r>
            <w:fldChar w:fldCharType="end"/>
          </w:r>
        </w:p>
        <w:p>
          <w:pPr>
            <w:pStyle w:val="16"/>
            <w:tabs>
              <w:tab w:val="right" w:leader="dot" w:pos="9746"/>
            </w:tabs>
          </w:pPr>
          <w:r>
            <w:fldChar w:fldCharType="begin"/>
          </w:r>
          <w:r>
            <w:instrText xml:space="preserve"> HYPERLINK \l _Toc21383 </w:instrText>
          </w:r>
          <w:r>
            <w:fldChar w:fldCharType="separate"/>
          </w:r>
          <w:r>
            <w:rPr>
              <w:rFonts w:hint="eastAsia" w:ascii="宋体" w:eastAsia="宋体" w:cs="宋体"/>
              <w:bCs/>
              <w:szCs w:val="28"/>
              <w:lang w:eastAsia="zh-CN"/>
            </w:rPr>
            <w:t>四、授权委托书</w:t>
          </w:r>
          <w:r>
            <w:tab/>
          </w:r>
          <w:r>
            <w:fldChar w:fldCharType="begin"/>
          </w:r>
          <w:r>
            <w:instrText xml:space="preserve"> PAGEREF _Toc21383 \h </w:instrText>
          </w:r>
          <w:r>
            <w:fldChar w:fldCharType="separate"/>
          </w:r>
          <w:r>
            <w:t>40</w:t>
          </w:r>
          <w:r>
            <w:fldChar w:fldCharType="end"/>
          </w:r>
          <w:r>
            <w:fldChar w:fldCharType="end"/>
          </w:r>
        </w:p>
        <w:p>
          <w:pPr>
            <w:pStyle w:val="16"/>
            <w:tabs>
              <w:tab w:val="right" w:leader="dot" w:pos="9746"/>
            </w:tabs>
          </w:pPr>
          <w:r>
            <w:fldChar w:fldCharType="begin"/>
          </w:r>
          <w:r>
            <w:instrText xml:space="preserve"> HYPERLINK \l _Toc16005 </w:instrText>
          </w:r>
          <w:r>
            <w:fldChar w:fldCharType="separate"/>
          </w:r>
          <w:r>
            <w:rPr>
              <w:rFonts w:hint="eastAsia" w:ascii="宋体" w:eastAsia="宋体" w:cs="宋体"/>
              <w:bCs/>
              <w:szCs w:val="28"/>
              <w:lang w:eastAsia="zh-CN"/>
            </w:rPr>
            <w:t>五、缴纳磋商保证金证明材料</w:t>
          </w:r>
          <w:r>
            <w:tab/>
          </w:r>
          <w:r>
            <w:fldChar w:fldCharType="begin"/>
          </w:r>
          <w:r>
            <w:instrText xml:space="preserve"> PAGEREF _Toc16005 \h </w:instrText>
          </w:r>
          <w:r>
            <w:fldChar w:fldCharType="separate"/>
          </w:r>
          <w:r>
            <w:t>41</w:t>
          </w:r>
          <w:r>
            <w:fldChar w:fldCharType="end"/>
          </w:r>
          <w:r>
            <w:fldChar w:fldCharType="end"/>
          </w:r>
        </w:p>
        <w:p>
          <w:pPr>
            <w:pStyle w:val="16"/>
            <w:tabs>
              <w:tab w:val="right" w:leader="dot" w:pos="9746"/>
            </w:tabs>
          </w:pPr>
          <w:r>
            <w:fldChar w:fldCharType="begin"/>
          </w:r>
          <w:r>
            <w:instrText xml:space="preserve"> HYPERLINK \l _Toc1435 </w:instrText>
          </w:r>
          <w:r>
            <w:fldChar w:fldCharType="separate"/>
          </w:r>
          <w:r>
            <w:rPr>
              <w:rFonts w:hint="eastAsia" w:ascii="宋体" w:eastAsia="宋体" w:cs="宋体"/>
              <w:bCs/>
              <w:szCs w:val="28"/>
            </w:rPr>
            <w:t>六、供应商基本情况表</w:t>
          </w:r>
          <w:r>
            <w:tab/>
          </w:r>
          <w:r>
            <w:fldChar w:fldCharType="begin"/>
          </w:r>
          <w:r>
            <w:instrText xml:space="preserve"> PAGEREF _Toc1435 \h </w:instrText>
          </w:r>
          <w:r>
            <w:fldChar w:fldCharType="separate"/>
          </w:r>
          <w:r>
            <w:t>42</w:t>
          </w:r>
          <w:r>
            <w:fldChar w:fldCharType="end"/>
          </w:r>
          <w:r>
            <w:fldChar w:fldCharType="end"/>
          </w:r>
        </w:p>
        <w:p>
          <w:pPr>
            <w:pStyle w:val="16"/>
            <w:tabs>
              <w:tab w:val="right" w:leader="dot" w:pos="9746"/>
            </w:tabs>
          </w:pPr>
          <w:r>
            <w:fldChar w:fldCharType="begin"/>
          </w:r>
          <w:r>
            <w:instrText xml:space="preserve"> HYPERLINK \l _Toc3218 </w:instrText>
          </w:r>
          <w:r>
            <w:fldChar w:fldCharType="separate"/>
          </w:r>
          <w:r>
            <w:rPr>
              <w:rFonts w:hint="eastAsia" w:ascii="宋体" w:eastAsia="宋体" w:cs="宋体"/>
              <w:bCs/>
              <w:szCs w:val="28"/>
              <w:lang w:eastAsia="zh-CN"/>
            </w:rPr>
            <w:t>七、具有独立承担民事责任的能力的证明材料</w:t>
          </w:r>
          <w:r>
            <w:tab/>
          </w:r>
          <w:r>
            <w:fldChar w:fldCharType="begin"/>
          </w:r>
          <w:r>
            <w:instrText xml:space="preserve"> PAGEREF _Toc3218 \h </w:instrText>
          </w:r>
          <w:r>
            <w:fldChar w:fldCharType="separate"/>
          </w:r>
          <w:r>
            <w:t>43</w:t>
          </w:r>
          <w:r>
            <w:fldChar w:fldCharType="end"/>
          </w:r>
          <w:r>
            <w:fldChar w:fldCharType="end"/>
          </w:r>
        </w:p>
        <w:p>
          <w:pPr>
            <w:pStyle w:val="16"/>
            <w:tabs>
              <w:tab w:val="right" w:leader="dot" w:pos="9746"/>
            </w:tabs>
          </w:pPr>
          <w:r>
            <w:fldChar w:fldCharType="begin"/>
          </w:r>
          <w:r>
            <w:instrText xml:space="preserve"> HYPERLINK \l _Toc17843 </w:instrText>
          </w:r>
          <w:r>
            <w:fldChar w:fldCharType="separate"/>
          </w:r>
          <w:r>
            <w:rPr>
              <w:rFonts w:hint="eastAsia" w:ascii="宋体" w:eastAsia="宋体" w:cs="宋体"/>
              <w:bCs/>
              <w:szCs w:val="28"/>
              <w:lang w:eastAsia="zh-CN"/>
            </w:rPr>
            <w:t>八、具有良好的商业信誉和健全的财务会计制度的相关材料</w:t>
          </w:r>
          <w:r>
            <w:tab/>
          </w:r>
          <w:r>
            <w:fldChar w:fldCharType="begin"/>
          </w:r>
          <w:r>
            <w:instrText xml:space="preserve"> PAGEREF _Toc17843 \h </w:instrText>
          </w:r>
          <w:r>
            <w:fldChar w:fldCharType="separate"/>
          </w:r>
          <w:r>
            <w:t>44</w:t>
          </w:r>
          <w:r>
            <w:fldChar w:fldCharType="end"/>
          </w:r>
          <w:r>
            <w:fldChar w:fldCharType="end"/>
          </w:r>
        </w:p>
        <w:p>
          <w:pPr>
            <w:pStyle w:val="16"/>
            <w:tabs>
              <w:tab w:val="right" w:leader="dot" w:pos="9746"/>
            </w:tabs>
          </w:pPr>
          <w:r>
            <w:fldChar w:fldCharType="begin"/>
          </w:r>
          <w:r>
            <w:instrText xml:space="preserve"> HYPERLINK \l _Toc18482 </w:instrText>
          </w:r>
          <w:r>
            <w:fldChar w:fldCharType="separate"/>
          </w:r>
          <w:r>
            <w:rPr>
              <w:rFonts w:hint="eastAsia" w:ascii="宋体" w:eastAsia="宋体" w:cs="宋体"/>
              <w:bCs/>
              <w:szCs w:val="28"/>
              <w:lang w:eastAsia="zh-CN"/>
            </w:rPr>
            <w:t>九、依法缴纳税收和社会保障资金的良好记录的相关材料</w:t>
          </w:r>
          <w:r>
            <w:tab/>
          </w:r>
          <w:r>
            <w:fldChar w:fldCharType="begin"/>
          </w:r>
          <w:r>
            <w:instrText xml:space="preserve"> PAGEREF _Toc18482 \h </w:instrText>
          </w:r>
          <w:r>
            <w:fldChar w:fldCharType="separate"/>
          </w:r>
          <w:r>
            <w:t>45</w:t>
          </w:r>
          <w:r>
            <w:fldChar w:fldCharType="end"/>
          </w:r>
          <w:r>
            <w:fldChar w:fldCharType="end"/>
          </w:r>
        </w:p>
        <w:p>
          <w:pPr>
            <w:pStyle w:val="16"/>
            <w:tabs>
              <w:tab w:val="right" w:leader="dot" w:pos="9746"/>
            </w:tabs>
          </w:pPr>
          <w:r>
            <w:fldChar w:fldCharType="begin"/>
          </w:r>
          <w:r>
            <w:instrText xml:space="preserve"> HYPERLINK \l _Toc12100 </w:instrText>
          </w:r>
          <w:r>
            <w:fldChar w:fldCharType="separate"/>
          </w:r>
          <w:r>
            <w:rPr>
              <w:rFonts w:hint="eastAsia" w:ascii="宋体" w:eastAsia="宋体" w:cs="宋体"/>
              <w:bCs/>
              <w:szCs w:val="28"/>
              <w:lang w:eastAsia="zh-CN"/>
            </w:rPr>
            <w:t>十、具有履行合同所必需的设备和专业技术能力的相关材料</w:t>
          </w:r>
          <w:r>
            <w:tab/>
          </w:r>
          <w:r>
            <w:fldChar w:fldCharType="begin"/>
          </w:r>
          <w:r>
            <w:instrText xml:space="preserve"> PAGEREF _Toc12100 \h </w:instrText>
          </w:r>
          <w:r>
            <w:fldChar w:fldCharType="separate"/>
          </w:r>
          <w:r>
            <w:t>46</w:t>
          </w:r>
          <w:r>
            <w:fldChar w:fldCharType="end"/>
          </w:r>
          <w:r>
            <w:fldChar w:fldCharType="end"/>
          </w:r>
        </w:p>
        <w:p>
          <w:pPr>
            <w:pStyle w:val="16"/>
            <w:tabs>
              <w:tab w:val="right" w:leader="dot" w:pos="9746"/>
            </w:tabs>
          </w:pPr>
          <w:r>
            <w:fldChar w:fldCharType="begin"/>
          </w:r>
          <w:r>
            <w:instrText xml:space="preserve"> HYPERLINK \l _Toc1487 </w:instrText>
          </w:r>
          <w:r>
            <w:fldChar w:fldCharType="separate"/>
          </w:r>
          <w:r>
            <w:rPr>
              <w:rFonts w:hint="eastAsia" w:ascii="宋体" w:eastAsia="宋体" w:cs="宋体"/>
              <w:bCs/>
              <w:szCs w:val="28"/>
              <w:lang w:eastAsia="zh-CN"/>
            </w:rPr>
            <w:t>十一、参加政府采购活动前三年内在经营活动中没有重大违法记录的书面声明</w:t>
          </w:r>
          <w:r>
            <w:tab/>
          </w:r>
          <w:r>
            <w:fldChar w:fldCharType="begin"/>
          </w:r>
          <w:r>
            <w:instrText xml:space="preserve"> PAGEREF _Toc1487 \h </w:instrText>
          </w:r>
          <w:r>
            <w:fldChar w:fldCharType="separate"/>
          </w:r>
          <w:r>
            <w:t>47</w:t>
          </w:r>
          <w:r>
            <w:fldChar w:fldCharType="end"/>
          </w:r>
          <w:r>
            <w:fldChar w:fldCharType="end"/>
          </w:r>
        </w:p>
        <w:p>
          <w:pPr>
            <w:pStyle w:val="16"/>
            <w:tabs>
              <w:tab w:val="right" w:leader="dot" w:pos="9746"/>
            </w:tabs>
          </w:pPr>
          <w:r>
            <w:fldChar w:fldCharType="begin"/>
          </w:r>
          <w:r>
            <w:instrText xml:space="preserve"> HYPERLINK \l _Toc6296 </w:instrText>
          </w:r>
          <w:r>
            <w:fldChar w:fldCharType="separate"/>
          </w:r>
          <w:r>
            <w:rPr>
              <w:rFonts w:hint="eastAsia" w:ascii="宋体" w:eastAsia="宋体" w:cs="宋体"/>
              <w:bCs/>
              <w:szCs w:val="28"/>
              <w:lang w:eastAsia="zh-CN"/>
            </w:rPr>
            <w:t>十二、联合体协议书</w:t>
          </w:r>
          <w:r>
            <w:tab/>
          </w:r>
          <w:r>
            <w:fldChar w:fldCharType="begin"/>
          </w:r>
          <w:r>
            <w:instrText xml:space="preserve"> PAGEREF _Toc6296 \h </w:instrText>
          </w:r>
          <w:r>
            <w:fldChar w:fldCharType="separate"/>
          </w:r>
          <w:r>
            <w:t>48</w:t>
          </w:r>
          <w:r>
            <w:fldChar w:fldCharType="end"/>
          </w:r>
          <w:r>
            <w:fldChar w:fldCharType="end"/>
          </w:r>
        </w:p>
        <w:p>
          <w:pPr>
            <w:pStyle w:val="16"/>
            <w:tabs>
              <w:tab w:val="right" w:leader="dot" w:pos="9746"/>
            </w:tabs>
          </w:pPr>
          <w:r>
            <w:fldChar w:fldCharType="begin"/>
          </w:r>
          <w:r>
            <w:instrText xml:space="preserve"> HYPERLINK \l _Toc12275 </w:instrText>
          </w:r>
          <w:r>
            <w:fldChar w:fldCharType="separate"/>
          </w:r>
          <w:r>
            <w:rPr>
              <w:rFonts w:hint="eastAsia" w:ascii="宋体" w:eastAsia="宋体" w:cs="宋体"/>
              <w:bCs/>
              <w:szCs w:val="28"/>
              <w:highlight w:val="none"/>
              <w:lang w:eastAsia="zh-CN"/>
            </w:rPr>
            <w:t>十三、</w:t>
          </w:r>
          <w:r>
            <w:rPr>
              <w:rFonts w:hint="eastAsia" w:ascii="宋体" w:eastAsia="宋体" w:cs="宋体"/>
              <w:bCs/>
              <w:szCs w:val="28"/>
              <w:highlight w:val="none"/>
            </w:rPr>
            <w:t>中小企业声明函（工程、服务）</w:t>
          </w:r>
          <w:r>
            <w:tab/>
          </w:r>
          <w:r>
            <w:fldChar w:fldCharType="begin"/>
          </w:r>
          <w:r>
            <w:instrText xml:space="preserve"> PAGEREF _Toc12275 \h </w:instrText>
          </w:r>
          <w:r>
            <w:fldChar w:fldCharType="separate"/>
          </w:r>
          <w:r>
            <w:t>49</w:t>
          </w:r>
          <w:r>
            <w:fldChar w:fldCharType="end"/>
          </w:r>
          <w:r>
            <w:fldChar w:fldCharType="end"/>
          </w:r>
        </w:p>
        <w:p>
          <w:pPr>
            <w:pStyle w:val="16"/>
            <w:tabs>
              <w:tab w:val="right" w:leader="dot" w:pos="9746"/>
            </w:tabs>
          </w:pPr>
          <w:r>
            <w:fldChar w:fldCharType="begin"/>
          </w:r>
          <w:r>
            <w:instrText xml:space="preserve"> HYPERLINK \l _Toc489 </w:instrText>
          </w:r>
          <w:r>
            <w:fldChar w:fldCharType="separate"/>
          </w:r>
          <w:r>
            <w:rPr>
              <w:rFonts w:hint="eastAsia" w:ascii="宋体" w:eastAsia="宋体" w:cs="宋体"/>
              <w:bCs/>
              <w:szCs w:val="28"/>
              <w:lang w:eastAsia="zh-CN"/>
            </w:rPr>
            <w:t>十四、监狱企业证明文件</w:t>
          </w:r>
          <w:r>
            <w:tab/>
          </w:r>
          <w:r>
            <w:fldChar w:fldCharType="begin"/>
          </w:r>
          <w:r>
            <w:instrText xml:space="preserve"> PAGEREF _Toc489 \h </w:instrText>
          </w:r>
          <w:r>
            <w:fldChar w:fldCharType="separate"/>
          </w:r>
          <w:r>
            <w:t>50</w:t>
          </w:r>
          <w:r>
            <w:fldChar w:fldCharType="end"/>
          </w:r>
          <w:r>
            <w:fldChar w:fldCharType="end"/>
          </w:r>
        </w:p>
        <w:p>
          <w:pPr>
            <w:pStyle w:val="16"/>
            <w:tabs>
              <w:tab w:val="right" w:leader="dot" w:pos="9746"/>
            </w:tabs>
          </w:pPr>
          <w:r>
            <w:fldChar w:fldCharType="begin"/>
          </w:r>
          <w:r>
            <w:instrText xml:space="preserve"> HYPERLINK \l _Toc28256 </w:instrText>
          </w:r>
          <w:r>
            <w:fldChar w:fldCharType="separate"/>
          </w:r>
          <w:r>
            <w:rPr>
              <w:rFonts w:hint="eastAsia" w:ascii="宋体" w:hAnsi="宋体" w:eastAsia="宋体" w:cs="宋体"/>
              <w:bCs/>
              <w:kern w:val="0"/>
              <w:szCs w:val="28"/>
            </w:rPr>
            <w:t>十五、残疾人福利性单位声明函</w:t>
          </w:r>
          <w:r>
            <w:tab/>
          </w:r>
          <w:r>
            <w:fldChar w:fldCharType="begin"/>
          </w:r>
          <w:r>
            <w:instrText xml:space="preserve"> PAGEREF _Toc28256 \h </w:instrText>
          </w:r>
          <w:r>
            <w:fldChar w:fldCharType="separate"/>
          </w:r>
          <w:r>
            <w:t>51</w:t>
          </w:r>
          <w:r>
            <w:fldChar w:fldCharType="end"/>
          </w:r>
          <w:r>
            <w:fldChar w:fldCharType="end"/>
          </w:r>
        </w:p>
        <w:p>
          <w:pPr>
            <w:pStyle w:val="16"/>
            <w:tabs>
              <w:tab w:val="right" w:leader="dot" w:pos="9746"/>
            </w:tabs>
          </w:pPr>
          <w:r>
            <w:fldChar w:fldCharType="begin"/>
          </w:r>
          <w:r>
            <w:instrText xml:space="preserve"> HYPERLINK \l _Toc17059 </w:instrText>
          </w:r>
          <w:r>
            <w:fldChar w:fldCharType="separate"/>
          </w:r>
          <w:r>
            <w:rPr>
              <w:rFonts w:hint="eastAsia" w:ascii="宋体" w:eastAsia="宋体" w:cs="宋体"/>
              <w:bCs/>
              <w:szCs w:val="28"/>
              <w:lang w:eastAsia="zh-CN"/>
            </w:rPr>
            <w:t>十六、主要商务要求承诺书</w:t>
          </w:r>
          <w:r>
            <w:tab/>
          </w:r>
          <w:r>
            <w:fldChar w:fldCharType="begin"/>
          </w:r>
          <w:r>
            <w:instrText xml:space="preserve"> PAGEREF _Toc17059 \h </w:instrText>
          </w:r>
          <w:r>
            <w:fldChar w:fldCharType="separate"/>
          </w:r>
          <w:r>
            <w:t>52</w:t>
          </w:r>
          <w:r>
            <w:fldChar w:fldCharType="end"/>
          </w:r>
          <w:r>
            <w:fldChar w:fldCharType="end"/>
          </w:r>
        </w:p>
        <w:p>
          <w:pPr>
            <w:pStyle w:val="16"/>
            <w:tabs>
              <w:tab w:val="right" w:leader="dot" w:pos="9746"/>
            </w:tabs>
          </w:pPr>
          <w:r>
            <w:fldChar w:fldCharType="begin"/>
          </w:r>
          <w:r>
            <w:instrText xml:space="preserve"> HYPERLINK \l _Toc30420 </w:instrText>
          </w:r>
          <w:r>
            <w:fldChar w:fldCharType="separate"/>
          </w:r>
          <w:r>
            <w:rPr>
              <w:rFonts w:hint="eastAsia" w:ascii="宋体" w:eastAsia="宋体" w:cs="宋体"/>
              <w:bCs/>
              <w:szCs w:val="28"/>
              <w:lang w:eastAsia="zh-CN"/>
            </w:rPr>
            <w:t>十七、技术偏离表</w:t>
          </w:r>
          <w:r>
            <w:tab/>
          </w:r>
          <w:r>
            <w:fldChar w:fldCharType="begin"/>
          </w:r>
          <w:r>
            <w:instrText xml:space="preserve"> PAGEREF _Toc30420 \h </w:instrText>
          </w:r>
          <w:r>
            <w:fldChar w:fldCharType="separate"/>
          </w:r>
          <w:r>
            <w:t>53</w:t>
          </w:r>
          <w:r>
            <w:fldChar w:fldCharType="end"/>
          </w:r>
          <w:r>
            <w:fldChar w:fldCharType="end"/>
          </w:r>
        </w:p>
        <w:p>
          <w:pPr>
            <w:pStyle w:val="16"/>
            <w:tabs>
              <w:tab w:val="right" w:leader="dot" w:pos="9746"/>
            </w:tabs>
          </w:pPr>
          <w:r>
            <w:fldChar w:fldCharType="begin"/>
          </w:r>
          <w:r>
            <w:instrText xml:space="preserve"> HYPERLINK \l _Toc3454 </w:instrText>
          </w:r>
          <w:r>
            <w:fldChar w:fldCharType="separate"/>
          </w:r>
          <w:r>
            <w:rPr>
              <w:rFonts w:hint="eastAsia" w:ascii="宋体" w:eastAsia="宋体" w:cs="宋体"/>
              <w:bCs/>
              <w:szCs w:val="28"/>
              <w:lang w:eastAsia="zh-CN"/>
            </w:rPr>
            <w:t>十八、项目组成人员一览表</w:t>
          </w:r>
          <w:r>
            <w:tab/>
          </w:r>
          <w:r>
            <w:fldChar w:fldCharType="begin"/>
          </w:r>
          <w:r>
            <w:instrText xml:space="preserve"> PAGEREF _Toc3454 \h </w:instrText>
          </w:r>
          <w:r>
            <w:fldChar w:fldCharType="separate"/>
          </w:r>
          <w:r>
            <w:t>54</w:t>
          </w:r>
          <w:r>
            <w:fldChar w:fldCharType="end"/>
          </w:r>
          <w:r>
            <w:fldChar w:fldCharType="end"/>
          </w:r>
        </w:p>
        <w:p>
          <w:pPr>
            <w:pStyle w:val="16"/>
            <w:tabs>
              <w:tab w:val="right" w:leader="dot" w:pos="9746"/>
            </w:tabs>
          </w:pPr>
          <w:r>
            <w:fldChar w:fldCharType="begin"/>
          </w:r>
          <w:r>
            <w:instrText xml:space="preserve"> HYPERLINK \l _Toc7484 </w:instrText>
          </w:r>
          <w:r>
            <w:fldChar w:fldCharType="separate"/>
          </w:r>
          <w:r>
            <w:rPr>
              <w:rFonts w:hint="eastAsia" w:ascii="宋体" w:eastAsia="宋体" w:cs="宋体"/>
              <w:bCs/>
              <w:szCs w:val="28"/>
              <w:lang w:eastAsia="zh-CN"/>
            </w:rPr>
            <w:t>十九、项目实施方案、质量保证及售后服务承诺等</w:t>
          </w:r>
          <w:r>
            <w:tab/>
          </w:r>
          <w:r>
            <w:fldChar w:fldCharType="begin"/>
          </w:r>
          <w:r>
            <w:instrText xml:space="preserve"> PAGEREF _Toc7484 \h </w:instrText>
          </w:r>
          <w:r>
            <w:fldChar w:fldCharType="separate"/>
          </w:r>
          <w:r>
            <w:t>55</w:t>
          </w:r>
          <w:r>
            <w:fldChar w:fldCharType="end"/>
          </w:r>
          <w:r>
            <w:fldChar w:fldCharType="end"/>
          </w:r>
        </w:p>
        <w:p>
          <w:pPr>
            <w:pStyle w:val="16"/>
            <w:tabs>
              <w:tab w:val="right" w:leader="dot" w:pos="9746"/>
            </w:tabs>
          </w:pPr>
          <w:r>
            <w:fldChar w:fldCharType="begin"/>
          </w:r>
          <w:r>
            <w:instrText xml:space="preserve"> HYPERLINK \l _Toc27268 </w:instrText>
          </w:r>
          <w:r>
            <w:fldChar w:fldCharType="separate"/>
          </w:r>
          <w:r>
            <w:rPr>
              <w:rFonts w:hint="eastAsia" w:ascii="宋体" w:eastAsia="宋体" w:cs="宋体"/>
              <w:bCs/>
              <w:szCs w:val="28"/>
              <w:lang w:eastAsia="zh-CN"/>
            </w:rPr>
            <w:t>二十、供应商业绩情况表</w:t>
          </w:r>
          <w:r>
            <w:tab/>
          </w:r>
          <w:r>
            <w:fldChar w:fldCharType="begin"/>
          </w:r>
          <w:r>
            <w:instrText xml:space="preserve"> PAGEREF _Toc27268 \h </w:instrText>
          </w:r>
          <w:r>
            <w:fldChar w:fldCharType="separate"/>
          </w:r>
          <w:r>
            <w:t>56</w:t>
          </w:r>
          <w:r>
            <w:fldChar w:fldCharType="end"/>
          </w:r>
          <w:r>
            <w:fldChar w:fldCharType="end"/>
          </w:r>
        </w:p>
        <w:p>
          <w:pPr>
            <w:pStyle w:val="16"/>
            <w:tabs>
              <w:tab w:val="right" w:leader="dot" w:pos="9746"/>
            </w:tabs>
          </w:pPr>
          <w:r>
            <w:fldChar w:fldCharType="begin"/>
          </w:r>
          <w:r>
            <w:instrText xml:space="preserve"> HYPERLINK \l _Toc26135 </w:instrText>
          </w:r>
          <w:r>
            <w:fldChar w:fldCharType="separate"/>
          </w:r>
          <w:r>
            <w:rPr>
              <w:rFonts w:hint="eastAsia" w:ascii="宋体" w:eastAsia="宋体" w:cs="宋体"/>
              <w:bCs/>
              <w:szCs w:val="28"/>
              <w:lang w:eastAsia="zh-CN"/>
            </w:rPr>
            <w:t>二十一、其他证明材料</w:t>
          </w:r>
          <w:r>
            <w:tab/>
          </w:r>
          <w:r>
            <w:fldChar w:fldCharType="begin"/>
          </w:r>
          <w:r>
            <w:instrText xml:space="preserve"> PAGEREF _Toc26135 \h </w:instrText>
          </w:r>
          <w:r>
            <w:fldChar w:fldCharType="separate"/>
          </w:r>
          <w:r>
            <w:t>57</w:t>
          </w:r>
          <w:r>
            <w:fldChar w:fldCharType="end"/>
          </w:r>
          <w:r>
            <w:fldChar w:fldCharType="end"/>
          </w:r>
        </w:p>
        <w:p>
          <w:r>
            <w:fldChar w:fldCharType="end"/>
          </w:r>
        </w:p>
      </w:sdtContent>
    </w:sdt>
    <w:p/>
    <w:p>
      <w:pPr>
        <w:kinsoku/>
        <w:spacing w:line="360" w:lineRule="auto"/>
        <w:ind w:firstLine="562" w:firstLineChars="200"/>
        <w:jc w:val="center"/>
        <w:outlineLvl w:val="0"/>
        <w:rPr>
          <w:rFonts w:hint="eastAsia" w:ascii="宋体" w:eastAsia="宋体" w:cs="宋体"/>
          <w:b/>
          <w:bCs/>
          <w:color w:val="auto"/>
          <w:sz w:val="28"/>
          <w:szCs w:val="28"/>
          <w:lang w:eastAsia="zh-CN"/>
        </w:rPr>
        <w:sectPr>
          <w:headerReference r:id="rId4" w:type="default"/>
          <w:footerReference r:id="rId5"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0" w:name="_Toc18271"/>
      <w:r>
        <w:rPr>
          <w:rFonts w:hint="eastAsia" w:ascii="宋体" w:eastAsia="宋体" w:cs="宋体"/>
          <w:b/>
          <w:bCs/>
          <w:color w:val="auto"/>
          <w:sz w:val="28"/>
          <w:szCs w:val="28"/>
          <w:lang w:eastAsia="zh-CN"/>
        </w:rPr>
        <w:t>第一章  磋商邀请</w:t>
      </w:r>
      <w:bookmarkEnd w:id="0"/>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赤峰鸿途项目管理有限公司受赤峰市生态环境局喀喇沁旗分局委托，采用竞争性磋商方式组织采购赤峰市生态环境局喀喇沁旗分局2026年建设项目环评审批技术评估项目，欢迎符合资格条件的供应商前来参加。</w:t>
      </w:r>
    </w:p>
    <w:p>
      <w:pPr>
        <w:kinsoku/>
        <w:spacing w:line="360" w:lineRule="auto"/>
        <w:ind w:firstLine="481" w:firstLineChars="200"/>
        <w:outlineLvl w:val="1"/>
        <w:rPr>
          <w:rFonts w:ascii="宋体" w:eastAsia="宋体" w:cs="宋体"/>
          <w:b/>
          <w:bCs/>
          <w:color w:val="auto"/>
          <w:sz w:val="24"/>
          <w:szCs w:val="24"/>
          <w:lang w:eastAsia="zh-CN"/>
        </w:rPr>
      </w:pPr>
      <w:bookmarkStart w:id="1" w:name="_Toc24657"/>
      <w:r>
        <w:rPr>
          <w:rFonts w:hint="eastAsia" w:ascii="宋体" w:eastAsia="宋体" w:cs="宋体"/>
          <w:b/>
          <w:bCs/>
          <w:color w:val="auto"/>
          <w:sz w:val="24"/>
          <w:szCs w:val="24"/>
          <w:lang w:eastAsia="zh-CN"/>
        </w:rPr>
        <w:t>一、项目概述</w:t>
      </w:r>
      <w:bookmarkEnd w:id="1"/>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1.名称与编号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项目名称：赤峰市生态环境局喀喇沁旗分局2026年建设项目环评审批技术评估项目</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项目编号：【2026】HT-CS-018</w:t>
      </w:r>
    </w:p>
    <w:p>
      <w:pPr>
        <w:numPr>
          <w:ilvl w:val="0"/>
          <w:numId w:val="0"/>
        </w:numPr>
        <w:kinsoku/>
        <w:spacing w:line="360" w:lineRule="auto"/>
        <w:ind w:firstLine="480" w:firstLineChars="200"/>
        <w:rPr>
          <w:rFonts w:hint="eastAsia" w:ascii="宋体" w:eastAsia="宋体" w:cs="宋体"/>
          <w:color w:val="auto"/>
          <w:sz w:val="24"/>
          <w:szCs w:val="24"/>
        </w:rPr>
      </w:pPr>
      <w:r>
        <w:rPr>
          <w:rFonts w:hint="eastAsia" w:ascii="宋体" w:hAnsi="Arial" w:eastAsia="宋体" w:cs="宋体"/>
          <w:color w:val="auto"/>
          <w:sz w:val="24"/>
          <w:szCs w:val="24"/>
          <w:lang w:val="en-US" w:eastAsia="en-US" w:bidi="ar-SA"/>
        </w:rPr>
        <w:t>2.</w:t>
      </w:r>
      <w:r>
        <w:rPr>
          <w:rFonts w:hint="eastAsia" w:ascii="宋体" w:eastAsia="宋体" w:cs="宋体"/>
          <w:color w:val="auto"/>
          <w:sz w:val="24"/>
          <w:szCs w:val="24"/>
        </w:rPr>
        <w:t>内容及划分采购包情况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采购包</w:t>
      </w:r>
      <w:r>
        <w:rPr>
          <w:rFonts w:hint="eastAsia" w:ascii="宋体" w:hAnsi="宋体" w:eastAsia="宋体" w:cs="宋体"/>
          <w:color w:val="auto"/>
          <w:spacing w:val="0"/>
          <w:w w:val="100"/>
          <w:sz w:val="24"/>
          <w:szCs w:val="24"/>
          <w:lang w:val="en-US" w:eastAsia="zh-CN"/>
        </w:rPr>
        <w:t>1：赤峰市生态环境局喀喇沁旗分局2026年建设项目环评审批技术评估项目</w:t>
      </w:r>
    </w:p>
    <w:p>
      <w:pPr>
        <w:numPr>
          <w:ilvl w:val="0"/>
          <w:numId w:val="0"/>
        </w:numPr>
        <w:ind w:firstLine="480" w:firstLineChars="200"/>
        <w:outlineLvl w:val="9"/>
        <w:rPr>
          <w:rFonts w:hint="default"/>
          <w:color w:val="auto"/>
          <w:highlight w:val="none"/>
          <w:lang w:val="en-US"/>
        </w:rPr>
      </w:pPr>
      <w:r>
        <w:rPr>
          <w:rFonts w:hint="eastAsia" w:ascii="宋体" w:hAnsi="宋体" w:eastAsia="宋体" w:cs="宋体"/>
          <w:color w:val="auto"/>
          <w:spacing w:val="0"/>
          <w:w w:val="100"/>
          <w:sz w:val="24"/>
          <w:szCs w:val="24"/>
          <w:lang w:eastAsia="zh-CN"/>
        </w:rPr>
        <w:t>采购包预算金额（元）:</w:t>
      </w:r>
      <w:r>
        <w:rPr>
          <w:rFonts w:hint="eastAsia" w:ascii="宋体" w:hAnsi="宋体" w:eastAsia="宋体" w:cs="宋体"/>
          <w:color w:val="auto"/>
          <w:spacing w:val="0"/>
          <w:w w:val="100"/>
          <w:sz w:val="24"/>
          <w:szCs w:val="24"/>
          <w:highlight w:val="none"/>
          <w:lang w:val="en-US" w:eastAsia="zh-CN"/>
        </w:rPr>
        <w:t>64000.00</w:t>
      </w:r>
    </w:p>
    <w:tbl>
      <w:tblPr>
        <w:tblStyle w:val="21"/>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序号</w:t>
            </w:r>
          </w:p>
        </w:tc>
        <w:tc>
          <w:tcPr>
            <w:tcW w:w="1883" w:type="dxa"/>
            <w:vAlign w:val="center"/>
          </w:tcPr>
          <w:p>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标的名称</w:t>
            </w:r>
          </w:p>
        </w:tc>
        <w:tc>
          <w:tcPr>
            <w:tcW w:w="947" w:type="dxa"/>
            <w:vAlign w:val="center"/>
          </w:tcPr>
          <w:p>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数量</w:t>
            </w:r>
          </w:p>
        </w:tc>
        <w:tc>
          <w:tcPr>
            <w:tcW w:w="882"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1960"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技术规格、参数及要求</w:t>
            </w:r>
          </w:p>
        </w:tc>
        <w:tc>
          <w:tcPr>
            <w:tcW w:w="1477"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标的预算</w:t>
            </w:r>
            <w:r>
              <w:rPr>
                <w:rFonts w:hint="eastAsia" w:ascii="宋体" w:hAnsi="宋体" w:eastAsia="宋体" w:cs="宋体"/>
                <w:b/>
                <w:bCs/>
                <w:color w:val="auto"/>
                <w:highlight w:val="none"/>
              </w:rPr>
              <w:t>（元）</w:t>
            </w:r>
          </w:p>
        </w:tc>
        <w:tc>
          <w:tcPr>
            <w:tcW w:w="1436"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pPr>
              <w:pStyle w:val="40"/>
              <w:ind w:left="0" w:leftChars="0" w:right="0" w:rightChars="0" w:firstLine="0" w:firstLineChars="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p>
        </w:tc>
        <w:tc>
          <w:tcPr>
            <w:tcW w:w="1883"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环评审批技术评估服务</w:t>
            </w:r>
          </w:p>
        </w:tc>
        <w:tc>
          <w:tcPr>
            <w:tcW w:w="947"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p>
        </w:tc>
        <w:tc>
          <w:tcPr>
            <w:tcW w:w="882"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w:t>
            </w:r>
          </w:p>
        </w:tc>
        <w:tc>
          <w:tcPr>
            <w:tcW w:w="1960"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详见采购文件</w:t>
            </w:r>
          </w:p>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第三章</w:t>
            </w:r>
          </w:p>
        </w:tc>
        <w:tc>
          <w:tcPr>
            <w:tcW w:w="1477" w:type="dxa"/>
            <w:shd w:val="clear" w:color="auto" w:fill="auto"/>
            <w:vAlign w:val="center"/>
          </w:tcPr>
          <w:p>
            <w:pPr>
              <w:keepNext w:val="0"/>
              <w:keepLines w:val="0"/>
              <w:widowControl/>
              <w:suppressLineNumbers w:val="0"/>
              <w:jc w:val="center"/>
              <w:rPr>
                <w:rFonts w:hint="default" w:ascii="宋体" w:hAnsi="宋体" w:eastAsia="宋体" w:cs="宋体"/>
                <w:b w:val="0"/>
                <w:bCs w:val="0"/>
                <w:color w:val="auto"/>
                <w:highlight w:val="none"/>
                <w:lang w:val="en-US" w:eastAsia="zh-CN"/>
              </w:rPr>
            </w:pPr>
            <w:r>
              <w:rPr>
                <w:rFonts w:hint="eastAsia" w:ascii="宋体" w:hAnsi="宋体" w:eastAsia="宋体" w:cs="宋体"/>
                <w:color w:val="auto"/>
                <w:spacing w:val="0"/>
                <w:w w:val="100"/>
                <w:sz w:val="24"/>
                <w:szCs w:val="24"/>
                <w:highlight w:val="none"/>
                <w:lang w:val="en-US" w:eastAsia="zh-CN"/>
              </w:rPr>
              <w:t>64000.00</w:t>
            </w:r>
          </w:p>
        </w:tc>
        <w:tc>
          <w:tcPr>
            <w:tcW w:w="1436" w:type="dxa"/>
            <w:shd w:val="clear" w:color="auto" w:fill="auto"/>
            <w:vAlign w:val="center"/>
          </w:tcPr>
          <w:p>
            <w:pPr>
              <w:pStyle w:val="40"/>
              <w:ind w:left="0" w:leftChars="0" w:right="0" w:righ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21"/>
                <w:szCs w:val="21"/>
                <w:highlight w:val="none"/>
                <w:lang w:eastAsia="zh-CN"/>
              </w:rPr>
              <w:t>其他未列明行业</w:t>
            </w:r>
          </w:p>
        </w:tc>
      </w:tr>
    </w:tbl>
    <w:p>
      <w:pPr>
        <w:kinsoku/>
        <w:spacing w:before="240" w:beforeLines="100" w:line="360" w:lineRule="auto"/>
        <w:ind w:firstLine="481" w:firstLineChars="200"/>
        <w:outlineLvl w:val="1"/>
        <w:rPr>
          <w:rFonts w:ascii="宋体" w:eastAsia="宋体" w:cs="宋体"/>
          <w:color w:val="auto"/>
          <w:sz w:val="24"/>
          <w:szCs w:val="24"/>
        </w:rPr>
      </w:pPr>
      <w:bookmarkStart w:id="2" w:name="_Toc1371"/>
      <w:r>
        <w:rPr>
          <w:rFonts w:hint="eastAsia" w:ascii="宋体" w:eastAsia="宋体" w:cs="宋体"/>
          <w:b/>
          <w:bCs/>
          <w:color w:val="auto"/>
          <w:sz w:val="24"/>
          <w:szCs w:val="24"/>
        </w:rPr>
        <w:t>二、供应商的资格要求</w:t>
      </w:r>
      <w:bookmarkEnd w:id="2"/>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1.供应商应符合《中华人民共和国政府采购法》第二十二条规定的条件。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2.资格审查时，供应商未被列入失信被执行人、重大税收违法失信主体名单、政府采购严重违法失信行为记录名单，相关信用情况通过“信用中国”网站、中国政府采购网等渠道查询。</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3.落实政府采购政策需满足的资格要求：</w:t>
      </w:r>
      <w:r>
        <w:rPr>
          <w:rFonts w:hint="eastAsia" w:ascii="宋体" w:hAnsi="宋体" w:eastAsia="宋体" w:cs="宋体"/>
          <w:color w:val="auto"/>
          <w:spacing w:val="0"/>
          <w:w w:val="100"/>
          <w:sz w:val="24"/>
          <w:szCs w:val="24"/>
          <w:highlight w:val="none"/>
        </w:rPr>
        <w:t>本项目专门面向中小企业采购,</w:t>
      </w: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应为符合政策要求的中小微企业、监狱企业或残疾人福利性单位。</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4.本项目的特定资格要求：</w:t>
      </w:r>
      <w:r>
        <w:rPr>
          <w:rFonts w:hint="eastAsia" w:ascii="宋体" w:eastAsia="宋体" w:cs="宋体"/>
          <w:color w:val="auto"/>
          <w:sz w:val="24"/>
          <w:szCs w:val="24"/>
          <w:lang w:val="en-US" w:eastAsia="zh-CN"/>
        </w:rPr>
        <w:t>无</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b w:val="0"/>
          <w:bCs w:val="0"/>
          <w:color w:val="auto"/>
          <w:sz w:val="24"/>
          <w:szCs w:val="24"/>
          <w:lang w:eastAsia="zh-CN"/>
        </w:rPr>
        <w:t>5.本项目不接受联合体投标。</w:t>
      </w:r>
    </w:p>
    <w:p>
      <w:pPr>
        <w:kinsoku/>
        <w:spacing w:line="360" w:lineRule="auto"/>
        <w:ind w:firstLine="481" w:firstLineChars="200"/>
        <w:outlineLvl w:val="1"/>
        <w:rPr>
          <w:rFonts w:ascii="宋体" w:eastAsia="宋体" w:cs="宋体"/>
          <w:color w:val="auto"/>
          <w:sz w:val="24"/>
          <w:szCs w:val="24"/>
          <w:lang w:eastAsia="zh-CN"/>
        </w:rPr>
      </w:pPr>
      <w:bookmarkStart w:id="3" w:name="_Toc18062"/>
      <w:r>
        <w:rPr>
          <w:rFonts w:hint="eastAsia" w:ascii="宋体" w:eastAsia="宋体" w:cs="宋体"/>
          <w:b/>
          <w:bCs/>
          <w:color w:val="auto"/>
          <w:sz w:val="24"/>
          <w:szCs w:val="24"/>
          <w:lang w:eastAsia="zh-CN"/>
        </w:rPr>
        <w:t>三、获取磋商文件的时间、地点、方式</w:t>
      </w:r>
      <w:bookmarkEnd w:id="3"/>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1" w:firstLineChars="200"/>
        <w:outlineLvl w:val="1"/>
        <w:rPr>
          <w:rFonts w:ascii="宋体" w:eastAsia="宋体" w:cs="宋体"/>
          <w:color w:val="auto"/>
          <w:sz w:val="24"/>
          <w:szCs w:val="24"/>
          <w:lang w:eastAsia="zh-CN"/>
        </w:rPr>
      </w:pPr>
      <w:bookmarkStart w:id="4" w:name="_Toc12846"/>
      <w:r>
        <w:rPr>
          <w:rFonts w:hint="eastAsia" w:ascii="宋体" w:eastAsia="宋体" w:cs="宋体"/>
          <w:b/>
          <w:bCs/>
          <w:color w:val="auto"/>
          <w:sz w:val="24"/>
          <w:szCs w:val="24"/>
          <w:lang w:eastAsia="zh-CN"/>
        </w:rPr>
        <w:t>四、磋商文件售价</w:t>
      </w:r>
      <w:bookmarkEnd w:id="4"/>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本次磋商文件的售价为0元人民币。</w:t>
      </w:r>
    </w:p>
    <w:p>
      <w:pPr>
        <w:kinsoku/>
        <w:spacing w:line="360" w:lineRule="auto"/>
        <w:ind w:firstLine="481" w:firstLineChars="200"/>
        <w:outlineLvl w:val="1"/>
        <w:rPr>
          <w:rFonts w:ascii="宋体" w:eastAsia="宋体" w:cs="宋体"/>
          <w:color w:val="auto"/>
          <w:sz w:val="24"/>
          <w:szCs w:val="24"/>
          <w:lang w:eastAsia="zh-CN"/>
        </w:rPr>
      </w:pPr>
      <w:bookmarkStart w:id="5" w:name="_Toc24850"/>
      <w:r>
        <w:rPr>
          <w:rFonts w:hint="eastAsia" w:ascii="宋体" w:eastAsia="宋体" w:cs="宋体"/>
          <w:b/>
          <w:bCs/>
          <w:color w:val="auto"/>
          <w:sz w:val="24"/>
          <w:szCs w:val="24"/>
          <w:lang w:eastAsia="zh-CN"/>
        </w:rPr>
        <w:t>五、响应文件提交的截止时间、开启时间和地点</w:t>
      </w:r>
      <w:bookmarkEnd w:id="5"/>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1" w:firstLineChars="200"/>
        <w:outlineLvl w:val="1"/>
        <w:rPr>
          <w:rFonts w:ascii="宋体" w:eastAsia="宋体" w:cs="宋体"/>
          <w:color w:val="auto"/>
          <w:sz w:val="24"/>
          <w:szCs w:val="24"/>
          <w:lang w:eastAsia="zh-CN"/>
        </w:rPr>
      </w:pPr>
      <w:bookmarkStart w:id="6" w:name="_Toc16586"/>
      <w:r>
        <w:rPr>
          <w:rFonts w:hint="eastAsia" w:ascii="宋体" w:eastAsia="宋体" w:cs="宋体"/>
          <w:b/>
          <w:bCs/>
          <w:color w:val="auto"/>
          <w:sz w:val="24"/>
          <w:szCs w:val="24"/>
          <w:lang w:eastAsia="zh-CN"/>
        </w:rPr>
        <w:t>六、联系方式</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赤峰市生态环境局喀喇沁旗分局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址：喀喇沁旗锦山镇锦南大街165号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联系方式：汪浩</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15847386657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赤峰鸿途项目管理有限公司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址：内蒙古自治区赤峰市松山区上海城1-7-07018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联系方式：王工 0476-</w:t>
      </w:r>
      <w:r>
        <w:rPr>
          <w:rFonts w:hint="eastAsia" w:ascii="宋体" w:hAnsi="宋体" w:eastAsia="宋体" w:cs="宋体"/>
          <w:color w:val="auto"/>
          <w:sz w:val="24"/>
          <w:szCs w:val="24"/>
          <w:lang w:eastAsia="zh-CN"/>
        </w:rPr>
        <w:t>5974147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王</w:t>
      </w:r>
      <w:r>
        <w:rPr>
          <w:rFonts w:hint="eastAsia" w:ascii="宋体" w:hAnsi="宋体" w:eastAsia="宋体" w:cs="宋体"/>
          <w:color w:val="auto"/>
          <w:sz w:val="24"/>
          <w:szCs w:val="24"/>
          <w:lang w:val="en-US" w:eastAsia="zh-CN"/>
        </w:rPr>
        <w:t>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lang w:val="en-US" w:eastAsia="zh-CN"/>
        </w:rPr>
        <w:t>0476-5974147</w:t>
      </w:r>
    </w:p>
    <w:p>
      <w:pPr>
        <w:kinsoku/>
        <w:spacing w:line="360" w:lineRule="auto"/>
        <w:rPr>
          <w:rFonts w:ascii="宋体" w:eastAsia="宋体" w:cs="宋体"/>
          <w:color w:val="auto"/>
          <w:sz w:val="24"/>
          <w:szCs w:val="24"/>
          <w:lang w:eastAsia="zh-CN"/>
        </w:rPr>
      </w:pPr>
    </w:p>
    <w:p>
      <w:pPr>
        <w:pStyle w:val="9"/>
        <w:rPr>
          <w:rFonts w:ascii="宋体" w:eastAsia="宋体" w:cs="宋体"/>
          <w:color w:val="auto"/>
          <w:sz w:val="24"/>
          <w:szCs w:val="24"/>
          <w:lang w:eastAsia="zh-CN"/>
        </w:rPr>
      </w:pPr>
    </w:p>
    <w:p>
      <w:pPr>
        <w:pStyle w:val="10"/>
        <w:rPr>
          <w:rFonts w:asci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515" w:firstLineChars="2150"/>
        <w:textAlignment w:val="auto"/>
        <w:rPr>
          <w:rFonts w:hint="eastAsia" w:eastAsia="宋体" w:cs="Times New Roman"/>
          <w:color w:val="auto"/>
        </w:rPr>
      </w:pPr>
      <w:r>
        <w:rPr>
          <w:rFonts w:hint="eastAsia" w:eastAsia="宋体" w:cs="Times New Roman"/>
          <w:color w:val="auto"/>
        </w:rPr>
        <w:t>赤峰鸿途项目管理有限公司</w:t>
      </w:r>
    </w:p>
    <w:p>
      <w:pPr>
        <w:pStyle w:val="2"/>
        <w:rPr>
          <w:rFonts w:hint="default" w:eastAsia="宋体"/>
          <w:lang w:val="en-US" w:eastAsia="zh-CN"/>
        </w:rPr>
      </w:pPr>
      <w:r>
        <w:rPr>
          <w:rFonts w:hint="default" w:cs="Times New Roman"/>
          <w:color w:val="auto"/>
          <w:lang w:val="en"/>
        </w:rPr>
        <w:t xml:space="preserve">                                          </w:t>
      </w:r>
      <w:r>
        <w:rPr>
          <w:rFonts w:hint="eastAsia" w:eastAsia="宋体" w:cs="Times New Roman"/>
          <w:color w:val="auto"/>
          <w:lang w:val="en-US" w:eastAsia="zh-CN"/>
        </w:rPr>
        <w:t xml:space="preserve">                                   </w:t>
      </w:r>
      <w:r>
        <w:rPr>
          <w:rFonts w:hint="default" w:cs="Times New Roman"/>
          <w:color w:val="auto"/>
          <w:lang w:val="en"/>
        </w:rPr>
        <w:t xml:space="preserve">    2026</w:t>
      </w:r>
      <w:r>
        <w:rPr>
          <w:rFonts w:hint="eastAsia" w:cs="Times New Roman"/>
          <w:color w:val="auto"/>
          <w:lang w:val="en" w:eastAsia="zh-CN"/>
        </w:rPr>
        <w:t>年</w:t>
      </w:r>
      <w:r>
        <w:rPr>
          <w:rFonts w:hint="eastAsia" w:cs="Times New Roman"/>
          <w:color w:val="auto"/>
          <w:lang w:val="en-US" w:eastAsia="zh-CN"/>
        </w:rPr>
        <w:t>4月15日</w:t>
      </w:r>
    </w:p>
    <w:p>
      <w:pPr>
        <w:pStyle w:val="11"/>
        <w:rPr>
          <w:lang w:eastAsia="zh-CN"/>
        </w:rPr>
        <w:sectPr>
          <w:footerReference r:id="rId6"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7" w:name="_Toc22380"/>
      <w:r>
        <w:rPr>
          <w:rFonts w:hint="eastAsia" w:ascii="宋体" w:eastAsia="宋体" w:cs="宋体"/>
          <w:b/>
          <w:bCs/>
          <w:color w:val="auto"/>
          <w:sz w:val="28"/>
          <w:szCs w:val="28"/>
          <w:lang w:eastAsia="zh-CN"/>
        </w:rPr>
        <w:t>第二章  供应商须知</w:t>
      </w:r>
      <w:bookmarkEnd w:id="7"/>
    </w:p>
    <w:p>
      <w:pPr>
        <w:kinsoku/>
        <w:spacing w:line="360" w:lineRule="auto"/>
        <w:ind w:firstLine="481" w:firstLineChars="200"/>
        <w:outlineLvl w:val="1"/>
        <w:rPr>
          <w:rFonts w:ascii="宋体" w:eastAsia="宋体" w:cs="宋体"/>
          <w:color w:val="auto"/>
          <w:sz w:val="24"/>
          <w:szCs w:val="24"/>
        </w:rPr>
      </w:pPr>
      <w:bookmarkStart w:id="8" w:name="_Toc16727"/>
      <w:r>
        <w:rPr>
          <w:rFonts w:hint="eastAsia" w:ascii="宋体" w:eastAsia="宋体" w:cs="宋体"/>
          <w:b/>
          <w:bCs/>
          <w:color w:val="auto"/>
          <w:sz w:val="24"/>
          <w:szCs w:val="24"/>
        </w:rPr>
        <w:t>一、前附表</w:t>
      </w:r>
      <w:bookmarkEnd w:id="8"/>
    </w:p>
    <w:tbl>
      <w:tblPr>
        <w:tblStyle w:val="21"/>
        <w:tblW w:w="9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3657"/>
        <w:gridCol w:w="5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bookmarkStart w:id="9" w:name="_Toc19600"/>
            <w:r>
              <w:rPr>
                <w:rFonts w:hint="eastAsia" w:ascii="宋体" w:eastAsia="宋体" w:cs="宋体"/>
                <w:color w:val="auto"/>
                <w:sz w:val="24"/>
                <w:szCs w:val="24"/>
              </w:rPr>
              <w:t>序号</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事项</w:t>
            </w:r>
          </w:p>
        </w:tc>
        <w:tc>
          <w:tcPr>
            <w:tcW w:w="505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划分采购包情况</w:t>
            </w:r>
          </w:p>
        </w:tc>
        <w:tc>
          <w:tcPr>
            <w:tcW w:w="5051"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共</w:t>
            </w:r>
            <w:r>
              <w:rPr>
                <w:rFonts w:hint="eastAsia" w:ascii="宋体" w:eastAsia="宋体" w:cs="宋体"/>
                <w:color w:val="auto"/>
                <w:sz w:val="24"/>
                <w:szCs w:val="24"/>
                <w:lang w:val="en-US" w:eastAsia="zh-CN"/>
              </w:rPr>
              <w:t xml:space="preserve"> 1 </w:t>
            </w:r>
            <w:r>
              <w:rPr>
                <w:rFonts w:hint="eastAsia" w:ascii="宋体" w:eastAsia="宋体" w:cs="宋体"/>
                <w:color w:val="auto"/>
                <w:sz w:val="24"/>
                <w:szCs w:val="24"/>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2</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采购方式</w:t>
            </w:r>
          </w:p>
        </w:tc>
        <w:tc>
          <w:tcPr>
            <w:tcW w:w="5051"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3</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开启方式</w:t>
            </w:r>
          </w:p>
        </w:tc>
        <w:tc>
          <w:tcPr>
            <w:tcW w:w="5051"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远程开启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4</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评审方式</w:t>
            </w:r>
          </w:p>
        </w:tc>
        <w:tc>
          <w:tcPr>
            <w:tcW w:w="5051"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现场网上评审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5</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评审方法</w:t>
            </w:r>
          </w:p>
        </w:tc>
        <w:tc>
          <w:tcPr>
            <w:tcW w:w="5051" w:type="dxa"/>
            <w:tcBorders>
              <w:tl2br w:val="nil"/>
              <w:tr2bl w:val="nil"/>
            </w:tcBorders>
            <w:shd w:val="clear" w:color="auto" w:fill="auto"/>
            <w:vAlign w:val="center"/>
          </w:tcPr>
          <w:p>
            <w:pPr>
              <w:kinsoku/>
              <w:spacing w:line="360" w:lineRule="auto"/>
              <w:jc w:val="both"/>
              <w:rPr>
                <w:color w:val="auto"/>
              </w:rPr>
            </w:pPr>
            <w:r>
              <w:rPr>
                <w:rFonts w:hint="eastAsia" w:ascii="宋体" w:eastAsia="宋体" w:cs="宋体"/>
                <w:color w:val="auto"/>
                <w:sz w:val="24"/>
                <w:szCs w:val="24"/>
                <w:lang w:eastAsia="zh-CN"/>
              </w:rPr>
              <w:t>采购包</w:t>
            </w:r>
            <w:r>
              <w:rPr>
                <w:rFonts w:hint="eastAsia" w:ascii="宋体" w:eastAsia="宋体" w:cs="宋体"/>
                <w:color w:val="auto"/>
                <w:sz w:val="24"/>
                <w:szCs w:val="24"/>
                <w:lang w:val="en-US" w:eastAsia="zh-CN"/>
              </w:rPr>
              <w:t>1：</w:t>
            </w:r>
            <w:r>
              <w:rPr>
                <w:rFonts w:hint="eastAsia" w:ascii="宋体" w:eastAsia="宋体" w:cs="宋体"/>
                <w:color w:val="auto"/>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成交人确定</w:t>
            </w:r>
          </w:p>
        </w:tc>
        <w:tc>
          <w:tcPr>
            <w:tcW w:w="5051"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采购人授权评审小组按照评审原则直接确定成交供应商。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7</w:t>
            </w:r>
          </w:p>
        </w:tc>
        <w:tc>
          <w:tcPr>
            <w:tcW w:w="3657"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rPr>
              <w:t>报价形式</w:t>
            </w:r>
          </w:p>
        </w:tc>
        <w:tc>
          <w:tcPr>
            <w:tcW w:w="5051" w:type="dxa"/>
            <w:tcBorders>
              <w:tl2br w:val="nil"/>
              <w:tr2bl w:val="nil"/>
            </w:tcBorders>
            <w:shd w:val="clear" w:color="auto" w:fill="auto"/>
            <w:vAlign w:val="center"/>
          </w:tcPr>
          <w:p>
            <w:pPr>
              <w:kinsoku/>
              <w:spacing w:line="360" w:lineRule="auto"/>
              <w:jc w:val="both"/>
              <w:rPr>
                <w:rFonts w:hint="default" w:ascii="宋体" w:hAnsi="Arial" w:eastAsia="宋体" w:cs="宋体"/>
                <w:color w:val="auto"/>
                <w:sz w:val="24"/>
                <w:szCs w:val="24"/>
                <w:lang w:val="en-US" w:eastAsia="zh-CN" w:bidi="ar-SA"/>
              </w:rPr>
            </w:pPr>
            <w:r>
              <w:rPr>
                <w:rFonts w:hint="eastAsia" w:ascii="宋体" w:hAnsi="宋体" w:eastAsia="宋体" w:cs="宋体"/>
                <w:color w:val="auto"/>
                <w:spacing w:val="0"/>
                <w:w w:val="100"/>
                <w:sz w:val="24"/>
                <w:szCs w:val="24"/>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8</w:t>
            </w:r>
          </w:p>
        </w:tc>
        <w:tc>
          <w:tcPr>
            <w:tcW w:w="3657"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磋商保证金</w:t>
            </w:r>
          </w:p>
        </w:tc>
        <w:tc>
          <w:tcPr>
            <w:tcW w:w="5051"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磋商保证金金额：本项目不收取</w:t>
            </w:r>
          </w:p>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eastAsia="zh-CN"/>
              </w:rPr>
              <w:t>磋商</w:t>
            </w:r>
            <w:r>
              <w:rPr>
                <w:rFonts w:hint="eastAsia" w:ascii="宋体" w:eastAsia="宋体" w:cs="宋体"/>
                <w:color w:val="auto"/>
                <w:sz w:val="24"/>
                <w:szCs w:val="24"/>
              </w:rPr>
              <w:t>保证金缴纳截止时间</w:t>
            </w: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9</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电子</w:t>
            </w:r>
            <w:r>
              <w:rPr>
                <w:rFonts w:hint="eastAsia" w:ascii="宋体" w:eastAsia="宋体" w:cs="宋体"/>
                <w:color w:val="auto"/>
                <w:sz w:val="24"/>
                <w:szCs w:val="24"/>
              </w:rPr>
              <w:t>响应文件提交</w:t>
            </w:r>
          </w:p>
        </w:tc>
        <w:tc>
          <w:tcPr>
            <w:tcW w:w="5051"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rPr>
            </w:pPr>
            <w:r>
              <w:rPr>
                <w:rFonts w:hint="eastAsia" w:ascii="宋体" w:eastAsia="宋体" w:cs="宋体"/>
                <w:color w:val="auto"/>
                <w:sz w:val="24"/>
                <w:szCs w:val="24"/>
              </w:rPr>
              <w:t>在响应文件提交截止时间前上传至“国资智采电子招投标交易平台（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p>
          <w:p>
            <w:pPr>
              <w:kinsoku/>
              <w:spacing w:line="360" w:lineRule="auto"/>
              <w:jc w:val="both"/>
              <w:rPr>
                <w:rFonts w:hint="eastAsia"/>
                <w:lang w:eastAsia="zh-CN"/>
              </w:rPr>
            </w:pPr>
            <w:r>
              <w:rPr>
                <w:rFonts w:hint="eastAsia" w:ascii="宋体" w:eastAsia="宋体" w:cs="宋体"/>
                <w:color w:val="auto"/>
                <w:sz w:val="24"/>
                <w:szCs w:val="24"/>
              </w:rPr>
              <w:t>技术支持电话：</w:t>
            </w:r>
            <w:r>
              <w:rPr>
                <w:rFonts w:hint="eastAsia" w:ascii="宋体" w:eastAsia="宋体" w:cs="宋体"/>
                <w:color w:val="auto"/>
                <w:sz w:val="24"/>
                <w:szCs w:val="24"/>
                <w:lang w:eastAsia="zh-CN"/>
              </w:rPr>
              <w:t>400-666-0654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10</w:t>
            </w:r>
          </w:p>
        </w:tc>
        <w:tc>
          <w:tcPr>
            <w:tcW w:w="3657"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响应文件数量</w:t>
            </w:r>
          </w:p>
        </w:tc>
        <w:tc>
          <w:tcPr>
            <w:tcW w:w="5051"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lang w:val="en-US" w:eastAsia="zh-CN"/>
              </w:rPr>
            </w:pPr>
            <w:r>
              <w:rPr>
                <w:rFonts w:hint="eastAsia" w:ascii="宋体" w:eastAsia="宋体" w:cs="宋体"/>
                <w:color w:val="auto"/>
                <w:sz w:val="24"/>
                <w:szCs w:val="24"/>
                <w:lang w:eastAsia="zh-CN"/>
              </w:rPr>
              <w:t>加密的电子响应文件1份</w:t>
            </w:r>
            <w:r>
              <w:rPr>
                <w:rFonts w:hint="eastAsia" w:ascii="宋体" w:eastAsia="宋体" w:cs="宋体"/>
                <w:color w:val="auto"/>
                <w:sz w:val="24"/>
                <w:szCs w:val="24"/>
                <w:lang w:val="en-US" w:eastAsia="zh-CN"/>
              </w:rPr>
              <w:t>(需</w:t>
            </w:r>
            <w:r>
              <w:rPr>
                <w:rFonts w:hint="eastAsia" w:ascii="宋体" w:eastAsia="宋体" w:cs="宋体"/>
                <w:color w:val="auto"/>
                <w:sz w:val="24"/>
                <w:szCs w:val="24"/>
              </w:rPr>
              <w:t>在响应文件提交截止时间前上传至“国资智采电子招投标交易平台</w:t>
            </w: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w:t>
            </w:r>
          </w:p>
          <w:p>
            <w:pPr>
              <w:pStyle w:val="2"/>
              <w:rPr>
                <w:rFonts w:hint="default"/>
                <w:b/>
                <w:bCs/>
                <w:lang w:val="en-US" w:eastAsia="zh-CN"/>
              </w:rPr>
            </w:pPr>
            <w:r>
              <w:rPr>
                <w:rFonts w:hint="default"/>
                <w:b/>
                <w:bCs/>
                <w:lang w:val="en-US" w:eastAsia="zh-CN"/>
              </w:rPr>
              <w:t>投标供应商须在本项目开标后3日内，递交与电子版响应文件一致的纸质版响应文件一式三份（一正二副），用于采购人留存档案。</w:t>
            </w:r>
          </w:p>
          <w:p>
            <w:pPr>
              <w:pStyle w:val="2"/>
              <w:rPr>
                <w:rFonts w:hint="default"/>
                <w:lang w:val="en-US" w:eastAsia="zh-CN"/>
              </w:rPr>
            </w:pPr>
            <w:r>
              <w:rPr>
                <w:rFonts w:hint="default"/>
                <w:b/>
                <w:bCs/>
                <w:lang w:val="en-US" w:eastAsia="zh-CN"/>
              </w:rPr>
              <w:t>纸质版响应文件邮寄到采购代理机构处，邮寄地址详</w:t>
            </w:r>
            <w:r>
              <w:rPr>
                <w:rFonts w:hint="eastAsia"/>
                <w:b/>
                <w:bCs/>
                <w:lang w:val="en-US" w:eastAsia="zh-CN"/>
              </w:rPr>
              <w:t>：赤峰市松山区金帝商务大厦A座2区四楼评标1室</w:t>
            </w:r>
            <w:r>
              <w:rPr>
                <w:rFonts w:hint="default"/>
                <w:b/>
                <w:bCs/>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11</w:t>
            </w:r>
          </w:p>
        </w:tc>
        <w:tc>
          <w:tcPr>
            <w:tcW w:w="3657"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lang w:eastAsia="zh-CN"/>
              </w:rPr>
              <w:t>电子响应文件签字、盖章要求</w:t>
            </w:r>
          </w:p>
        </w:tc>
        <w:tc>
          <w:tcPr>
            <w:tcW w:w="5051"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应按照第七章“响应文件格式与要求”，进行签字、加盖公章。</w:t>
            </w:r>
          </w:p>
          <w:p>
            <w:pPr>
              <w:pStyle w:val="2"/>
              <w:spacing w:line="360" w:lineRule="auto"/>
              <w:rPr>
                <w:rFonts w:hint="eastAsia" w:ascii="宋体" w:eastAsia="宋体" w:cs="宋体"/>
                <w:color w:val="auto"/>
                <w:sz w:val="24"/>
                <w:szCs w:val="24"/>
                <w:lang w:eastAsia="zh-CN"/>
              </w:rPr>
            </w:pPr>
            <w:r>
              <w:rPr>
                <w:rFonts w:hint="eastAsia" w:ascii="宋体" w:eastAsia="宋体" w:cs="宋体"/>
                <w:color w:val="auto"/>
                <w:sz w:val="24"/>
                <w:szCs w:val="24"/>
                <w:lang w:eastAsia="zh-CN"/>
              </w:rPr>
              <w:t>说明：若涉及到授权代表签字的可将文件签字页先进行签字、扫描后导入加密电子响应文件。</w:t>
            </w:r>
          </w:p>
          <w:p>
            <w:pPr>
              <w:spacing w:line="360" w:lineRule="auto"/>
              <w:rPr>
                <w:rFonts w:ascii="Arial" w:hAnsi="Arial" w:eastAsia="Arial" w:cs="Arial"/>
                <w:color w:val="auto"/>
                <w:sz w:val="21"/>
                <w:szCs w:val="21"/>
                <w:lang w:val="en-US" w:eastAsia="zh-CN" w:bidi="ar-SA"/>
              </w:rPr>
            </w:pPr>
            <w:r>
              <w:rPr>
                <w:rFonts w:hint="eastAsia" w:ascii="宋体" w:eastAsia="宋体" w:cs="宋体"/>
                <w:color w:val="auto"/>
                <w:sz w:val="24"/>
                <w:szCs w:val="24"/>
                <w:lang w:eastAsia="zh-CN"/>
              </w:rPr>
              <w:t>电子签章（CA）需下载安装智签宝APP申请并关联项目使用。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12</w:t>
            </w:r>
          </w:p>
        </w:tc>
        <w:tc>
          <w:tcPr>
            <w:tcW w:w="3657"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投标客户端</w:t>
            </w:r>
          </w:p>
        </w:tc>
        <w:tc>
          <w:tcPr>
            <w:tcW w:w="5051" w:type="dxa"/>
            <w:tcBorders>
              <w:tl2br w:val="nil"/>
              <w:tr2bl w:val="nil"/>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both"/>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投标客户端需要供应商在“</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r>
              <w:rPr>
                <w:rFonts w:hint="eastAsia" w:ascii="宋体" w:eastAsia="宋体" w:cs="宋体"/>
                <w:color w:val="auto"/>
                <w:sz w:val="24"/>
                <w:szCs w:val="24"/>
                <w:lang w:eastAsia="zh-CN"/>
              </w:rPr>
              <w:t>”自行下载。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13</w:t>
            </w:r>
          </w:p>
        </w:tc>
        <w:tc>
          <w:tcPr>
            <w:tcW w:w="3657" w:type="dxa"/>
            <w:tcBorders>
              <w:tl2br w:val="nil"/>
              <w:tr2bl w:val="nil"/>
            </w:tcBorders>
            <w:shd w:val="clear" w:color="auto" w:fill="auto"/>
            <w:vAlign w:val="center"/>
          </w:tcPr>
          <w:p>
            <w:pPr>
              <w:kinsoku/>
              <w:spacing w:line="360" w:lineRule="auto"/>
              <w:ind w:left="0" w:leftChars="0" w:right="0" w:rightChars="0" w:firstLine="0" w:firstLineChars="0"/>
              <w:jc w:val="center"/>
              <w:rPr>
                <w:rFonts w:hint="eastAsia" w:ascii="宋体" w:eastAsia="宋体" w:cs="宋体"/>
                <w:color w:val="auto"/>
                <w:sz w:val="24"/>
                <w:szCs w:val="24"/>
              </w:rPr>
            </w:pPr>
            <w:r>
              <w:rPr>
                <w:rFonts w:hint="eastAsia" w:ascii="宋体" w:eastAsia="宋体" w:cs="宋体"/>
                <w:color w:val="auto"/>
                <w:sz w:val="24"/>
                <w:szCs w:val="24"/>
                <w:lang w:eastAsia="zh-CN"/>
              </w:rPr>
              <w:t>采购代理机构代理费用</w:t>
            </w:r>
          </w:p>
        </w:tc>
        <w:tc>
          <w:tcPr>
            <w:tcW w:w="5051" w:type="dxa"/>
            <w:tcBorders>
              <w:tl2br w:val="nil"/>
              <w:tr2bl w:val="nil"/>
            </w:tcBorders>
            <w:shd w:val="clear" w:color="auto" w:fill="auto"/>
            <w:vAlign w:val="center"/>
          </w:tcPr>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lang w:eastAsia="zh-CN"/>
              </w:rPr>
            </w:pPr>
            <w:r>
              <w:rPr>
                <w:rFonts w:hint="eastAsia" w:ascii="宋体" w:hAnsi="宋体" w:eastAsia="宋体" w:cs="宋体"/>
                <w:b w:val="0"/>
                <w:bCs w:val="0"/>
                <w:spacing w:val="0"/>
                <w:w w:val="100"/>
                <w:sz w:val="24"/>
                <w:szCs w:val="24"/>
                <w:lang w:eastAsia="zh-CN"/>
              </w:rPr>
              <w:t>本项目收取代理服务费</w:t>
            </w:r>
          </w:p>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代理服务费用收取对象：</w:t>
            </w:r>
            <w:r>
              <w:rPr>
                <w:rFonts w:hint="eastAsia" w:ascii="宋体" w:eastAsia="宋体" w:cs="宋体"/>
                <w:color w:val="auto"/>
                <w:sz w:val="24"/>
                <w:szCs w:val="24"/>
                <w:highlight w:val="none"/>
                <w:shd w:val="clear"/>
                <w:lang w:eastAsia="zh-CN"/>
              </w:rPr>
              <w:t>采购人</w:t>
            </w:r>
          </w:p>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color w:val="auto"/>
                <w:spacing w:val="0"/>
                <w:w w:val="100"/>
                <w:sz w:val="24"/>
                <w:szCs w:val="24"/>
                <w:highlight w:val="none"/>
                <w:lang w:eastAsia="zh-CN"/>
              </w:rPr>
              <w:t>代理服务费收取标准：参照原《内蒙古自治区建设工程招标代理服务费收费指导意见》（内工建协〔2022〕34号）文件规定的收费标准收取。</w:t>
            </w:r>
          </w:p>
          <w:p>
            <w:pPr>
              <w:kinsoku/>
              <w:spacing w:line="360" w:lineRule="auto"/>
              <w:ind w:left="0" w:leftChars="0" w:right="0" w:rightChars="0" w:firstLine="0" w:firstLineChars="0"/>
              <w:jc w:val="both"/>
              <w:rPr>
                <w:rFonts w:hint="eastAsia" w:ascii="宋体" w:eastAsia="宋体" w:cs="宋体"/>
                <w:color w:val="auto"/>
                <w:sz w:val="24"/>
                <w:szCs w:val="24"/>
                <w:lang w:eastAsia="zh-CN"/>
              </w:rPr>
            </w:pPr>
            <w:r>
              <w:rPr>
                <w:rFonts w:hint="eastAsia" w:ascii="宋体" w:hAnsi="宋体" w:eastAsia="宋体" w:cs="宋体"/>
                <w:b w:val="0"/>
                <w:bCs w:val="0"/>
                <w:spacing w:val="0"/>
                <w:w w:val="100"/>
                <w:sz w:val="24"/>
                <w:szCs w:val="24"/>
                <w:lang w:eastAsia="zh-CN"/>
              </w:rPr>
              <w:t>代理费用收取方式：银行转账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14</w:t>
            </w:r>
          </w:p>
        </w:tc>
        <w:tc>
          <w:tcPr>
            <w:tcW w:w="3657"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有效供应商家数</w:t>
            </w:r>
          </w:p>
        </w:tc>
        <w:tc>
          <w:tcPr>
            <w:tcW w:w="5051"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hAnsi="Arial" w:eastAsia="宋体" w:cs="宋体"/>
                <w:color w:val="auto"/>
                <w:sz w:val="24"/>
                <w:szCs w:val="24"/>
                <w:lang w:val="en-US" w:eastAsia="zh-CN" w:bidi="ar-SA"/>
              </w:rPr>
              <w:t>采购包1：3家</w:t>
            </w:r>
          </w:p>
          <w:p>
            <w:pPr>
              <w:kinsoku/>
              <w:spacing w:line="360" w:lineRule="auto"/>
              <w:jc w:val="both"/>
              <w:rPr>
                <w:rFonts w:hint="default" w:ascii="宋体" w:hAnsi="Arial" w:eastAsia="宋体" w:cs="宋体"/>
                <w:color w:val="auto"/>
                <w:sz w:val="24"/>
                <w:szCs w:val="24"/>
                <w:lang w:val="en-US" w:eastAsia="zh-CN" w:bidi="ar-SA"/>
              </w:rPr>
            </w:pPr>
            <w:r>
              <w:rPr>
                <w:rFonts w:hint="eastAsia" w:ascii="宋体" w:eastAsia="宋体" w:cs="宋体"/>
                <w:color w:val="auto"/>
                <w:sz w:val="24"/>
                <w:szCs w:val="24"/>
                <w:lang w:val="en-US" w:eastAsia="zh-CN" w:bidi="ar-SA"/>
              </w:rPr>
              <w:t>注：政府购买服务项目依照（财库〔2015〕124号）文件执行。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15</w:t>
            </w:r>
          </w:p>
        </w:tc>
        <w:tc>
          <w:tcPr>
            <w:tcW w:w="3657"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现场踏勘</w:t>
            </w:r>
          </w:p>
        </w:tc>
        <w:tc>
          <w:tcPr>
            <w:tcW w:w="5051"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hAnsi="Arial" w:eastAsia="宋体" w:cs="宋体"/>
                <w:color w:val="auto"/>
                <w:sz w:val="24"/>
                <w:szCs w:val="24"/>
                <w:lang w:val="en-US" w:eastAsia="zh-CN" w:bidi="ar-SA"/>
              </w:rPr>
              <w:t>采购包1：组织现场踏勘：否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16</w:t>
            </w:r>
          </w:p>
        </w:tc>
        <w:tc>
          <w:tcPr>
            <w:tcW w:w="3657"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rPr>
              <w:t>其他</w:t>
            </w:r>
          </w:p>
        </w:tc>
        <w:tc>
          <w:tcPr>
            <w:tcW w:w="5051"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eastAsia="宋体" w:cs="宋体"/>
                <w:color w:val="auto"/>
                <w:sz w:val="24"/>
                <w:szCs w:val="24"/>
                <w:lang w:val="en-US" w:eastAsia="zh-CN" w:bidi="ar-SA"/>
              </w:rPr>
              <w:t>无</w:t>
            </w:r>
          </w:p>
        </w:tc>
      </w:tr>
    </w:tbl>
    <w:p>
      <w:pPr>
        <w:kinsoku/>
        <w:spacing w:before="240" w:beforeLines="100" w:line="360" w:lineRule="auto"/>
        <w:ind w:firstLine="481" w:firstLineChars="200"/>
        <w:outlineLvl w:val="1"/>
        <w:rPr>
          <w:rFonts w:ascii="宋体" w:eastAsia="宋体" w:cs="宋体"/>
          <w:b/>
          <w:bCs/>
          <w:color w:val="auto"/>
          <w:sz w:val="24"/>
          <w:szCs w:val="24"/>
        </w:rPr>
      </w:pPr>
      <w:r>
        <w:rPr>
          <w:rFonts w:hint="eastAsia" w:ascii="宋体" w:eastAsia="宋体" w:cs="宋体"/>
          <w:b/>
          <w:bCs/>
          <w:color w:val="auto"/>
          <w:sz w:val="24"/>
          <w:szCs w:val="24"/>
        </w:rPr>
        <w:t>二、磋商须知</w:t>
      </w:r>
      <w:bookmarkEnd w:id="9"/>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1.响应方式</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b w:val="0"/>
          <w:bCs w:val="0"/>
          <w:color w:val="auto"/>
          <w:sz w:val="24"/>
          <w:szCs w:val="24"/>
        </w:rPr>
      </w:pPr>
      <w:r>
        <w:rPr>
          <w:rFonts w:hint="eastAsia" w:ascii="宋体" w:eastAsia="宋体" w:cs="宋体"/>
          <w:color w:val="auto"/>
          <w:sz w:val="24"/>
          <w:szCs w:val="24"/>
          <w:lang w:eastAsia="zh-CN"/>
        </w:rPr>
        <w:t>网上投标，远程不见面方式（供应商无需到现场）。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eastAsia="宋体" w:cs="宋体"/>
          <w:color w:val="auto"/>
          <w:sz w:val="24"/>
          <w:szCs w:val="24"/>
        </w:rPr>
      </w:pPr>
      <w:r>
        <w:rPr>
          <w:rFonts w:hint="eastAsia" w:ascii="宋体" w:eastAsia="宋体" w:cs="宋体"/>
          <w:b/>
          <w:bCs/>
          <w:color w:val="auto"/>
          <w:sz w:val="24"/>
          <w:szCs w:val="24"/>
        </w:rPr>
        <w:t>2.</w:t>
      </w:r>
      <w:r>
        <w:rPr>
          <w:rFonts w:hint="eastAsia" w:ascii="宋体" w:eastAsia="宋体" w:cs="宋体"/>
          <w:b/>
          <w:bCs/>
          <w:color w:val="auto"/>
          <w:sz w:val="24"/>
          <w:szCs w:val="24"/>
          <w:lang w:eastAsia="zh-CN"/>
        </w:rPr>
        <w:t>投标</w:t>
      </w:r>
      <w:r>
        <w:rPr>
          <w:rFonts w:hint="eastAsia" w:ascii="宋体" w:eastAsia="宋体" w:cs="宋体"/>
          <w:b/>
          <w:bCs/>
          <w:color w:val="auto"/>
          <w:sz w:val="24"/>
          <w:szCs w:val="24"/>
        </w:rPr>
        <w:t>保证金：</w:t>
      </w:r>
      <w:r>
        <w:rPr>
          <w:rFonts w:hint="eastAsia" w:ascii="宋体" w:eastAsia="宋体" w:cs="宋体"/>
          <w:color w:val="auto"/>
          <w:sz w:val="24"/>
          <w:szCs w:val="24"/>
        </w:rPr>
        <w:t>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eastAsia="宋体" w:cs="宋体"/>
          <w:color w:val="auto"/>
          <w:sz w:val="24"/>
          <w:szCs w:val="24"/>
        </w:rPr>
      </w:pPr>
      <w:r>
        <w:rPr>
          <w:rFonts w:hint="eastAsia" w:ascii="宋体" w:eastAsia="宋体" w:cs="宋体"/>
          <w:b/>
          <w:bCs/>
          <w:color w:val="auto"/>
          <w:sz w:val="24"/>
          <w:szCs w:val="24"/>
        </w:rPr>
        <w:t>3.全流程电子化交易</w:t>
      </w:r>
      <w:r>
        <w:rPr>
          <w:rFonts w:hint="eastAsia" w:ascii="宋体" w:eastAsia="宋体" w:cs="宋体"/>
          <w:b/>
          <w:bCs/>
          <w:color w:val="auto"/>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各供应商应当在国资智采电子招投标交易平台开展与本项目有关的采购活动，并对其操作行为和电子签名、电子印章确认的事项承担法律责任。国资智采交易平台技术支持电话：400-666-0654</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请各供应商熟练掌握不见面开标、不见面评标操作相关事宜，若无法正常响应，供应商自行承担责任。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3.1 供应商在国资智采电子招投标交易平台（https://www.gzzczb.com）申请或注册账号，完善信息后，才可进行网上响应。</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3.2 供应商应使用“投标文件制作工具-智采投标”编制、签章、生成加密投标文件，并在投标文件开启时间前上传加密的最终版电子投标文件至“国资智采电子招投标交易平台”，未在递交投标文件截止时间前上传电子投标文件的，视为自动放弃。</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3.3 供应商的法定代表人或其授权代表应当按照本项目招标公告载明的时间等要求参加开标，在开标时间前30分钟内，登录国资智采电子交易系统确认参加开标。</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开标时，供应商应当</w:t>
      </w:r>
      <w:r>
        <w:rPr>
          <w:rFonts w:hint="eastAsia" w:ascii="宋体" w:eastAsia="宋体" w:cs="宋体"/>
          <w:b/>
          <w:bCs/>
          <w:color w:val="auto"/>
          <w:sz w:val="24"/>
          <w:szCs w:val="24"/>
          <w:lang w:val="en-US" w:eastAsia="zh-CN"/>
        </w:rPr>
        <w:t>使用密码文件中的密匙</w:t>
      </w:r>
      <w:r>
        <w:rPr>
          <w:rFonts w:hint="eastAsia" w:ascii="宋体" w:eastAsia="宋体" w:cs="宋体"/>
          <w:color w:val="auto"/>
          <w:sz w:val="24"/>
          <w:szCs w:val="24"/>
          <w:lang w:val="en-US" w:eastAsia="zh-CN"/>
        </w:rPr>
        <w:t>在开始解密后30分钟内完成全部已投采购包的投标文件在线解密，若出现系统异常情况，工作人员可适当延长解密时长。如在开标过程中出现意外情况导致无法继续进行时，由代理机构会同采购人决定是否允许供应商导入“备用标书”继续开标。本项目采用电子评标，只对开标环节验证通过的电子响应文件进行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开标时出现下列情况的，采购人、采购代理机构应当视为供应商不再参与本项目采购活动。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(1)供应商未在规定时间内完成电子响应文件在线解密的；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(2)无法解密响应文件的；</w:t>
      </w:r>
    </w:p>
    <w:p>
      <w:pPr>
        <w:kinsoku/>
        <w:spacing w:line="360" w:lineRule="auto"/>
        <w:ind w:firstLine="480" w:firstLineChars="200"/>
        <w:jc w:val="both"/>
        <w:rPr>
          <w:rFonts w:ascii="宋体" w:eastAsia="宋体" w:cs="宋体"/>
          <w:b/>
          <w:bCs/>
          <w:color w:val="auto"/>
          <w:sz w:val="24"/>
          <w:szCs w:val="24"/>
          <w:lang w:eastAsia="zh-CN"/>
        </w:rPr>
      </w:pPr>
      <w:r>
        <w:rPr>
          <w:rFonts w:hint="eastAsia" w:ascii="宋体" w:eastAsia="宋体" w:cs="宋体"/>
          <w:color w:val="auto"/>
          <w:sz w:val="24"/>
          <w:szCs w:val="24"/>
          <w:lang w:val="en-US" w:eastAsia="zh-CN"/>
        </w:rPr>
        <w:t>(3)供应商自身原因造成电子响应文件未能解密的。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3.4 磋商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磋商小组所有成员将集中与资格及符合性审查通过的供应商分别进行磋商，并给予所有参加磋商的供应商平等的磋商机会。</w:t>
      </w:r>
      <w:r>
        <w:rPr>
          <w:rFonts w:hint="eastAsia" w:ascii="宋体" w:eastAsia="宋体" w:cs="宋体"/>
          <w:b w:val="0"/>
          <w:bCs w:val="0"/>
          <w:color w:val="auto"/>
          <w:sz w:val="24"/>
          <w:szCs w:val="24"/>
          <w:highlight w:val="none"/>
          <w:lang w:val="en-US" w:eastAsia="zh-CN"/>
        </w:rPr>
        <w:t>供应商应及时关注磋商信息，如因个人原因未参与磋商，后果自负。</w:t>
      </w:r>
      <w:r>
        <w:rPr>
          <w:rFonts w:hint="eastAsia" w:ascii="宋体" w:eastAsia="宋体" w:cs="宋体"/>
          <w:b w:val="0"/>
          <w:bCs w:val="0"/>
          <w:color w:val="auto"/>
          <w:sz w:val="24"/>
          <w:szCs w:val="24"/>
          <w:lang w:val="en-US" w:eastAsia="zh-CN"/>
        </w:rPr>
        <w:t>具体内容详见第五章。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3.5 最后报价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pPr>
        <w:kinsoku/>
        <w:spacing w:line="360" w:lineRule="auto"/>
        <w:ind w:firstLine="481" w:firstLineChars="200"/>
        <w:outlineLvl w:val="1"/>
        <w:rPr>
          <w:rFonts w:ascii="宋体" w:eastAsia="宋体" w:cs="宋体"/>
          <w:color w:val="auto"/>
          <w:sz w:val="24"/>
          <w:szCs w:val="24"/>
          <w:lang w:eastAsia="zh-CN"/>
        </w:rPr>
      </w:pPr>
      <w:bookmarkStart w:id="10" w:name="_Toc6311"/>
      <w:r>
        <w:rPr>
          <w:rFonts w:hint="eastAsia" w:ascii="宋体" w:eastAsia="宋体" w:cs="宋体"/>
          <w:b/>
          <w:bCs/>
          <w:color w:val="auto"/>
          <w:sz w:val="24"/>
          <w:szCs w:val="24"/>
          <w:lang w:eastAsia="zh-CN"/>
        </w:rPr>
        <w:t>三、说明</w:t>
      </w:r>
      <w:bookmarkEnd w:id="10"/>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1.总则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本磋商文件参照《中华人民共和国政府采购法》《中华人民共和国政府采购法实施条例》和《政府采购竞争性磋商采购方式管理暂行办法》及依据国家和自治区有关法律、法规、规章制度编制。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供应商应仔细阅读本项目信息公告及磋商文件的所有内容（包括澄清或者修改），按照磋商文件要求以及格式编制响应文件，并保证其真实性，否则一切后果自负。</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2.适用范围</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本磋商文件仅适用于本次竞争性磋商公告中所涉及的项目和内容。</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3.相关费用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供应商应自行承担所有与准备、参加磋商有关的费用。不论磋商结果如何，采购人或采购代理机构均无义务和责任承担相关费用。</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4.各参与方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“采购人”是指依法进行政府采购的国家机关、事业单位、团体组织。本磋商文件的采购人特指赤峰市生态环境局喀喇沁旗分局。</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4.2“采购代理机构”是指集中采购机构和集中采购机构以外的采购代理机构。本磋商文件的采购代理机构特指赤峰鸿途项目管理有限公司。</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4.3 “供应商”是指向采购人提供货物、工程或者服务的法人、其他组织或者自然人。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4.4 “磋商小组”由采购人代表和评审专家组成。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4.5“成交供应商”是指取得与采购人签订合同资格的供应商。</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5.合格的供应商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符合本磋商文件规定的资格要求，并按照要求提供相关证明材料。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单位负责人为同一人或者存在直接控股、管理关系的不同供应商，不得参加同一合同项下的政府采购活动。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为采购项目提供整体设计、规范编制或者项目管理、监理、检测等服务的供应商，不得再参加该采购项目的其他采购活动。</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6.以联合体形式进行政府采购的，应符合以下规定：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6.1 联合体各方应签订联合体协议书，明确联合体牵头人和各方权利义务，并作为响应文件组成部分。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6.2 联合体各方均应当具备《中华人民共和国政府采购法》第二十二条规定的条件，并在响应文件中提供联合体各方的相关证明材料。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6.3 联合体成员存在不良信用记录的，视同联合体存在不良信用记录。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6.4 联合体中有同类资质的供应商按照联合体分工承担相同工作的，应当按照资质等级较低的供应商确定资质等级。</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6.5 以联合体形式参加政府采购活动的，联合体各方不得再单独参加或者与其他供应商另外组成联合体参加同一合同项下的政府采购活动。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6.6 联合体各方应当共同与采购人签订采购合同，就合同约定的事项对采购人承担连带责任。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6.7 如要求缴纳保证金，以联合体牵头人名义缴纳，对联合体各方均具有约束力。</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7.语言文字以及计量单位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7.1 所有文件使用的语言文字为简体中文。专用术语使用外文的，应附有简体中文注释，否则视为无效。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7.2 所有计量均采用中华人民共和国法定的计量单位。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7.3 所有报价一律使用人民币，货币单位：元。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8.现场踏勘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8.1 </w:t>
      </w:r>
      <w:r>
        <w:rPr>
          <w:rFonts w:hint="eastAsia" w:ascii="宋体" w:hAnsi="宋体" w:eastAsia="宋体" w:cs="宋体"/>
          <w:b w:val="0"/>
          <w:bCs w:val="0"/>
          <w:color w:val="auto"/>
          <w:sz w:val="24"/>
          <w:szCs w:val="24"/>
          <w:lang w:eastAsia="zh-CN"/>
        </w:rPr>
        <w:t>竞争性磋商文件</w:t>
      </w:r>
      <w:r>
        <w:rPr>
          <w:rFonts w:hint="eastAsia" w:ascii="宋体" w:hAnsi="宋体" w:eastAsia="宋体" w:cs="宋体"/>
          <w:b w:val="0"/>
          <w:bCs w:val="0"/>
          <w:color w:val="auto"/>
          <w:sz w:val="24"/>
          <w:szCs w:val="24"/>
        </w:rPr>
        <w:t>规定组织现场踏勘的，采购人或者采购代理机构</w:t>
      </w:r>
      <w:r>
        <w:rPr>
          <w:rFonts w:hint="eastAsia" w:ascii="宋体" w:hAnsi="宋体" w:eastAsia="宋体" w:cs="宋体"/>
          <w:b w:val="0"/>
          <w:bCs w:val="0"/>
          <w:color w:val="auto"/>
          <w:sz w:val="24"/>
          <w:szCs w:val="24"/>
          <w:lang w:eastAsia="zh-CN"/>
        </w:rPr>
        <w:t>将</w:t>
      </w:r>
      <w:r>
        <w:rPr>
          <w:rFonts w:hint="eastAsia" w:ascii="宋体" w:hAnsi="宋体" w:eastAsia="宋体" w:cs="宋体"/>
          <w:b w:val="0"/>
          <w:bCs w:val="0"/>
          <w:color w:val="auto"/>
          <w:sz w:val="24"/>
          <w:szCs w:val="24"/>
        </w:rPr>
        <w:t>按竞争性磋商文件规定的时间、地点组织供应商踏勘项目现场。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 供应商自行承担踏勘现场发生的责任、风险和自身费用。</w:t>
      </w:r>
    </w:p>
    <w:p>
      <w:pPr>
        <w:kinsoku/>
        <w:spacing w:line="360" w:lineRule="auto"/>
        <w:ind w:firstLine="480" w:firstLineChars="200"/>
        <w:rPr>
          <w:rFonts w:ascii="宋体" w:eastAsia="宋体" w:cs="宋体"/>
          <w:color w:val="auto"/>
          <w:sz w:val="24"/>
          <w:szCs w:val="24"/>
          <w:lang w:eastAsia="zh-CN"/>
        </w:rPr>
      </w:pPr>
      <w:r>
        <w:rPr>
          <w:rFonts w:hint="eastAsia" w:ascii="宋体" w:hAnsi="宋体" w:eastAsia="宋体" w:cs="宋体"/>
          <w:b w:val="0"/>
          <w:bCs w:val="0"/>
          <w:color w:val="auto"/>
          <w:sz w:val="24"/>
          <w:szCs w:val="24"/>
        </w:rPr>
        <w:t>8.3 采购人在踏勘现场介绍的资料和数据等，不构成对磋商文件的修改或不作为供应商编制响应文件的依据。</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9.其他条款</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无论成交与否供应商递交的响应文件均不予退还。</w:t>
      </w:r>
    </w:p>
    <w:p>
      <w:pPr>
        <w:kinsoku/>
        <w:spacing w:line="360" w:lineRule="auto"/>
        <w:ind w:firstLine="481" w:firstLineChars="200"/>
        <w:outlineLvl w:val="1"/>
        <w:rPr>
          <w:rFonts w:ascii="宋体" w:eastAsia="宋体" w:cs="宋体"/>
          <w:b/>
          <w:bCs/>
          <w:color w:val="auto"/>
          <w:sz w:val="24"/>
          <w:szCs w:val="24"/>
        </w:rPr>
      </w:pPr>
      <w:bookmarkStart w:id="11" w:name="_Toc20752"/>
      <w:r>
        <w:rPr>
          <w:rFonts w:hint="eastAsia" w:ascii="宋体" w:eastAsia="宋体" w:cs="宋体"/>
          <w:b/>
          <w:bCs/>
          <w:color w:val="auto"/>
          <w:sz w:val="24"/>
          <w:szCs w:val="24"/>
        </w:rPr>
        <w:t>四、磋商文件的澄清或者修改</w:t>
      </w:r>
      <w:bookmarkEnd w:id="11"/>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5</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日前，在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lang w:eastAsia="zh-CN"/>
        </w:rPr>
        <w:t>国资智采电子招投标交易平台（https://www.gzzczb.com）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pPr>
        <w:kinsoku/>
        <w:spacing w:line="360" w:lineRule="auto"/>
        <w:ind w:firstLine="481" w:firstLineChars="200"/>
        <w:outlineLvl w:val="1"/>
        <w:rPr>
          <w:rFonts w:ascii="宋体" w:eastAsia="宋体" w:cs="宋体"/>
          <w:b/>
          <w:bCs/>
          <w:color w:val="auto"/>
          <w:sz w:val="24"/>
          <w:szCs w:val="24"/>
          <w:lang w:eastAsia="zh-CN"/>
        </w:rPr>
      </w:pPr>
      <w:bookmarkStart w:id="12" w:name="_Toc24571"/>
      <w:r>
        <w:rPr>
          <w:rFonts w:hint="eastAsia" w:ascii="宋体" w:eastAsia="宋体" w:cs="宋体"/>
          <w:b/>
          <w:bCs/>
          <w:color w:val="auto"/>
          <w:sz w:val="24"/>
          <w:szCs w:val="24"/>
          <w:lang w:eastAsia="zh-CN"/>
        </w:rPr>
        <w:t>五、响应文件</w:t>
      </w:r>
      <w:bookmarkEnd w:id="12"/>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1.响应文件的构成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响应文件应按照磋商文件第七章“响应文件格式与要求”进行编写，可以增加附页，并作为响应文件的组成部分。</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供应商在制作响应文件时，应保证提供的证明材料清晰可见，否则评审小组可不予采信。</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供应商应按照磋商文件第三章“采购内容与技术要求”进行报价，</w:t>
      </w:r>
      <w:r>
        <w:rPr>
          <w:rFonts w:hint="eastAsia" w:ascii="宋体" w:hAnsi="宋体" w:eastAsia="宋体" w:cs="宋体"/>
          <w:color w:val="auto"/>
          <w:sz w:val="24"/>
          <w:szCs w:val="24"/>
        </w:rPr>
        <w:t>报价取小数点后两位，小数点后第三位四舍五入</w:t>
      </w:r>
      <w:r>
        <w:rPr>
          <w:rFonts w:hint="eastAsia" w:ascii="宋体" w:hAnsi="宋体" w:eastAsia="宋体" w:cs="宋体"/>
          <w:color w:val="auto"/>
          <w:sz w:val="24"/>
          <w:szCs w:val="24"/>
          <w:lang w:eastAsia="zh-CN"/>
        </w:rPr>
        <w:t>。</w:t>
      </w:r>
      <w:r>
        <w:rPr>
          <w:rFonts w:hint="eastAsia" w:ascii="宋体" w:eastAsia="宋体" w:cs="宋体"/>
          <w:color w:val="auto"/>
          <w:sz w:val="24"/>
          <w:szCs w:val="24"/>
          <w:lang w:eastAsia="zh-CN"/>
        </w:rPr>
        <w:t>报价中不得包含磋商文件要求以外的内容，否则，在评审时不予核减。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报价包括本项目采购需求和投入使用、实施的所有费用，如主件、标准附件、备品备件、施工、服务、专用工具、安装、调试、检验、培训、运输、保险、税款等。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报价不得有选择性报价和附有条件的报价。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2.4 供应商应在“投标文件制作工具”对投标报价进行填写，并保证响应文件中的投标报价信息内容一致。</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2.5 对报价的计算错误按以下原则修正</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（1）大写金额和小写金额不一致的，以大写金额为准；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（2）单价金额小数点或者百分比有明显错位的，以总价为准，并修改单价。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（3）总价金额与按单价汇总金额不一致的，以单价金额计算结果为准。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4</w:t>
      </w:r>
      <w:r>
        <w:rPr>
          <w:rFonts w:hint="eastAsia" w:ascii="宋体" w:eastAsia="宋体" w:cs="宋体"/>
          <w:color w:val="auto"/>
          <w:sz w:val="24"/>
          <w:szCs w:val="24"/>
          <w:lang w:eastAsia="zh-CN"/>
        </w:rPr>
        <w:t>）</w:t>
      </w:r>
      <w:r>
        <w:rPr>
          <w:rFonts w:hint="eastAsia" w:ascii="宋体" w:eastAsia="宋体" w:cs="宋体"/>
          <w:color w:val="auto"/>
          <w:sz w:val="24"/>
          <w:szCs w:val="24"/>
        </w:rPr>
        <w:t>同时出现两种以上不一致的，按照前款规定的顺序修正。</w:t>
      </w:r>
    </w:p>
    <w:p>
      <w:pPr>
        <w:kinsoku/>
        <w:spacing w:line="360" w:lineRule="auto"/>
        <w:ind w:firstLine="480" w:firstLineChars="200"/>
        <w:rPr>
          <w:rFonts w:hint="eastAsia" w:ascii="宋体" w:eastAsia="宋体" w:cs="宋体"/>
          <w:b/>
          <w:bCs/>
          <w:color w:val="auto"/>
          <w:sz w:val="24"/>
          <w:szCs w:val="24"/>
          <w:lang w:eastAsia="zh-CN"/>
        </w:rPr>
      </w:pPr>
      <w:r>
        <w:rPr>
          <w:rFonts w:hint="eastAsia" w:ascii="宋体" w:eastAsia="宋体" w:cs="宋体"/>
          <w:color w:val="auto"/>
          <w:sz w:val="24"/>
          <w:szCs w:val="24"/>
        </w:rPr>
        <w:t>注：修正后的报价供应商应当加盖公章，或者由法定代表人或其授权代表签字确认后产生约束力，但不得超出响应文件的范围或者改变响应文件的实质性内容，供应商不确认的，其投标无效。</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3.响应文件的递交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供应商应当在提交响应文件截止时间前递交响应文件，否则视为自动放弃。</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4.响应文件的补充、修改或者撤回</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5.样品</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磋商文件规定供应商提交样品的，样品属于响应文件的组成部分。样品的生产、运输、安装、保全等一切费用由供应商自理。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响应文件开启前，供应商应将样品送达至指定地点，按要求摆放并做好展示。若需要现场演示的，供应商应提前做好演示准备（包括演示设备）。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pPr>
        <w:kinsoku/>
        <w:spacing w:line="360" w:lineRule="auto"/>
        <w:ind w:firstLine="481" w:firstLineChars="200"/>
        <w:outlineLvl w:val="1"/>
        <w:rPr>
          <w:rFonts w:ascii="宋体" w:eastAsia="宋体" w:cs="宋体"/>
          <w:color w:val="auto"/>
          <w:sz w:val="24"/>
          <w:szCs w:val="24"/>
          <w:lang w:eastAsia="zh-CN"/>
        </w:rPr>
      </w:pPr>
      <w:bookmarkStart w:id="13" w:name="_Toc8246"/>
      <w:r>
        <w:rPr>
          <w:rFonts w:hint="eastAsia" w:ascii="宋体" w:eastAsia="宋体" w:cs="宋体"/>
          <w:b/>
          <w:bCs/>
          <w:color w:val="auto"/>
          <w:sz w:val="24"/>
          <w:szCs w:val="24"/>
          <w:lang w:eastAsia="zh-CN"/>
        </w:rPr>
        <w:t>六、开启、评审、结果公告、成交通知书</w:t>
      </w:r>
      <w:bookmarkEnd w:id="13"/>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1.开启</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程序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（1）宣布纪律；</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（2）宣布相关人员；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（3）供应商对已提交的加密文件进行解密；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（4）参加人员对开启情况进行确认；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（5）开启结束。</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疑义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供应商代表对开启过程和开启记录有疑义，以及认为采购人、采购代理机构相关工作人员有需要回避情形的，应当场提出询问或者回避申请。</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color w:val="auto"/>
          <w:sz w:val="24"/>
          <w:szCs w:val="24"/>
          <w:lang w:eastAsia="zh-CN"/>
        </w:rPr>
        <w:t>供应商对远程不见面方式开启和记录有疑义，应在“国资智采-电子招投标采购平台”</w:t>
      </w:r>
      <w:r>
        <w:rPr>
          <w:rFonts w:hint="eastAsia" w:ascii="宋体" w:eastAsia="宋体" w:cs="宋体"/>
          <w:color w:val="auto"/>
          <w:sz w:val="24"/>
          <w:szCs w:val="24"/>
          <w:lang w:val="en-US" w:eastAsia="zh-CN"/>
        </w:rPr>
        <w:t>-</w:t>
      </w:r>
      <w:r>
        <w:rPr>
          <w:rFonts w:hint="eastAsia" w:ascii="宋体" w:eastAsia="宋体" w:cs="宋体"/>
          <w:color w:val="auto"/>
          <w:sz w:val="24"/>
          <w:szCs w:val="24"/>
          <w:lang w:eastAsia="zh-CN"/>
        </w:rPr>
        <w:t>“开标大厅”中提出。采购代理机构应及时查看回复。</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1.3 备注</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开启时,供应商使用“投标客户端”生成的“密码文件”中的密匙对响应文件进行解密。</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详见第五章</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3.结果公告</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成交供应商确定后，采购代理机构</w:t>
      </w:r>
      <w:r>
        <w:rPr>
          <w:rFonts w:hint="eastAsia" w:ascii="宋体" w:eastAsia="宋体" w:cs="宋体"/>
          <w:color w:val="auto"/>
          <w:sz w:val="24"/>
          <w:szCs w:val="24"/>
          <w:lang w:eastAsia="zh-CN"/>
        </w:rPr>
        <w:t>将在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r>
        <w:rPr>
          <w:rFonts w:hint="eastAsia" w:ascii="宋体" w:eastAsia="宋体" w:cs="宋体"/>
          <w:color w:val="auto"/>
          <w:sz w:val="24"/>
          <w:szCs w:val="24"/>
          <w:lang w:eastAsia="zh-CN"/>
        </w:rPr>
        <w:t>上</w:t>
      </w:r>
      <w:r>
        <w:rPr>
          <w:rFonts w:hint="eastAsia" w:ascii="宋体" w:eastAsia="宋体" w:cs="宋体"/>
          <w:color w:val="auto"/>
          <w:sz w:val="24"/>
          <w:szCs w:val="24"/>
        </w:rPr>
        <w:t>发布成交结果公告，将成交结果以公告形式通知未成交的供应商，成交结果公告期为</w:t>
      </w:r>
      <w:r>
        <w:rPr>
          <w:rFonts w:hint="eastAsia" w:ascii="宋体" w:eastAsia="宋体" w:cs="宋体"/>
          <w:color w:val="0000FF"/>
          <w:sz w:val="24"/>
          <w:szCs w:val="24"/>
          <w:lang w:val="en-US" w:eastAsia="zh-CN"/>
        </w:rPr>
        <w:t>3</w:t>
      </w:r>
      <w:r>
        <w:rPr>
          <w:rFonts w:hint="eastAsia" w:ascii="宋体" w:eastAsia="宋体" w:cs="宋体"/>
          <w:color w:val="auto"/>
          <w:sz w:val="24"/>
          <w:szCs w:val="24"/>
        </w:rPr>
        <w:t>个工作日。</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项目“废标”后，采购代理机构将在</w:t>
      </w:r>
      <w:r>
        <w:rPr>
          <w:rFonts w:hint="eastAsia" w:ascii="宋体" w:eastAsia="宋体" w:cs="宋体"/>
          <w:color w:val="auto"/>
          <w:sz w:val="24"/>
          <w:szCs w:val="24"/>
          <w:lang w:eastAsia="zh-CN"/>
        </w:rPr>
        <w:t>在</w:t>
      </w:r>
      <w:r>
        <w:rPr>
          <w:rFonts w:hint="eastAsia" w:ascii="宋体" w:hAnsi="宋体" w:eastAsia="宋体" w:cs="宋体"/>
          <w:b w:val="0"/>
          <w:bCs w:val="0"/>
          <w:snapToGrid w:val="0"/>
          <w:sz w:val="24"/>
          <w:szCs w:val="24"/>
          <w:highlight w:val="none"/>
          <w:lang w:val="en-US" w:eastAsia="zh-CN"/>
        </w:rPr>
        <w:t>《赤峰市生态环境局官网》及</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上</w:t>
      </w:r>
      <w:r>
        <w:rPr>
          <w:rFonts w:hint="eastAsia" w:ascii="宋体" w:eastAsia="宋体" w:cs="宋体"/>
          <w:color w:val="auto"/>
          <w:sz w:val="24"/>
          <w:szCs w:val="24"/>
        </w:rPr>
        <w:t>发布“废标公告”。</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4.成交通知书</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发布成交结果的同时，成交供应商可在国资智采电子招投标交易平台上下载成交通知书，成交通知书是合同的组成部分，成交通知书对采购人和成交供应商具有同等法律效力。</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成交通知书发出后，采购人不得违法改变成交结果，供应商无正当理由不得放弃成交。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1"/>
        <w:rPr>
          <w:rFonts w:hint="eastAsia" w:ascii="宋体" w:eastAsia="宋体" w:cs="宋体"/>
          <w:color w:val="auto"/>
          <w:sz w:val="24"/>
          <w:szCs w:val="24"/>
          <w:lang w:eastAsia="zh-CN"/>
        </w:rPr>
      </w:pPr>
      <w:bookmarkStart w:id="14" w:name="_Toc6207"/>
      <w:r>
        <w:rPr>
          <w:rFonts w:hint="eastAsia" w:ascii="宋体" w:eastAsia="宋体" w:cs="宋体"/>
          <w:b/>
          <w:bCs/>
          <w:color w:val="auto"/>
          <w:sz w:val="24"/>
          <w:szCs w:val="24"/>
        </w:rPr>
        <w:t>七、询问、质疑与</w:t>
      </w:r>
      <w:r>
        <w:rPr>
          <w:rFonts w:hint="eastAsia" w:ascii="宋体" w:eastAsia="宋体" w:cs="宋体"/>
          <w:b/>
          <w:bCs/>
          <w:color w:val="auto"/>
          <w:sz w:val="24"/>
          <w:szCs w:val="24"/>
          <w:lang w:eastAsia="zh-CN"/>
        </w:rPr>
        <w:t>举报</w:t>
      </w:r>
      <w:bookmarkEnd w:id="14"/>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1.询问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供应商在质疑投诉期内应当一次性提出针对同一采购程序环节的质疑。提出质疑的供应商应当是参与所质疑项目采购活动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已依法获取其可质疑的采购文件的供应商。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采购人、采购代理机构应当在收到供应商的书面质疑后 7 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询问或者质疑事项可能影响成交结果的，采购人应当暂停签订合同，已经签订合同的，应当中止履行合同。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供应商提出质疑应当提交质疑函和必要的证明材料。质疑函应按照中国政府采购网中的“质疑函范本”制作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包括下列内容：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（二）质疑项目的名称、编号、采购文件获取日期；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供应商可以委托代理人进行质疑，代理人提出质疑投诉时应当提交供应商签署的授权委托书。其授权委托书应当载明代理人的姓名或者名称、代理事项、具体权限、期限和相关事项。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2.6 </w:t>
      </w:r>
      <w:r>
        <w:rPr>
          <w:rFonts w:hint="eastAsia" w:ascii="宋体" w:hAnsi="宋体" w:eastAsia="宋体" w:cs="宋体"/>
          <w:color w:val="auto"/>
          <w:sz w:val="24"/>
          <w:szCs w:val="24"/>
        </w:rPr>
        <w:t>接收质疑函的联系部门、联系电话、通讯地址（详见第一章）。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3.举报</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 xml:space="preserve">3.1 </w:t>
      </w:r>
      <w:r>
        <w:rPr>
          <w:rFonts w:hint="eastAsia" w:ascii="宋体" w:eastAsia="宋体" w:cs="宋体"/>
          <w:color w:val="auto"/>
          <w:sz w:val="24"/>
          <w:szCs w:val="24"/>
          <w:lang w:eastAsia="zh-CN"/>
        </w:rPr>
        <w:t>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pPr>
        <w:kinsoku/>
        <w:spacing w:line="360" w:lineRule="auto"/>
        <w:ind w:firstLine="480" w:firstLineChars="200"/>
        <w:rPr>
          <w:rFonts w:ascii="宋体" w:eastAsia="宋体" w:cs="宋体"/>
          <w:color w:val="auto"/>
          <w:sz w:val="24"/>
          <w:szCs w:val="24"/>
          <w:lang w:eastAsia="zh-CN"/>
        </w:rPr>
        <w:sectPr>
          <w:footerReference r:id="rId7"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3.2 限额标准以下项目采购，不适用《中华人民共和国政府采购法》第二条规定，各级财政部门不对争议事项进行受理或处理。</w:t>
      </w:r>
    </w:p>
    <w:p>
      <w:pPr>
        <w:kinsoku/>
        <w:spacing w:line="360" w:lineRule="auto"/>
        <w:ind w:firstLine="562" w:firstLineChars="200"/>
        <w:jc w:val="center"/>
        <w:outlineLvl w:val="0"/>
        <w:rPr>
          <w:rFonts w:ascii="宋体" w:eastAsia="宋体" w:cs="宋体"/>
          <w:color w:val="auto"/>
          <w:sz w:val="24"/>
          <w:szCs w:val="24"/>
          <w:lang w:eastAsia="zh-CN"/>
        </w:rPr>
      </w:pPr>
      <w:bookmarkStart w:id="15" w:name="_Toc18147"/>
      <w:r>
        <w:rPr>
          <w:rFonts w:hint="eastAsia" w:ascii="宋体" w:eastAsia="宋体" w:cs="宋体"/>
          <w:b/>
          <w:bCs/>
          <w:color w:val="auto"/>
          <w:sz w:val="28"/>
          <w:szCs w:val="28"/>
          <w:lang w:eastAsia="zh-CN"/>
        </w:rPr>
        <w:t>第三章  采购内容与技术要求</w:t>
      </w:r>
      <w:bookmarkEnd w:id="15"/>
    </w:p>
    <w:p>
      <w:pPr>
        <w:kinsoku/>
        <w:spacing w:line="360" w:lineRule="auto"/>
        <w:ind w:firstLine="481" w:firstLineChars="200"/>
        <w:outlineLvl w:val="1"/>
        <w:rPr>
          <w:rFonts w:ascii="宋体" w:eastAsia="宋体" w:cs="宋体"/>
          <w:b/>
          <w:bCs/>
          <w:color w:val="auto"/>
          <w:sz w:val="24"/>
          <w:szCs w:val="24"/>
          <w:lang w:eastAsia="zh-CN"/>
        </w:rPr>
      </w:pPr>
      <w:bookmarkStart w:id="16" w:name="_Toc29679"/>
      <w:r>
        <w:rPr>
          <w:rFonts w:hint="eastAsia" w:ascii="宋体" w:eastAsia="宋体" w:cs="宋体"/>
          <w:b/>
          <w:bCs/>
          <w:color w:val="auto"/>
          <w:sz w:val="24"/>
          <w:szCs w:val="24"/>
          <w:lang w:eastAsia="zh-CN"/>
        </w:rPr>
        <w:t>一、项目概况</w:t>
      </w:r>
      <w:bookmarkEnd w:id="16"/>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对赤峰市生态环境局喀喇沁旗分局审批的</w:t>
      </w:r>
      <w:r>
        <w:rPr>
          <w:rFonts w:hint="eastAsia" w:ascii="宋体" w:hAnsi="宋体" w:eastAsia="宋体" w:cs="宋体"/>
          <w:color w:val="auto"/>
          <w:sz w:val="24"/>
          <w:szCs w:val="24"/>
          <w:lang w:eastAsia="zh-CN"/>
        </w:rPr>
        <w:t>10个环境影响报告表进</w:t>
      </w:r>
      <w:r>
        <w:rPr>
          <w:rFonts w:hint="eastAsia" w:ascii="宋体" w:hAnsi="宋体" w:eastAsia="宋体" w:cs="宋体"/>
          <w:sz w:val="24"/>
          <w:szCs w:val="24"/>
          <w:lang w:eastAsia="zh-CN"/>
        </w:rPr>
        <w:t>行技术评估，出具评估报告，并对评估质量负责。</w:t>
      </w:r>
    </w:p>
    <w:p>
      <w:pPr>
        <w:kinsoku/>
        <w:spacing w:line="360" w:lineRule="auto"/>
        <w:ind w:firstLine="481" w:firstLineChars="200"/>
        <w:outlineLvl w:val="1"/>
        <w:rPr>
          <w:rFonts w:ascii="宋体" w:eastAsia="宋体" w:cs="宋体"/>
          <w:color w:val="auto"/>
          <w:sz w:val="24"/>
          <w:szCs w:val="24"/>
          <w:lang w:eastAsia="zh-CN"/>
        </w:rPr>
      </w:pPr>
      <w:bookmarkStart w:id="17" w:name="_Toc2644"/>
      <w:r>
        <w:rPr>
          <w:rFonts w:hint="eastAsia" w:ascii="宋体" w:eastAsia="宋体" w:cs="宋体"/>
          <w:b/>
          <w:bCs/>
          <w:color w:val="auto"/>
          <w:sz w:val="24"/>
          <w:szCs w:val="24"/>
          <w:lang w:eastAsia="zh-CN"/>
        </w:rPr>
        <w:t>二、主要商务要求、技术要求</w:t>
      </w:r>
      <w:bookmarkEnd w:id="17"/>
    </w:p>
    <w:p>
      <w:pPr>
        <w:kinsoku/>
        <w:spacing w:line="360" w:lineRule="auto"/>
        <w:ind w:firstLine="481" w:firstLineChars="200"/>
        <w:outlineLvl w:val="2"/>
        <w:rPr>
          <w:rFonts w:hint="eastAsia" w:ascii="宋体" w:eastAsia="宋体" w:cs="宋体"/>
          <w:b/>
          <w:bCs/>
          <w:color w:val="auto"/>
          <w:sz w:val="24"/>
          <w:szCs w:val="24"/>
        </w:rPr>
      </w:pPr>
      <w:r>
        <w:rPr>
          <w:rFonts w:hint="eastAsia" w:ascii="宋体" w:eastAsia="宋体" w:cs="宋体"/>
          <w:b/>
          <w:bCs/>
          <w:color w:val="auto"/>
          <w:sz w:val="24"/>
          <w:szCs w:val="24"/>
        </w:rPr>
        <w:t>1.主要商务要求</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outlineLvl w:val="3"/>
        <w:rPr>
          <w:rFonts w:hint="default" w:eastAsia="宋体"/>
          <w:b w:val="0"/>
          <w:bCs w:val="0"/>
          <w:color w:val="auto"/>
          <w:lang w:val="en-US" w:eastAsia="zh-CN"/>
        </w:rPr>
      </w:pPr>
      <w:r>
        <w:rPr>
          <w:rFonts w:hint="eastAsia" w:ascii="宋体" w:eastAsia="宋体" w:cs="宋体"/>
          <w:b w:val="0"/>
          <w:bCs w:val="0"/>
          <w:color w:val="auto"/>
          <w:sz w:val="24"/>
          <w:szCs w:val="24"/>
          <w:lang w:eastAsia="zh-CN"/>
        </w:rPr>
        <w:t>采购包</w:t>
      </w:r>
      <w:r>
        <w:rPr>
          <w:rFonts w:hint="eastAsia" w:ascii="宋体" w:eastAsia="宋体" w:cs="宋体"/>
          <w:b w:val="0"/>
          <w:bCs w:val="0"/>
          <w:color w:val="auto"/>
          <w:sz w:val="24"/>
          <w:szCs w:val="24"/>
          <w:lang w:val="en-US" w:eastAsia="zh-CN"/>
        </w:rPr>
        <w:t>1：赤峰市生态环境局喀喇沁旗分局2026年建设项目环评审批技术评估项目</w:t>
      </w:r>
    </w:p>
    <w:tbl>
      <w:tblPr>
        <w:tblStyle w:val="21"/>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交货或服务期限</w:t>
            </w:r>
          </w:p>
        </w:tc>
        <w:tc>
          <w:tcPr>
            <w:tcW w:w="6121" w:type="dxa"/>
            <w:shd w:val="clear" w:color="auto" w:fill="auto"/>
            <w:vAlign w:val="center"/>
          </w:tcPr>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自签订合同之日起</w:t>
            </w:r>
            <w:r>
              <w:rPr>
                <w:rFonts w:hint="default" w:ascii="宋体" w:eastAsia="宋体" w:cs="宋体"/>
                <w:color w:val="auto"/>
                <w:sz w:val="24"/>
                <w:szCs w:val="24"/>
                <w:lang w:val="en-US" w:eastAsia="zh-CN"/>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交货或服务地点</w:t>
            </w:r>
          </w:p>
        </w:tc>
        <w:tc>
          <w:tcPr>
            <w:tcW w:w="6121" w:type="dxa"/>
            <w:shd w:val="clear" w:color="auto" w:fill="auto"/>
            <w:vAlign w:val="center"/>
          </w:tcPr>
          <w:p>
            <w:pPr>
              <w:kinsoku/>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赤峰市生态环境局喀喇沁旗分局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付款方式</w:t>
            </w:r>
          </w:p>
        </w:tc>
        <w:tc>
          <w:tcPr>
            <w:tcW w:w="6121" w:type="dxa"/>
            <w:shd w:val="clear" w:color="auto" w:fill="auto"/>
            <w:vAlign w:val="center"/>
          </w:tcPr>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第一期：签订合同后，支付合同总金额的50%</w:t>
            </w:r>
            <w:r>
              <w:rPr>
                <w:rFonts w:hint="default" w:ascii="宋体" w:eastAsia="宋体" w:cs="宋体"/>
                <w:color w:val="auto"/>
                <w:sz w:val="24"/>
                <w:szCs w:val="24"/>
                <w:lang w:val="en-US" w:eastAsia="zh-CN"/>
              </w:rPr>
              <w:t>。</w:t>
            </w:r>
          </w:p>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第二期：项目完成并验收合格</w:t>
            </w:r>
            <w:r>
              <w:rPr>
                <w:rFonts w:hint="default" w:ascii="宋体" w:eastAsia="宋体" w:cs="宋体"/>
                <w:color w:val="auto"/>
                <w:sz w:val="24"/>
                <w:szCs w:val="24"/>
                <w:lang w:val="en-US" w:eastAsia="zh-CN"/>
              </w:rPr>
              <w:t>后，支付</w:t>
            </w:r>
            <w:r>
              <w:rPr>
                <w:rFonts w:hint="eastAsia" w:ascii="宋体" w:eastAsia="宋体" w:cs="宋体"/>
                <w:color w:val="auto"/>
                <w:sz w:val="24"/>
                <w:szCs w:val="24"/>
                <w:lang w:val="en-US" w:eastAsia="zh-CN"/>
              </w:rPr>
              <w:t>剩余全部价款</w:t>
            </w:r>
            <w:r>
              <w:rPr>
                <w:rFonts w:hint="default" w:ascii="宋体" w:eastAsia="宋体" w:cs="宋体"/>
                <w:color w:val="auto"/>
                <w:sz w:val="24"/>
                <w:szCs w:val="24"/>
                <w:lang w:val="en-US" w:eastAsia="zh-CN"/>
              </w:rPr>
              <w:t>。</w:t>
            </w:r>
          </w:p>
          <w:p>
            <w:pPr>
              <w:kinsoku/>
              <w:spacing w:line="360" w:lineRule="auto"/>
              <w:jc w:val="both"/>
              <w:rPr>
                <w:rFonts w:hint="default" w:ascii="宋体" w:eastAsia="宋体" w:cs="宋体"/>
                <w:color w:val="auto"/>
                <w:sz w:val="24"/>
                <w:szCs w:val="24"/>
                <w:lang w:val="en-US" w:eastAsia="zh-CN"/>
              </w:rPr>
            </w:pPr>
            <w:r>
              <w:rPr>
                <w:rFonts w:hint="default" w:ascii="宋体" w:eastAsia="宋体" w:cs="宋体"/>
                <w:color w:val="auto"/>
                <w:sz w:val="24"/>
                <w:szCs w:val="24"/>
                <w:lang w:val="en-US" w:eastAsia="zh-CN"/>
              </w:rPr>
              <w:t>付款之前，成交供应商应向采购人提供相应金额的发票。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验收要求</w:t>
            </w:r>
          </w:p>
        </w:tc>
        <w:tc>
          <w:tcPr>
            <w:tcW w:w="6121" w:type="dxa"/>
            <w:shd w:val="clear" w:color="auto" w:fill="auto"/>
            <w:vAlign w:val="center"/>
          </w:tcPr>
          <w:p>
            <w:pPr>
              <w:kinsoku/>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成交供应商提供的相关服务符合国家（或行业）规定标准。成交供应商全部服务完成后由采购人组织履约验收。验收合格签署《履约验收书》。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履约保证金</w:t>
            </w:r>
          </w:p>
        </w:tc>
        <w:tc>
          <w:tcPr>
            <w:tcW w:w="6121" w:type="dxa"/>
            <w:shd w:val="clear" w:color="auto" w:fill="auto"/>
            <w:vAlign w:val="center"/>
          </w:tcPr>
          <w:p>
            <w:pPr>
              <w:pStyle w:val="19"/>
              <w:keepNext w:val="0"/>
              <w:keepLines w:val="0"/>
              <w:pageBreakBefore w:val="0"/>
              <w:widowControl w:val="0"/>
              <w:kinsoku/>
              <w:wordWrap w:val="0"/>
              <w:overflowPunct/>
              <w:topLinePunct w:val="0"/>
              <w:autoSpaceDE/>
              <w:autoSpaceDN/>
              <w:bidi w:val="0"/>
              <w:adjustRightInd/>
              <w:snapToGrid/>
              <w:spacing w:after="0" w:line="400" w:lineRule="exact"/>
              <w:ind w:left="0" w:leftChars="0" w:firstLine="0" w:firstLineChars="0"/>
              <w:textAlignment w:val="auto"/>
              <w:rPr>
                <w:rFonts w:hint="eastAsia" w:ascii="宋体" w:eastAsia="宋体" w:cs="宋体"/>
                <w:color w:val="auto"/>
                <w:sz w:val="24"/>
                <w:szCs w:val="24"/>
                <w:lang w:val="en-US" w:eastAsia="zh-CN"/>
              </w:rPr>
            </w:pPr>
            <w:r>
              <w:rPr>
                <w:rFonts w:hint="eastAsia" w:ascii="宋体" w:hAnsi="宋体" w:eastAsia="宋体" w:cs="宋体"/>
                <w:color w:val="auto"/>
                <w:sz w:val="21"/>
                <w:szCs w:val="21"/>
                <w:highlight w:val="none"/>
                <w:lang w:val="en-US" w:eastAsia="zh-CN"/>
              </w:rPr>
              <w:t>本项目不要求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6121" w:type="dxa"/>
            <w:shd w:val="clear" w:color="auto" w:fill="auto"/>
            <w:vAlign w:val="center"/>
          </w:tcPr>
          <w:p>
            <w:pPr>
              <w:keepNext w:val="0"/>
              <w:keepLines w:val="0"/>
              <w:pageBreakBefore w:val="0"/>
              <w:widowControl w:val="0"/>
              <w:numPr>
                <w:ilvl w:val="0"/>
                <w:numId w:val="0"/>
              </w:numPr>
              <w:kinsoku/>
              <w:wordWrap w:val="0"/>
              <w:overflowPunct/>
              <w:topLinePunct w:val="0"/>
              <w:bidi w:val="0"/>
              <w:adjustRightInd/>
              <w:snapToGrid/>
              <w:spacing w:line="400" w:lineRule="exact"/>
              <w:ind w:left="0" w:leftChars="0" w:firstLine="0" w:firstLineChars="0"/>
              <w:textAlignment w:val="auto"/>
              <w:rPr>
                <w:rFonts w:hint="default" w:ascii="宋体" w:eastAsia="宋体" w:cs="宋体"/>
                <w:color w:val="auto"/>
                <w:sz w:val="24"/>
                <w:szCs w:val="24"/>
                <w:lang w:val="en-US" w:eastAsia="zh-CN"/>
              </w:rPr>
            </w:pPr>
            <w:r>
              <w:rPr>
                <w:rFonts w:hint="eastAsia" w:ascii="宋体" w:hAnsi="宋体" w:eastAsia="宋体" w:cs="宋体"/>
                <w:color w:val="auto"/>
                <w:sz w:val="21"/>
                <w:szCs w:val="21"/>
                <w:highlight w:val="none"/>
                <w:lang w:val="en-US" w:eastAsia="zh-CN"/>
              </w:rPr>
              <w:t>无</w:t>
            </w:r>
          </w:p>
        </w:tc>
      </w:tr>
    </w:tbl>
    <w:p>
      <w:pPr>
        <w:numPr>
          <w:ilvl w:val="0"/>
          <w:numId w:val="0"/>
        </w:numPr>
        <w:kinsoku/>
        <w:spacing w:before="240" w:beforeLines="100" w:line="360" w:lineRule="auto"/>
        <w:ind w:firstLine="481" w:firstLineChars="200"/>
        <w:outlineLvl w:val="2"/>
        <w:rPr>
          <w:rFonts w:hint="eastAsia" w:ascii="宋体" w:eastAsia="宋体" w:cs="宋体"/>
          <w:b/>
          <w:bCs/>
          <w:color w:val="auto"/>
          <w:sz w:val="24"/>
          <w:szCs w:val="24"/>
        </w:rPr>
      </w:pPr>
      <w:r>
        <w:rPr>
          <w:rFonts w:hint="eastAsia" w:ascii="宋体" w:hAnsi="Arial" w:eastAsia="宋体" w:cs="宋体"/>
          <w:b/>
          <w:bCs/>
          <w:color w:val="auto"/>
          <w:sz w:val="24"/>
          <w:szCs w:val="24"/>
          <w:lang w:val="en-US" w:eastAsia="en-US" w:bidi="ar-SA"/>
        </w:rPr>
        <w:t>2.</w:t>
      </w:r>
      <w:r>
        <w:rPr>
          <w:rFonts w:hint="eastAsia" w:ascii="宋体" w:eastAsia="宋体" w:cs="宋体"/>
          <w:b/>
          <w:bCs/>
          <w:color w:val="auto"/>
          <w:sz w:val="24"/>
          <w:szCs w:val="24"/>
        </w:rPr>
        <w:t>技术要求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3"/>
        <w:rPr>
          <w:rFonts w:hint="eastAsia" w:ascii="宋体" w:eastAsia="宋体" w:cs="宋体"/>
          <w:b w:val="0"/>
          <w:bCs w:val="0"/>
          <w:color w:val="auto"/>
          <w:sz w:val="24"/>
          <w:szCs w:val="24"/>
          <w:lang w:val="en-US" w:eastAsia="zh-CN"/>
        </w:rPr>
      </w:pPr>
      <w:r>
        <w:rPr>
          <w:rFonts w:hint="eastAsia" w:ascii="宋体" w:eastAsia="宋体" w:cs="宋体"/>
          <w:b w:val="0"/>
          <w:bCs w:val="0"/>
          <w:color w:val="auto"/>
          <w:sz w:val="24"/>
          <w:szCs w:val="24"/>
          <w:lang w:eastAsia="zh-CN"/>
        </w:rPr>
        <w:t>采购包</w:t>
      </w:r>
      <w:r>
        <w:rPr>
          <w:rFonts w:hint="eastAsia" w:ascii="宋体" w:eastAsia="宋体" w:cs="宋体"/>
          <w:b w:val="0"/>
          <w:bCs w:val="0"/>
          <w:color w:val="auto"/>
          <w:sz w:val="24"/>
          <w:szCs w:val="24"/>
          <w:lang w:val="en-US" w:eastAsia="zh-CN"/>
        </w:rPr>
        <w:t>1：赤峰市生态环境局喀喇沁旗分局2026年建设项目环评审批技术评估项目</w:t>
      </w:r>
    </w:p>
    <w:tbl>
      <w:tblPr>
        <w:tblStyle w:val="21"/>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539"/>
        <w:gridCol w:w="8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39"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4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w:t>
            </w:r>
          </w:p>
        </w:tc>
        <w:tc>
          <w:tcPr>
            <w:tcW w:w="539"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p>
        </w:tc>
        <w:tc>
          <w:tcPr>
            <w:tcW w:w="8446" w:type="dxa"/>
            <w:shd w:val="clear" w:color="auto" w:fill="auto"/>
            <w:vAlign w:val="center"/>
          </w:tcPr>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1、供应商要严格按照环境影响评价技术评估导则要求对环评文件及公众参与专题进行技术评估，并对评估质量负责。</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2、应组织专家及建设单位、环评单位等代表对评估项目进行实地踏查，详细了解并记录项目周边环境概况、周边环境敏感点分布等情况。</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化工、冶炼等复杂项目及规划环评评审专家原则上每个项目不能少于5人，其中规划环评评审根据需要应包含工业、农业、畜牧业、林业、能源、水利、交通、城市建设、旅游、自然资源开发等方面的专家；一般项目评审专家原则上每个项目不能少于3人。</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专家能力要求：一是具有较高的专业素养及相关工作经历；二是具有良好的职业操守。</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接受单个环评文件委托后，应在10个工作日内完成该项目环评的技术评估，并向采购单位提交专家意见（三份）、评估报告（三份）。在评估过程中，由供应商负责组织对修改完善后的环评文件进行审核、签字或盖章。</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5、对于因需补充监测等原因导致环评文件修改周期较长，不能按期完成评估的项目，供应商应向采购方提出书面延期申请。</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6、供应商不得以任何非正当理由要求采购单位进行二次评估，一经发现，将记入不诚信档案。</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7、采购单位可以根据工作实际情况，在预算不变的前提下调整环境影响报告书和环境影响报告表的具体数量。 </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8、成果的归属：本项目的所有成果所有权归所有采购人所有。采购人引用成交供应商的工作成果所完成的新的成果，属于采购人所有。</w:t>
            </w:r>
          </w:p>
          <w:p>
            <w:pPr>
              <w:pStyle w:val="29"/>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9、质量标准：按照行业规范和服务标准，服务质量达到采购人要求，</w:t>
            </w:r>
            <w:r>
              <w:rPr>
                <w:rFonts w:hint="eastAsia" w:ascii="宋体" w:hAnsi="宋体" w:eastAsia="宋体" w:cs="宋体"/>
                <w:b w:val="0"/>
                <w:bCs w:val="0"/>
                <w:color w:val="auto"/>
                <w:sz w:val="24"/>
                <w:szCs w:val="24"/>
                <w:highlight w:val="none"/>
                <w:lang w:val="en-US" w:eastAsia="zh-CN"/>
              </w:rPr>
              <w:t>出具的评估报告符合国家（或行业）规定标准。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8985"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rPr>
                <w:rFonts w:hint="eastAsia"/>
                <w:lang w:eastAsia="zh-CN"/>
              </w:rPr>
            </w:pPr>
            <w:r>
              <w:rPr>
                <w:rFonts w:hint="eastAsia" w:ascii="宋体" w:hAnsi="宋体" w:eastAsia="宋体" w:cs="宋体"/>
                <w:color w:val="auto"/>
                <w:sz w:val="24"/>
                <w:szCs w:val="24"/>
              </w:rPr>
              <w:t>打“★”号条款为实质性条款，若有任何一条负偏离或不满足则导致响应无效。</w:t>
            </w:r>
          </w:p>
        </w:tc>
      </w:tr>
    </w:tbl>
    <w:p>
      <w:pPr>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color w:val="auto"/>
          <w:sz w:val="24"/>
          <w:szCs w:val="24"/>
          <w:lang w:eastAsia="zh-CN"/>
        </w:rPr>
      </w:pPr>
      <w:bookmarkStart w:id="18" w:name="_Toc21814"/>
      <w:r>
        <w:rPr>
          <w:rFonts w:hint="eastAsia" w:ascii="宋体" w:eastAsia="宋体" w:cs="宋体"/>
          <w:b/>
          <w:bCs/>
          <w:color w:val="auto"/>
          <w:sz w:val="28"/>
          <w:szCs w:val="28"/>
          <w:lang w:eastAsia="zh-CN"/>
        </w:rPr>
        <w:t>第四章  供应商应当提交的资格、资信证明文件</w:t>
      </w:r>
      <w:bookmarkEnd w:id="18"/>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供应商应提交证明其有资格参加磋商和成交后有能力履行合同的相关文件，并作为其响应文件的一部分，所有文件必须真实可靠、不得伪造，否则将按相关规定予以处罚。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二、财务状况报告，依法缴纳税收和社会保障资金的相关材料（详见资格审查表）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三、具备履行合同所必需的设备和专业技术能力的相关材料。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四、参加政府采购活动前 3 年内在经营活动中没有重大违法记录的书面声明。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五、按照磋商文件要求，供应商应当提交的其他资格、资信证明文件。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b/>
          <w:bCs/>
          <w:color w:val="auto"/>
          <w:sz w:val="24"/>
          <w:szCs w:val="24"/>
          <w:lang w:eastAsia="zh-CN"/>
        </w:rPr>
      </w:pPr>
      <w:bookmarkStart w:id="19" w:name="_Toc22090"/>
      <w:r>
        <w:rPr>
          <w:rFonts w:hint="eastAsia" w:ascii="宋体" w:eastAsia="宋体" w:cs="宋体"/>
          <w:b/>
          <w:bCs/>
          <w:color w:val="auto"/>
          <w:sz w:val="28"/>
          <w:szCs w:val="28"/>
          <w:lang w:eastAsia="zh-CN"/>
        </w:rPr>
        <w:t>第五章  评审</w:t>
      </w:r>
      <w:bookmarkEnd w:id="19"/>
    </w:p>
    <w:p>
      <w:pPr>
        <w:kinsoku/>
        <w:spacing w:line="360" w:lineRule="auto"/>
        <w:ind w:firstLine="481" w:firstLineChars="200"/>
        <w:outlineLvl w:val="1"/>
        <w:rPr>
          <w:rFonts w:ascii="宋体" w:eastAsia="宋体" w:cs="宋体"/>
          <w:color w:val="auto"/>
          <w:sz w:val="24"/>
          <w:szCs w:val="24"/>
          <w:lang w:eastAsia="zh-CN"/>
        </w:rPr>
      </w:pPr>
      <w:bookmarkStart w:id="20" w:name="_Toc18962"/>
      <w:r>
        <w:rPr>
          <w:rFonts w:hint="eastAsia" w:ascii="宋体" w:eastAsia="宋体" w:cs="宋体"/>
          <w:b/>
          <w:bCs/>
          <w:color w:val="auto"/>
          <w:sz w:val="24"/>
          <w:szCs w:val="24"/>
          <w:lang w:eastAsia="zh-CN"/>
        </w:rPr>
        <w:t>一、评审要求</w:t>
      </w:r>
      <w:bookmarkEnd w:id="20"/>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1.评审方法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2.评审原则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磋商小组成员应当遵循客观、公正、审慎的原则，根据磋商文件规定的评审程序、评审方法和评审标准进行独立评审。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具体评审事项由磋商小组负责，并按磋商文件规定的办法进行评审。</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3.磋商小组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3.1 磋商小组由采购人代表和评审专家共 3 人以上单数组成，其中评审专家人数不得少于磋商小组成员总数的 2/3。</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3.2 磋商小组成员有下列情形之一的，应当回避：</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（1）参加政府采购活动前 3 年内,与供应商存在劳动关系,或者担任过供应商的董事、监事,或者是供应商的控股股东或实际控制人；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（2）与供应商的法定代表人或者负责人有夫妻、直系血亲、三代以内旁系血亲或者近姻亲关系；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（3）与供应商有其他可能影响政府采购活动公平、公正进行的关系。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3.3 磋商小组负责具体评审事务，并独立履行下列职责：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（1）对响应文件的有效性、完整性和响应程度进行审查；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（2）要求供应商对响应文件有关事项作出澄清、说明或更正；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（3）磋商小组所有成员应当集中与单一供应商分别进行磋商；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（4）对响应文件进行比较和评价；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（5）确定成交候选人名单，以及根据采购人委托直接确定成交供应商；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（6）向采购人、采购代理机构或者有关部门报告评审中发现的违法行为；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（7）法律法规规定的其他职责。</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4.澄清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磋商小组不接受供应商主动提出的澄清、说明或更正。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 磋商小组对供应商提交的澄清、说明或更正有疑问的，可以要求供应商进一步澄清、说明或更正。</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5.有下列情形之一的，属于恶意串通，并追究法律责任：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（1）供应商直接或者间接从采购人或者采购代理机构处获得其他供应商的相关情况并修改其响应文件；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（2）供应商按照采购人或者采购代理机构的授意撤换、修改响应文件；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（3）供应商之间协商报价、技术方案等响应文件的实质性内容；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（4）属于同一集团、协会、商会等组织成员的供应商按照该组织要求协同参加政府采购活动；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（5）供应商之间事先约定由某一特定供应商成交；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（6）供应商之间商定部分供应商放弃参加政府采购活动或者放弃成交；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（7）供应商与采购人或者采购代理机构之间、供应商相互之间，为谋求特定供应商成交或者排斥其他供应商的其他串通行为。</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6.响应无效的情形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（1）供应商未按照磋商文件要求提交磋商保证金的，响应无效；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（2）在提交响应文件截止时间后递交响应文件的，响应无效；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（3）未实质性响应磋商文件的，响应无效；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（4）法律、法规和磋商文件规定的其他无效情形。</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7.终止的情形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出现下列情形之一的，采购人或者采购代理机构应当终止竞争性磋商采购活动，发布公告并说明原因，重新开展采购活动：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（1）因情况变化，不再符合规定的竞争性磋商采购方式适用情形的；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（2）出现影响采购公正的违法、违规行为的；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（3）除《政府采购竞争性磋商采购方式管理暂行办法》及其补充通知规定的情形外，在采购过程中符合要求的供应商或者报价未超过采购预算的供应商不足 3 家的。</w:t>
      </w:r>
    </w:p>
    <w:p>
      <w:pPr>
        <w:kinsoku/>
        <w:spacing w:line="360" w:lineRule="auto"/>
        <w:ind w:firstLine="480" w:firstLineChars="200"/>
        <w:rPr>
          <w:rFonts w:hint="eastAsia" w:ascii="宋体" w:eastAsia="宋体" w:cs="宋体"/>
          <w:b/>
          <w:bCs/>
          <w:color w:val="auto"/>
          <w:sz w:val="24"/>
          <w:szCs w:val="24"/>
          <w:lang w:eastAsia="zh-CN"/>
        </w:rPr>
      </w:pPr>
      <w:r>
        <w:rPr>
          <w:rFonts w:hint="eastAsia" w:ascii="宋体" w:eastAsia="宋体" w:cs="宋体"/>
          <w:b w:val="0"/>
          <w:bCs w:val="0"/>
          <w:color w:val="auto"/>
          <w:sz w:val="24"/>
          <w:szCs w:val="24"/>
          <w:lang w:eastAsia="zh-CN"/>
        </w:rPr>
        <w:t>（4）法律、法规以及磋商文件规定的其他情形。</w:t>
      </w:r>
    </w:p>
    <w:p>
      <w:pPr>
        <w:kinsoku/>
        <w:spacing w:line="360" w:lineRule="auto"/>
        <w:ind w:firstLine="481" w:firstLineChars="200"/>
        <w:rPr>
          <w:rFonts w:hint="eastAsia" w:ascii="宋体" w:eastAsia="宋体" w:cs="宋体"/>
          <w:b/>
          <w:bCs/>
          <w:color w:val="auto"/>
          <w:sz w:val="24"/>
          <w:szCs w:val="24"/>
          <w:lang w:val="zh-CN" w:eastAsia="zh-CN"/>
        </w:rPr>
      </w:pPr>
      <w:bookmarkStart w:id="21" w:name="_Toc29984"/>
      <w:r>
        <w:rPr>
          <w:rFonts w:hint="eastAsia" w:ascii="宋体" w:eastAsia="宋体" w:cs="宋体"/>
          <w:b/>
          <w:bCs/>
          <w:color w:val="auto"/>
          <w:sz w:val="24"/>
          <w:szCs w:val="24"/>
          <w:lang w:val="en-US" w:eastAsia="zh-CN"/>
        </w:rPr>
        <w:t>8</w:t>
      </w:r>
      <w:r>
        <w:rPr>
          <w:rFonts w:hint="eastAsia" w:ascii="宋体" w:eastAsia="宋体" w:cs="宋体"/>
          <w:b/>
          <w:bCs/>
          <w:color w:val="auto"/>
          <w:sz w:val="24"/>
          <w:szCs w:val="24"/>
          <w:lang w:eastAsia="zh-CN"/>
        </w:rPr>
        <w:t>、</w:t>
      </w:r>
      <w:r>
        <w:rPr>
          <w:rFonts w:hint="eastAsia" w:ascii="宋体" w:eastAsia="宋体" w:cs="宋体"/>
          <w:b/>
          <w:bCs/>
          <w:color w:val="auto"/>
          <w:sz w:val="24"/>
          <w:szCs w:val="24"/>
          <w:lang w:val="zh-CN" w:eastAsia="zh-CN"/>
        </w:rPr>
        <w:t>磋商评审纪律</w:t>
      </w:r>
    </w:p>
    <w:p>
      <w:pPr>
        <w:kinsoku/>
        <w:spacing w:line="360" w:lineRule="auto"/>
        <w:ind w:firstLine="480" w:firstLineChars="200"/>
        <w:rPr>
          <w:rFonts w:hint="eastAsia" w:ascii="宋体" w:eastAsia="宋体" w:cs="宋体"/>
          <w:color w:val="auto"/>
          <w:sz w:val="24"/>
          <w:szCs w:val="24"/>
          <w:lang w:val="zh-CN" w:eastAsia="zh-CN"/>
        </w:rPr>
      </w:pPr>
      <w:r>
        <w:rPr>
          <w:rFonts w:hint="eastAsia" w:ascii="宋体" w:eastAsia="宋体" w:cs="宋体"/>
          <w:color w:val="auto"/>
          <w:sz w:val="24"/>
          <w:szCs w:val="24"/>
          <w:lang w:eastAsia="zh-CN"/>
        </w:rPr>
        <w:t>1、磋商小组成员</w:t>
      </w:r>
      <w:r>
        <w:rPr>
          <w:rFonts w:hint="eastAsia" w:ascii="宋体" w:eastAsia="宋体" w:cs="宋体"/>
          <w:color w:val="auto"/>
          <w:sz w:val="24"/>
          <w:szCs w:val="24"/>
          <w:lang w:val="zh-CN" w:eastAsia="zh-CN"/>
        </w:rPr>
        <w:t>内部讨论的情况和意见应当予以保密，任何人不得以任何形式透露给供应商或与供应商有关的单位或个人；</w:t>
      </w:r>
    </w:p>
    <w:p>
      <w:pPr>
        <w:kinsoku/>
        <w:spacing w:line="360" w:lineRule="auto"/>
        <w:ind w:firstLine="480" w:firstLineChars="200"/>
        <w:rPr>
          <w:rFonts w:hint="eastAsia" w:ascii="宋体" w:eastAsia="宋体" w:cs="宋体"/>
          <w:color w:val="auto"/>
          <w:sz w:val="24"/>
          <w:szCs w:val="24"/>
          <w:lang w:val="zh-CN" w:eastAsia="zh-CN"/>
        </w:rPr>
      </w:pPr>
      <w:r>
        <w:rPr>
          <w:rFonts w:hint="eastAsia" w:ascii="宋体" w:eastAsia="宋体" w:cs="宋体"/>
          <w:color w:val="auto"/>
          <w:sz w:val="24"/>
          <w:szCs w:val="24"/>
          <w:lang w:eastAsia="zh-CN"/>
        </w:rPr>
        <w:t>2、</w:t>
      </w:r>
      <w:r>
        <w:rPr>
          <w:rFonts w:hint="eastAsia" w:ascii="宋体" w:eastAsia="宋体" w:cs="宋体"/>
          <w:color w:val="auto"/>
          <w:sz w:val="24"/>
          <w:szCs w:val="24"/>
          <w:lang w:val="zh-CN" w:eastAsia="zh-CN"/>
        </w:rPr>
        <w:t>在磋商过程中，供应商不得以任何形式对磋商小组成员进行旨在影响磋商结果的私下接触，否则取消其磋商资格；</w:t>
      </w:r>
    </w:p>
    <w:p>
      <w:pPr>
        <w:kinsoku/>
        <w:spacing w:line="360" w:lineRule="auto"/>
        <w:ind w:firstLine="480" w:firstLineChars="200"/>
        <w:rPr>
          <w:rFonts w:hint="eastAsia" w:ascii="宋体" w:eastAsia="宋体" w:cs="宋体"/>
          <w:color w:val="auto"/>
          <w:sz w:val="24"/>
          <w:szCs w:val="24"/>
          <w:lang w:val="zh-CN" w:eastAsia="zh-CN"/>
        </w:rPr>
      </w:pPr>
      <w:r>
        <w:rPr>
          <w:rFonts w:hint="eastAsia" w:ascii="宋体" w:eastAsia="宋体" w:cs="宋体"/>
          <w:color w:val="auto"/>
          <w:sz w:val="24"/>
          <w:szCs w:val="24"/>
          <w:lang w:eastAsia="zh-CN"/>
        </w:rPr>
        <w:t>3磋商</w:t>
      </w:r>
      <w:r>
        <w:rPr>
          <w:rFonts w:hint="eastAsia" w:ascii="宋体" w:eastAsia="宋体" w:cs="宋体"/>
          <w:color w:val="auto"/>
          <w:sz w:val="24"/>
          <w:szCs w:val="24"/>
          <w:lang w:val="zh-CN" w:eastAsia="zh-CN"/>
        </w:rPr>
        <w:t>小组成员以及与磋商有关的人员应当对评审情况和评审过程中获悉的国家秘密、商业秘密予以保密。</w:t>
      </w:r>
    </w:p>
    <w:p>
      <w:pPr>
        <w:kinsoku/>
        <w:spacing w:line="360" w:lineRule="auto"/>
        <w:ind w:firstLine="481" w:firstLineChars="200"/>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9、组织磋商及评审工作程序</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磋商小组应当按照客观、公正、审慎的原则，根据竞争性磋商文件规定的评审程序、评审方法和评审标准进行独立评审。磋商会在采购人或其委托人主持下按程序进行。</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1、磋商小组根据竞争性磋商文件共同对供应商的资格、响应文件及其他资料进行评审，未实质性响应竞争性磋商文件的响应文件及其他资料按无效响应处理，磋商小组应当告知提交响应文件的供应商。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val="zh-CN" w:eastAsia="zh-CN"/>
        </w:rPr>
        <w:t>在竞争性磋商文件及程序符合法律规定的前提下，</w:t>
      </w:r>
      <w:r>
        <w:rPr>
          <w:rFonts w:hint="eastAsia" w:ascii="宋体" w:eastAsia="宋体" w:cs="宋体"/>
          <w:color w:val="auto"/>
          <w:sz w:val="24"/>
          <w:szCs w:val="24"/>
          <w:lang w:eastAsia="zh-CN"/>
        </w:rPr>
        <w:t>符合要求的供应商有3家及以上的，竞争性磋商采购活动可以继续进行。符合要求的供应商不足3家的，采购人或者采购代理机构应当终止竞争性磋商采购活动，</w:t>
      </w:r>
      <w:r>
        <w:rPr>
          <w:rFonts w:hint="eastAsia" w:ascii="宋体" w:eastAsia="宋体" w:cs="宋体"/>
          <w:color w:val="auto"/>
          <w:sz w:val="24"/>
          <w:szCs w:val="24"/>
          <w:lang w:val="zh-CN" w:eastAsia="zh-CN"/>
        </w:rPr>
        <w:t>发布项目终止公告并说明原因，重新开展采购活动</w:t>
      </w:r>
      <w:r>
        <w:rPr>
          <w:rFonts w:hint="eastAsia" w:ascii="宋体" w:eastAsia="宋体" w:cs="宋体"/>
          <w:color w:val="auto"/>
          <w:sz w:val="24"/>
          <w:szCs w:val="24"/>
          <w:lang w:eastAsia="zh-CN"/>
        </w:rPr>
        <w:t>。</w:t>
      </w:r>
    </w:p>
    <w:p>
      <w:pPr>
        <w:kinsoku/>
        <w:spacing w:line="360" w:lineRule="auto"/>
        <w:ind w:firstLine="480" w:firstLineChars="200"/>
        <w:rPr>
          <w:rFonts w:hint="eastAsia" w:ascii="宋体" w:eastAsia="宋体" w:cs="宋体"/>
          <w:color w:val="auto"/>
          <w:sz w:val="24"/>
          <w:szCs w:val="24"/>
          <w:lang w:val="zh-CN" w:eastAsia="zh-CN"/>
        </w:rPr>
      </w:pPr>
      <w:r>
        <w:rPr>
          <w:rFonts w:hint="eastAsia" w:ascii="宋体" w:eastAsia="宋体" w:cs="宋体"/>
          <w:color w:val="auto"/>
          <w:sz w:val="24"/>
          <w:szCs w:val="24"/>
          <w:lang w:eastAsia="zh-CN"/>
        </w:rPr>
        <w:t>根据《财政部关于政府</w:t>
      </w:r>
      <w:r>
        <w:rPr>
          <w:rFonts w:hint="eastAsia" w:ascii="宋体" w:eastAsia="宋体" w:cs="宋体"/>
          <w:color w:val="auto"/>
          <w:sz w:val="24"/>
          <w:szCs w:val="24"/>
          <w:lang w:val="zh-CN" w:eastAsia="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insoku/>
        <w:spacing w:line="360" w:lineRule="auto"/>
        <w:ind w:firstLine="480" w:firstLineChars="200"/>
        <w:rPr>
          <w:rFonts w:hint="eastAsia" w:ascii="宋体" w:eastAsia="宋体" w:cs="宋体"/>
          <w:color w:val="auto"/>
          <w:sz w:val="24"/>
          <w:szCs w:val="24"/>
          <w:lang w:val="zh-CN" w:eastAsia="zh-CN"/>
        </w:rPr>
      </w:pPr>
      <w:r>
        <w:rPr>
          <w:rFonts w:hint="eastAsia" w:ascii="宋体" w:eastAsia="宋体" w:cs="宋体"/>
          <w:color w:val="auto"/>
          <w:sz w:val="24"/>
          <w:szCs w:val="24"/>
          <w:lang w:eastAsia="zh-CN"/>
        </w:rPr>
        <w:t>2、</w:t>
      </w:r>
      <w:r>
        <w:rPr>
          <w:rFonts w:hint="eastAsia" w:ascii="宋体" w:eastAsia="宋体" w:cs="宋体"/>
          <w:color w:val="auto"/>
          <w:sz w:val="24"/>
          <w:szCs w:val="24"/>
          <w:lang w:val="zh-CN" w:eastAsia="zh-CN"/>
        </w:rPr>
        <w:t>磋商小组所有成员集中与单一供应商按照</w:t>
      </w:r>
      <w:r>
        <w:rPr>
          <w:rFonts w:hint="eastAsia" w:ascii="宋体" w:eastAsia="宋体" w:cs="宋体"/>
          <w:color w:val="auto"/>
          <w:sz w:val="24"/>
          <w:szCs w:val="24"/>
          <w:lang w:eastAsia="zh-CN"/>
        </w:rPr>
        <w:t>磋商现场决定的顺序</w:t>
      </w:r>
      <w:r>
        <w:rPr>
          <w:rFonts w:hint="eastAsia" w:ascii="宋体" w:eastAsia="宋体" w:cs="宋体"/>
          <w:color w:val="auto"/>
          <w:sz w:val="24"/>
          <w:szCs w:val="24"/>
          <w:lang w:val="zh-CN" w:eastAsia="zh-CN"/>
        </w:rPr>
        <w:t>分别进行磋商，并给予所有参加磋商的供应商平等的磋商机会。</w:t>
      </w:r>
      <w:r>
        <w:rPr>
          <w:rFonts w:hint="eastAsia" w:ascii="宋体" w:eastAsia="宋体" w:cs="宋体"/>
          <w:color w:val="auto"/>
          <w:sz w:val="24"/>
          <w:szCs w:val="24"/>
          <w:lang w:eastAsia="zh-CN"/>
        </w:rPr>
        <w:t>每个供应商分别进行一轮或多轮单一保密磋商。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 xml:space="preserve">对竞争性磋商文件作出的实质性变动是竞争性磋商文件的有效组成部分，磋商小组应当及时以书面形式同时通知所有参加磋商的供应商。 </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4、供应商应当按照竞争性磋商文件的变动情况和磋商小组的要求重新提交响应文件，并由其法定代表人或授权代表签字或者加盖公章。由授权代表签字的，应当附法定代表人授权书。供应商为自然人的，应当由本人签章并附身份证明。</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5、竞争性磋商文件能够详细列明采购标的的技术、服务要求的，磋商结束后，磋商小组应当要求所有实质性响应的供应商在规定时间内提交最后报价，提交最后报价的供应商不得少于3家。</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最后报价是供应商响应文件的有效组成部分。符合《财政部关于政府</w:t>
      </w:r>
      <w:r>
        <w:rPr>
          <w:rFonts w:hint="eastAsia" w:ascii="宋体" w:eastAsia="宋体" w:cs="宋体"/>
          <w:color w:val="auto"/>
          <w:sz w:val="24"/>
          <w:szCs w:val="24"/>
          <w:lang w:val="zh-CN" w:eastAsia="zh-CN"/>
        </w:rPr>
        <w:t>采购竞争性磋商采购方式管理暂行办法有关问题的补充通知》规定的</w:t>
      </w:r>
      <w:r>
        <w:rPr>
          <w:rFonts w:hint="eastAsia" w:ascii="宋体" w:eastAsia="宋体" w:cs="宋体"/>
          <w:color w:val="auto"/>
          <w:sz w:val="24"/>
          <w:szCs w:val="24"/>
          <w:lang w:eastAsia="zh-CN"/>
        </w:rPr>
        <w:t>情形的，提交最后报价的供应商可以为2家。</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6、经磋商确定最终采购需求和提交最后报价的供应商后，由磋商小组采用综合评分法对提交最后报价的供应商的响应文件和最后报价进行</w:t>
      </w:r>
      <w:bookmarkStart w:id="22" w:name="OLE_LINK4"/>
      <w:r>
        <w:rPr>
          <w:rFonts w:hint="eastAsia" w:ascii="宋体" w:eastAsia="宋体" w:cs="宋体"/>
          <w:color w:val="auto"/>
          <w:sz w:val="24"/>
          <w:szCs w:val="24"/>
          <w:lang w:eastAsia="zh-CN"/>
        </w:rPr>
        <w:t>综合评分</w:t>
      </w:r>
      <w:bookmarkEnd w:id="22"/>
      <w:r>
        <w:rPr>
          <w:rFonts w:hint="eastAsia" w:ascii="宋体" w:eastAsia="宋体" w:cs="宋体"/>
          <w:color w:val="auto"/>
          <w:sz w:val="24"/>
          <w:szCs w:val="24"/>
          <w:lang w:eastAsia="zh-CN"/>
        </w:rPr>
        <w:t>。</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评审时，磋商小组各成员应当独立对每个有效响应的文件进行评价、打分，然后汇总每个供应商每项评分因素的得分。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7、磋商小组应当根据综合评分情况，按照评审得分由高到低顺序推荐3名及以上成交候选供应商，并编写评审报告。符合《财政部关于政府</w:t>
      </w:r>
      <w:r>
        <w:rPr>
          <w:rFonts w:hint="eastAsia" w:ascii="宋体" w:eastAsia="宋体" w:cs="宋体"/>
          <w:color w:val="auto"/>
          <w:sz w:val="24"/>
          <w:szCs w:val="24"/>
          <w:lang w:val="zh-CN" w:eastAsia="zh-CN"/>
        </w:rPr>
        <w:t>采购竞争性磋商采购方式管理暂行办法有关问题的补充通知》规定的</w:t>
      </w:r>
      <w:r>
        <w:rPr>
          <w:rFonts w:hint="eastAsia" w:ascii="宋体" w:eastAsia="宋体" w:cs="宋体"/>
          <w:color w:val="auto"/>
          <w:sz w:val="24"/>
          <w:szCs w:val="24"/>
          <w:lang w:eastAsia="zh-CN"/>
        </w:rPr>
        <w:t>情形的，可以推荐2家成交候选供应商。评审得分相同的，按照最后报价由低到高的顺序推荐。评审得分且最后报价相同的，按照技术指标优劣顺序推荐。</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评审报告应当由磋商小组全体人员签字认可。</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pPr>
        <w:kinsoku/>
        <w:spacing w:line="360" w:lineRule="auto"/>
        <w:ind w:firstLine="481" w:firstLineChars="200"/>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十、提交评审报告</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采购代理机构应当在评审结束后1个工作日内将评审报告送采购人确认。</w:t>
      </w:r>
    </w:p>
    <w:p>
      <w:pPr>
        <w:kinsoku/>
        <w:spacing w:line="360" w:lineRule="auto"/>
        <w:ind w:firstLine="481" w:firstLineChars="200"/>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十一、确定成交供应商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w:t>
      </w:r>
      <w:bookmarkStart w:id="65" w:name="_GoBack"/>
      <w:bookmarkEnd w:id="65"/>
      <w:r>
        <w:rPr>
          <w:rFonts w:hint="eastAsia" w:ascii="宋体" w:eastAsia="宋体" w:cs="宋体"/>
          <w:color w:val="auto"/>
          <w:sz w:val="24"/>
          <w:szCs w:val="24"/>
          <w:lang w:eastAsia="zh-CN"/>
        </w:rPr>
        <w:t>排序第一的供应商为成交供应商。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kinsoku/>
        <w:spacing w:line="360" w:lineRule="auto"/>
        <w:ind w:firstLine="481" w:firstLineChars="200"/>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十二、成交结果</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采购人或者采购代理机构应当在成交供应商确定后2个工作日内，在“赤峰市生态环境局”http://sthjj.chifeng.gov.cn/网站或国资智采电子招投标交易平台（https://www.gzzczb.com）上公告成交结果，同时向成交供应商发出成交通知书。</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成交结果公告包括以下内容：</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（一）采购人和采购代理机构的名称、地址和联系方式；</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（二）项目名称和项目编号；</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（三）成交供应商名称、地址和成交金额；</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（四）主要成交标的的名称、规格型号、数量、单价、服务要求；</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（五）磋商小组成员名单。</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成交通知书发出后，采购人改变成交结果，或者成交供应商放弃成交，应当承担相应的法律责任。</w:t>
      </w:r>
    </w:p>
    <w:p>
      <w:pPr>
        <w:kinsoku/>
        <w:spacing w:line="360" w:lineRule="auto"/>
        <w:ind w:firstLine="481" w:firstLineChars="200"/>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十三、合同签订</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1、采购人与成交供应商应当在成交通知书发出之日起7日内，按照竞争性磋商文件确定的合同文本以及采购标的、规格型号、采购金额、采购数量、技术和服务要求等事项签订政府采购合同。</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3、竞争性磋商文件、响应文件及磋商过程中有关补充文件均作为合同附件，并与合同具有相同的法律效力。</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4、供应商应当按照合同履行义务，完成磋商项目。未经采购人同意，成交供应商不得向他人分包、转包成交项目。</w:t>
      </w:r>
    </w:p>
    <w:p>
      <w:pPr>
        <w:kinsoku/>
        <w:spacing w:line="360" w:lineRule="auto"/>
        <w:ind w:firstLine="481" w:firstLineChars="200"/>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十四、验收</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项目完成后，成交供应商应当配合采购人提供验收需要的相关资料，按采购人要求的验收流程及措施对项目进行履约验收。</w:t>
      </w:r>
    </w:p>
    <w:p>
      <w:pPr>
        <w:kinsoku/>
        <w:spacing w:line="360" w:lineRule="auto"/>
        <w:ind w:firstLine="481" w:firstLineChars="200"/>
        <w:outlineLvl w:val="1"/>
        <w:rPr>
          <w:rFonts w:ascii="宋体" w:eastAsia="宋体" w:cs="宋体"/>
          <w:color w:val="auto"/>
          <w:sz w:val="24"/>
          <w:szCs w:val="24"/>
          <w:lang w:eastAsia="zh-CN"/>
        </w:rPr>
      </w:pPr>
      <w:r>
        <w:rPr>
          <w:rFonts w:hint="eastAsia" w:ascii="宋体" w:eastAsia="宋体" w:cs="宋体"/>
          <w:b/>
          <w:bCs/>
          <w:color w:val="auto"/>
          <w:sz w:val="24"/>
          <w:szCs w:val="24"/>
          <w:lang w:eastAsia="zh-CN"/>
        </w:rPr>
        <w:t>二、落实政府采购政策</w:t>
      </w:r>
      <w:bookmarkEnd w:id="21"/>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1.节约能源、保护环境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2.促进中小企业发展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采购人在政府采购活动中应当通过加强采购需求管理，落实预留采购份额、价格评审优惠、优先采购等措施，提高中小企业在政府采购中的份额，支持中小企业发展。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在政府采购活动中，供应商提供的货物、工程或者服务符合下列情形的，享受《政府采购促进中小企业发展管理办法》规定的中小企业扶持政策：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（1）在货物采购项目中，货物由中小企业制造，即货物由中小企业生产且使用该中小企业商号或者注册商标；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（2）在工程采购项目中，工程由中小企业承建，即工程施工单位为中小企业；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（3）在服务采购项目中，服务由中小企业承接，即提供服务的人员为中小企业依照《中华人民共和国劳动合同法》订立劳动合同的从业人员。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在货物采购项目中，供应商提供的货物既有中小企业制造货物，也有大型企业制造货物的，不享受《政府采购促进中小企业发展管理办法》规定的中小企业扶持政策。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以联合体形式参加政府采购活动，联合体各方均为中小企业的，联合体视同中小企业。其中，联合体各方均为小微企业的，联合体视同小微企业。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9"/>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textDirection w:val="tbRlV"/>
            <w:vAlign w:val="top"/>
          </w:tcPr>
          <w:p>
            <w:pPr>
              <w:spacing w:before="205" w:line="212" w:lineRule="auto"/>
              <w:ind w:left="40"/>
              <w:rPr>
                <w:rFonts w:hint="eastAsia" w:ascii="宋体" w:hAnsi="宋体" w:eastAsia="宋体" w:cs="宋体"/>
                <w:sz w:val="24"/>
                <w:szCs w:val="24"/>
              </w:rPr>
            </w:pPr>
            <w:r>
              <w:rPr>
                <w:rFonts w:hint="eastAsia" w:ascii="宋体" w:hAnsi="宋体" w:eastAsia="宋体" w:cs="宋体"/>
                <w:spacing w:val="-1"/>
                <w:sz w:val="24"/>
                <w:szCs w:val="24"/>
              </w:rPr>
              <w:t>序号</w:t>
            </w:r>
          </w:p>
        </w:tc>
        <w:tc>
          <w:tcPr>
            <w:tcW w:w="1866" w:type="dxa"/>
            <w:vAlign w:val="top"/>
          </w:tcPr>
          <w:p>
            <w:pPr>
              <w:spacing w:before="195" w:line="219" w:lineRule="auto"/>
              <w:ind w:left="598"/>
              <w:rPr>
                <w:rFonts w:hint="eastAsia" w:ascii="宋体" w:hAnsi="宋体" w:eastAsia="宋体" w:cs="宋体"/>
                <w:sz w:val="24"/>
                <w:szCs w:val="24"/>
              </w:rPr>
            </w:pPr>
            <w:r>
              <w:rPr>
                <w:rFonts w:hint="eastAsia" w:ascii="宋体" w:hAnsi="宋体" w:eastAsia="宋体" w:cs="宋体"/>
                <w:spacing w:val="-6"/>
                <w:sz w:val="24"/>
                <w:szCs w:val="24"/>
              </w:rPr>
              <w:t>情形</w:t>
            </w:r>
          </w:p>
        </w:tc>
        <w:tc>
          <w:tcPr>
            <w:tcW w:w="1140" w:type="dxa"/>
            <w:vAlign w:val="top"/>
          </w:tcPr>
          <w:p>
            <w:pPr>
              <w:spacing w:before="39" w:line="224" w:lineRule="auto"/>
              <w:ind w:left="403" w:right="146" w:hanging="248"/>
              <w:rPr>
                <w:rFonts w:hint="eastAsia" w:ascii="宋体" w:hAnsi="宋体" w:eastAsia="宋体" w:cs="宋体"/>
                <w:sz w:val="24"/>
                <w:szCs w:val="24"/>
              </w:rPr>
            </w:pPr>
            <w:r>
              <w:rPr>
                <w:rFonts w:hint="eastAsia" w:ascii="宋体" w:hAnsi="宋体" w:eastAsia="宋体" w:cs="宋体"/>
                <w:spacing w:val="-4"/>
                <w:sz w:val="24"/>
                <w:szCs w:val="24"/>
              </w:rPr>
              <w:t>适用对</w:t>
            </w:r>
            <w:r>
              <w:rPr>
                <w:rFonts w:hint="eastAsia" w:ascii="宋体" w:hAnsi="宋体" w:eastAsia="宋体" w:cs="宋体"/>
                <w:spacing w:val="1"/>
                <w:sz w:val="24"/>
                <w:szCs w:val="24"/>
              </w:rPr>
              <w:t xml:space="preserve"> </w:t>
            </w:r>
            <w:r>
              <w:rPr>
                <w:rFonts w:hint="eastAsia" w:ascii="宋体" w:hAnsi="宋体" w:eastAsia="宋体" w:cs="宋体"/>
                <w:sz w:val="24"/>
                <w:szCs w:val="24"/>
              </w:rPr>
              <w:t>象</w:t>
            </w:r>
          </w:p>
        </w:tc>
        <w:tc>
          <w:tcPr>
            <w:tcW w:w="1906" w:type="dxa"/>
            <w:vAlign w:val="top"/>
          </w:tcPr>
          <w:p>
            <w:pPr>
              <w:spacing w:before="195" w:line="222" w:lineRule="auto"/>
              <w:ind w:left="137"/>
              <w:rPr>
                <w:rFonts w:hint="eastAsia" w:ascii="宋体" w:hAnsi="宋体" w:eastAsia="宋体" w:cs="宋体"/>
                <w:sz w:val="24"/>
                <w:szCs w:val="24"/>
              </w:rPr>
            </w:pPr>
            <w:r>
              <w:rPr>
                <w:rFonts w:hint="eastAsia" w:ascii="宋体" w:hAnsi="宋体" w:eastAsia="宋体" w:cs="宋体"/>
                <w:spacing w:val="-2"/>
                <w:sz w:val="24"/>
                <w:szCs w:val="24"/>
              </w:rPr>
              <w:t>价格扣除比例</w:t>
            </w:r>
          </w:p>
        </w:tc>
        <w:tc>
          <w:tcPr>
            <w:tcW w:w="4069" w:type="dxa"/>
            <w:vAlign w:val="top"/>
          </w:tcPr>
          <w:p>
            <w:pPr>
              <w:spacing w:before="196" w:line="203" w:lineRule="auto"/>
              <w:ind w:left="1340"/>
              <w:rPr>
                <w:rFonts w:hint="eastAsia" w:ascii="宋体" w:hAnsi="宋体" w:eastAsia="宋体" w:cs="宋体"/>
                <w:sz w:val="24"/>
                <w:szCs w:val="24"/>
              </w:rPr>
            </w:pPr>
            <w:r>
              <w:rPr>
                <w:rFonts w:hint="eastAsia" w:ascii="宋体" w:hAnsi="宋体" w:eastAsia="宋体" w:cs="宋体"/>
                <w:spacing w:val="-3"/>
                <w:sz w:val="24"/>
                <w:szCs w:val="24"/>
              </w:rPr>
              <w:t>计算公式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vAlign w:val="top"/>
          </w:tcPr>
          <w:p>
            <w:pPr>
              <w:spacing w:before="39" w:line="203" w:lineRule="auto"/>
              <w:ind w:left="141"/>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8"/>
                <w:w w:val="98"/>
                <w:sz w:val="24"/>
                <w:szCs w:val="24"/>
              </w:rPr>
              <w:t>：（</w:t>
            </w:r>
            <w:r>
              <w:rPr>
                <w:rFonts w:hint="eastAsia" w:ascii="宋体" w:hAnsi="宋体" w:eastAsia="宋体" w:cs="宋体"/>
                <w:spacing w:val="2"/>
                <w:sz w:val="24"/>
                <w:szCs w:val="24"/>
              </w:rPr>
              <w:t>1）上述评标价仅用于计算价格评分，成交</w:t>
            </w:r>
            <w:r>
              <w:rPr>
                <w:rFonts w:hint="eastAsia" w:ascii="宋体" w:hAnsi="宋体" w:eastAsia="宋体" w:cs="宋体"/>
                <w:spacing w:val="1"/>
                <w:sz w:val="24"/>
                <w:szCs w:val="24"/>
              </w:rPr>
              <w:t>金额以实际投标价为准。（2）</w:t>
            </w:r>
            <w:r>
              <w:rPr>
                <w:rFonts w:hint="eastAsia" w:ascii="宋体" w:hAnsi="宋体" w:eastAsia="宋体" w:cs="宋体"/>
                <w:sz w:val="24"/>
                <w:szCs w:val="24"/>
              </w:rPr>
              <w:t>组成联合体的大中型企业和其他自然人、法人或</w:t>
            </w:r>
            <w:r>
              <w:rPr>
                <w:rFonts w:hint="eastAsia" w:ascii="宋体" w:hAnsi="宋体" w:eastAsia="宋体" w:cs="宋体"/>
                <w:spacing w:val="-1"/>
                <w:sz w:val="24"/>
                <w:szCs w:val="24"/>
              </w:rPr>
              <w:t>者其他组织，与小型、微型企业</w:t>
            </w:r>
            <w:r>
              <w:rPr>
                <w:rFonts w:hint="eastAsia" w:ascii="宋体" w:hAnsi="宋体" w:eastAsia="宋体" w:cs="宋体"/>
                <w:spacing w:val="-2"/>
                <w:sz w:val="24"/>
                <w:szCs w:val="24"/>
              </w:rPr>
              <w:t>之间不得存在投资关系。</w:t>
            </w:r>
          </w:p>
        </w:tc>
      </w:tr>
    </w:tbl>
    <w:p>
      <w:pPr>
        <w:kinsoku/>
        <w:spacing w:before="240"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pPr>
        <w:kinsoku/>
        <w:spacing w:line="360" w:lineRule="auto"/>
        <w:ind w:firstLine="480" w:firstLineChars="200"/>
        <w:outlineLvl w:val="9"/>
        <w:rPr>
          <w:rFonts w:hint="eastAsia" w:ascii="宋体" w:eastAsia="宋体" w:cs="宋体"/>
          <w:b/>
          <w:bCs/>
          <w:color w:val="auto"/>
          <w:sz w:val="24"/>
          <w:szCs w:val="24"/>
          <w:lang w:eastAsia="zh-CN"/>
        </w:rPr>
      </w:pPr>
      <w:r>
        <w:rPr>
          <w:rFonts w:hint="eastAsia" w:ascii="宋体" w:eastAsia="宋体" w:cs="宋体"/>
          <w:color w:val="auto"/>
          <w:sz w:val="24"/>
          <w:szCs w:val="24"/>
          <w:lang w:eastAsia="zh-CN"/>
        </w:rPr>
        <w:t>供应商应当对提供材料的真实性负责，若有虚假，将追究其法律责任。</w:t>
      </w:r>
    </w:p>
    <w:p>
      <w:pPr>
        <w:kinsoku/>
        <w:spacing w:line="360" w:lineRule="auto"/>
        <w:ind w:firstLine="481" w:firstLineChars="200"/>
        <w:outlineLvl w:val="1"/>
        <w:rPr>
          <w:rFonts w:ascii="宋体" w:eastAsia="宋体" w:cs="宋体"/>
          <w:color w:val="auto"/>
          <w:sz w:val="24"/>
          <w:szCs w:val="24"/>
          <w:lang w:eastAsia="zh-CN"/>
        </w:rPr>
      </w:pPr>
      <w:bookmarkStart w:id="23" w:name="_Toc24185"/>
      <w:r>
        <w:rPr>
          <w:rFonts w:hint="eastAsia" w:ascii="宋体" w:eastAsia="宋体" w:cs="宋体"/>
          <w:b/>
          <w:bCs/>
          <w:color w:val="auto"/>
          <w:sz w:val="24"/>
          <w:szCs w:val="24"/>
          <w:lang w:eastAsia="zh-CN"/>
        </w:rPr>
        <w:t>三、评审程序</w:t>
      </w:r>
      <w:bookmarkEnd w:id="23"/>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1.资格审查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磋商小组依据法律法规和磋商文件的规定，对响应文件中的资格证明文件等进行审查，以确定供应商是否具备响应资格。</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资格审查中有任意一项未通过的，审查结果为未通过，未通过资格审查的供应商按无效响应处理。</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1.3 信用记录查询</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查询渠道：通过“信用中国”网站(www.creditchina.gov.cn)和“中国政府采购网”（www.ccgp.gov.cn）进行查询；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查询截止时点：本项目资格审查时查询；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查询记录：对列入失信被执行人、重大税收违法失信主体名单、政府采购严重违法失信行为记录名单进行查询；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磋商小组应当按照查询渠道、查询时间节点、查询记录内容进行查询</w:t>
      </w:r>
      <w:r>
        <w:rPr>
          <w:rFonts w:hint="default" w:ascii="宋体" w:hAnsi="宋体" w:eastAsia="宋体" w:cs="宋体"/>
          <w:color w:val="auto"/>
          <w:sz w:val="24"/>
          <w:szCs w:val="24"/>
          <w:lang w:val="en-US" w:eastAsia="zh-CN"/>
        </w:rPr>
        <w:t>。</w:t>
      </w:r>
      <w:r>
        <w:rPr>
          <w:rFonts w:hint="eastAsia" w:ascii="宋体" w:eastAsia="宋体" w:cs="宋体"/>
          <w:color w:val="auto"/>
          <w:sz w:val="24"/>
          <w:szCs w:val="24"/>
          <w:lang w:eastAsia="zh-CN"/>
        </w:rPr>
        <w:t>对信用记录查询结果中显示被列入失信被执行人、重大税收违法失信主体名单、政府采购严重违法失信行为记录名单的供应商将被拒绝参与政府采购活动。</w:t>
      </w:r>
    </w:p>
    <w:p>
      <w:pPr>
        <w:kinsoku/>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资格审查表</w:t>
      </w:r>
    </w:p>
    <w:p>
      <w:pPr>
        <w:pStyle w:val="9"/>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：赤峰市生态环境局喀喇沁旗分局2026年建设项目环评审批技术评估项目</w:t>
      </w:r>
    </w:p>
    <w:tbl>
      <w:tblPr>
        <w:tblStyle w:val="21"/>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533" w:type="dxa"/>
            <w:shd w:val="clear" w:color="auto" w:fill="auto"/>
            <w:vAlign w:val="center"/>
          </w:tcPr>
          <w:p>
            <w:pPr>
              <w:kinsoku/>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资格审查要求概况</w:t>
            </w:r>
          </w:p>
        </w:tc>
        <w:tc>
          <w:tcPr>
            <w:tcW w:w="4912" w:type="dxa"/>
            <w:shd w:val="clear" w:color="auto" w:fill="auto"/>
            <w:vAlign w:val="center"/>
          </w:tcPr>
          <w:p>
            <w:pPr>
              <w:spacing w:before="65" w:line="360" w:lineRule="auto"/>
              <w:ind w:left="0" w:leftChars="0" w:right="0" w:rightChars="0" w:firstLine="0" w:firstLineChars="0"/>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具有独立承担民事责任的能力</w:t>
            </w:r>
          </w:p>
        </w:tc>
        <w:tc>
          <w:tcPr>
            <w:tcW w:w="4912" w:type="dxa"/>
            <w:shd w:val="clear" w:color="auto" w:fill="auto"/>
            <w:vAlign w:val="center"/>
          </w:tcPr>
          <w:p>
            <w:pPr>
              <w:spacing w:before="65"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审查供应商有效的营业执照或事业单位法人证书或执业许可证或自然人的身份证明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具有良好的商业信誉和健全的财务会计制度</w:t>
            </w:r>
          </w:p>
        </w:tc>
        <w:tc>
          <w:tcPr>
            <w:tcW w:w="4912" w:type="dxa"/>
            <w:shd w:val="clear" w:color="auto" w:fill="auto"/>
            <w:vAlign w:val="center"/>
          </w:tcPr>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审查供应商出具的“具有良好的商业信誉和健全的财务会计制度”的承诺书。（格式自拟）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有依法缴纳税收和社会保障资金的良好记录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审查供应商出具的“具有依法缴纳税收和社会保障资金的良好记录”的承诺书。（格式自拟）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具有履行合同所必需的设备和专业技术能力</w:t>
            </w:r>
          </w:p>
        </w:tc>
        <w:tc>
          <w:tcPr>
            <w:tcW w:w="4912" w:type="dxa"/>
            <w:shd w:val="clear" w:color="auto" w:fill="auto"/>
            <w:vAlign w:val="center"/>
          </w:tcPr>
          <w:p>
            <w:pPr>
              <w:spacing w:before="165" w:line="300" w:lineRule="auto"/>
              <w:ind w:right="76"/>
              <w:jc w:val="both"/>
              <w:rPr>
                <w:rFonts w:ascii="宋体" w:eastAsia="宋体" w:cs="宋体"/>
                <w:color w:val="auto"/>
                <w:sz w:val="24"/>
                <w:szCs w:val="24"/>
              </w:rPr>
            </w:pPr>
            <w:r>
              <w:rPr>
                <w:rFonts w:hint="eastAsia" w:ascii="宋体" w:eastAsia="宋体" w:cs="宋体"/>
                <w:color w:val="auto"/>
                <w:sz w:val="24"/>
                <w:szCs w:val="24"/>
                <w:lang w:eastAsia="zh-CN"/>
              </w:rPr>
              <w:t>审查供应商出具的“具有履行合同所必需的设备和专业技术能力的书面声明”。</w:t>
            </w:r>
            <w:r>
              <w:rPr>
                <w:rFonts w:hint="eastAsia" w:ascii="宋体" w:eastAsia="宋体" w:cs="宋体"/>
                <w:color w:val="auto"/>
                <w:sz w:val="24"/>
                <w:szCs w:val="24"/>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5</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参加政府采购活动前 3 年内在经营活动中没有重大违法记录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5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信用记录</w:t>
            </w:r>
          </w:p>
        </w:tc>
        <w:tc>
          <w:tcPr>
            <w:tcW w:w="4912" w:type="dxa"/>
            <w:shd w:val="clear" w:color="auto" w:fill="auto"/>
            <w:vAlign w:val="center"/>
          </w:tcPr>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供应商需提供自本项目公告发布至提交响应文件的截止时间内：</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（1）经“信用中国”网站查询的供应商未被列入“失信被执行人”、“重大税收违法失信主体名单”、“政府采购严重违法失信行为记录名单”的网页截图；</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（2）经“中国政府采购网”网站查询的供应商未被列入“政府采购严重违法失信行为记录名单”的网页截图。</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注：上述截图信息如供应商提供的不完善，磋商小组可在</w:t>
            </w:r>
            <w:r>
              <w:rPr>
                <w:rFonts w:hint="eastAsia" w:ascii="宋体" w:eastAsia="宋体" w:cs="宋体"/>
                <w:color w:val="auto"/>
                <w:sz w:val="24"/>
                <w:szCs w:val="24"/>
                <w:lang w:val="en-US" w:eastAsia="zh-CN"/>
              </w:rPr>
              <w:t>评审</w:t>
            </w:r>
            <w:r>
              <w:rPr>
                <w:rFonts w:hint="eastAsia" w:ascii="宋体" w:eastAsia="宋体" w:cs="宋体"/>
                <w:color w:val="auto"/>
                <w:sz w:val="24"/>
                <w:szCs w:val="24"/>
                <w:lang w:eastAsia="zh-CN"/>
              </w:rPr>
              <w:t>现场进行查询核实。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7</w:t>
            </w:r>
          </w:p>
        </w:tc>
        <w:tc>
          <w:tcPr>
            <w:tcW w:w="3533" w:type="dxa"/>
            <w:shd w:val="clear" w:color="auto" w:fill="auto"/>
            <w:vAlign w:val="center"/>
          </w:tcPr>
          <w:p>
            <w:pPr>
              <w:kinsoku/>
              <w:jc w:val="center"/>
              <w:rPr>
                <w:rFonts w:hint="eastAsia" w:ascii="宋体" w:hAnsi="Arial" w:eastAsia="宋体" w:cs="宋体"/>
                <w:color w:val="auto"/>
                <w:sz w:val="24"/>
                <w:szCs w:val="24"/>
                <w:lang w:val="en-US" w:eastAsia="zh-CN" w:bidi="ar-SA"/>
              </w:rPr>
            </w:pPr>
            <w:r>
              <w:rPr>
                <w:rFonts w:hint="eastAsia" w:ascii="宋体" w:eastAsia="宋体" w:cs="宋体"/>
                <w:color w:val="auto"/>
                <w:sz w:val="24"/>
                <w:szCs w:val="24"/>
                <w:lang w:eastAsia="zh-CN"/>
              </w:rPr>
              <w:t>落实政府采购政策需满足的资格要求</w:t>
            </w:r>
          </w:p>
        </w:tc>
        <w:tc>
          <w:tcPr>
            <w:tcW w:w="4912" w:type="dxa"/>
            <w:shd w:val="clear" w:color="auto" w:fill="auto"/>
            <w:vAlign w:val="center"/>
          </w:tcPr>
          <w:p>
            <w:pPr>
              <w:spacing w:line="360" w:lineRule="auto"/>
              <w:jc w:val="both"/>
              <w:rPr>
                <w:rFonts w:hint="eastAsia" w:ascii="宋体" w:hAnsi="Arial" w:eastAsia="宋体" w:cs="宋体"/>
                <w:color w:val="auto"/>
                <w:sz w:val="24"/>
                <w:szCs w:val="24"/>
                <w:lang w:val="en-US" w:eastAsia="zh-CN" w:bidi="ar-SA"/>
              </w:rPr>
            </w:pPr>
            <w:r>
              <w:rPr>
                <w:rFonts w:hint="eastAsia" w:ascii="宋体" w:hAnsi="宋体" w:eastAsia="宋体" w:cs="宋体"/>
                <w:color w:val="auto"/>
                <w:spacing w:val="0"/>
                <w:w w:val="100"/>
                <w:sz w:val="24"/>
                <w:szCs w:val="24"/>
                <w:highlight w:val="none"/>
                <w:lang w:val="en-US"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8</w:t>
            </w:r>
          </w:p>
        </w:tc>
        <w:tc>
          <w:tcPr>
            <w:tcW w:w="3533" w:type="dxa"/>
            <w:shd w:val="clear" w:color="auto" w:fill="auto"/>
            <w:vAlign w:val="center"/>
          </w:tcPr>
          <w:p>
            <w:pPr>
              <w:spacing w:before="166" w:line="302" w:lineRule="auto"/>
              <w:jc w:val="center"/>
              <w:rPr>
                <w:rFonts w:ascii="宋体" w:eastAsia="宋体" w:cs="宋体"/>
                <w:color w:val="auto"/>
                <w:sz w:val="24"/>
                <w:szCs w:val="24"/>
                <w:lang w:eastAsia="zh-CN"/>
              </w:rPr>
            </w:pPr>
            <w:r>
              <w:rPr>
                <w:rFonts w:hint="eastAsia" w:ascii="宋体" w:eastAsia="宋体" w:cs="宋体"/>
                <w:color w:val="auto"/>
                <w:sz w:val="24"/>
                <w:szCs w:val="24"/>
              </w:rPr>
              <w:t>特定资格要求</w:t>
            </w:r>
          </w:p>
        </w:tc>
        <w:tc>
          <w:tcPr>
            <w:tcW w:w="4912" w:type="dxa"/>
            <w:shd w:val="clear" w:color="auto" w:fill="auto"/>
            <w:vAlign w:val="center"/>
          </w:tcPr>
          <w:p>
            <w:pPr>
              <w:spacing w:before="166" w:line="302" w:lineRule="auto"/>
              <w:ind w:right="78" w:rightChars="0"/>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spacing w:before="166" w:line="302"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9</w:t>
            </w:r>
          </w:p>
        </w:tc>
        <w:tc>
          <w:tcPr>
            <w:tcW w:w="3533" w:type="dxa"/>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联合体响应（若有）</w:t>
            </w:r>
          </w:p>
        </w:tc>
        <w:tc>
          <w:tcPr>
            <w:tcW w:w="4912" w:type="dxa"/>
            <w:shd w:val="clear" w:color="auto" w:fill="auto"/>
            <w:vAlign w:val="center"/>
          </w:tcPr>
          <w:p>
            <w:pPr>
              <w:spacing w:line="360" w:lineRule="auto"/>
              <w:jc w:val="both"/>
              <w:rPr>
                <w:rFonts w:ascii="宋体" w:eastAsia="宋体" w:cs="宋体"/>
                <w:color w:val="auto"/>
                <w:sz w:val="24"/>
                <w:szCs w:val="24"/>
              </w:rPr>
            </w:pPr>
            <w:r>
              <w:rPr>
                <w:rFonts w:ascii="宋体" w:hAnsi="宋体" w:eastAsia="宋体" w:cs="宋体"/>
                <w:color w:val="auto"/>
                <w:sz w:val="24"/>
                <w:szCs w:val="24"/>
              </w:rPr>
              <w:t>符合关于联合体响应的相关规定。</w:t>
            </w:r>
          </w:p>
        </w:tc>
      </w:tr>
    </w:tbl>
    <w:p>
      <w:pPr>
        <w:kinsoku/>
        <w:spacing w:before="240" w:beforeLines="100" w:line="360" w:lineRule="auto"/>
        <w:ind w:firstLine="481" w:firstLineChars="200"/>
        <w:outlineLvl w:val="2"/>
        <w:rPr>
          <w:rFonts w:ascii="宋体" w:eastAsia="宋体" w:cs="宋体"/>
          <w:b/>
          <w:bCs/>
          <w:color w:val="auto"/>
          <w:sz w:val="24"/>
          <w:szCs w:val="24"/>
        </w:rPr>
      </w:pPr>
      <w:r>
        <w:rPr>
          <w:rFonts w:hint="eastAsia" w:ascii="宋体" w:eastAsia="宋体" w:cs="宋体"/>
          <w:b/>
          <w:bCs/>
          <w:color w:val="auto"/>
          <w:sz w:val="24"/>
          <w:szCs w:val="24"/>
        </w:rPr>
        <w:t>2.符合性审查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磋商小组依据磋商文件的规定，从响应文件的有效性、完整性和对磋商文件的响应程度进行审查，以确定是否对磋商文件的实质性要求作出响应。</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符合性审查中有任意一项未通过的，评审结果为未通过，未通过符合性审查的供应商按无效响应处理。</w:t>
      </w:r>
    </w:p>
    <w:p>
      <w:pPr>
        <w:kinsoku/>
        <w:spacing w:line="360" w:lineRule="auto"/>
        <w:ind w:firstLine="562" w:firstLineChars="200"/>
        <w:jc w:val="center"/>
        <w:rPr>
          <w:rFonts w:hint="eastAsia" w:ascii="宋体" w:eastAsia="宋体" w:cs="宋体"/>
          <w:b/>
          <w:bCs/>
          <w:color w:val="auto"/>
          <w:sz w:val="28"/>
          <w:szCs w:val="28"/>
          <w:lang w:eastAsia="zh-CN"/>
        </w:rPr>
      </w:pPr>
      <w:r>
        <w:rPr>
          <w:rFonts w:hint="eastAsia" w:ascii="宋体" w:eastAsia="宋体" w:cs="宋体"/>
          <w:b/>
          <w:bCs/>
          <w:color w:val="auto"/>
          <w:sz w:val="28"/>
          <w:szCs w:val="28"/>
          <w:lang w:eastAsia="zh-CN"/>
        </w:rPr>
        <w:t>符合性审查表</w:t>
      </w:r>
    </w:p>
    <w:p>
      <w:pPr>
        <w:pStyle w:val="9"/>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：赤峰市生态环境局喀喇沁旗分局2026年建设项目环评审批技术评估项目</w:t>
      </w:r>
    </w:p>
    <w:tbl>
      <w:tblPr>
        <w:tblStyle w:val="21"/>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045" w:type="dxa"/>
            <w:vAlign w:val="center"/>
          </w:tcPr>
          <w:p>
            <w:pPr>
              <w:kinsoku/>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符合审查要求概况</w:t>
            </w:r>
          </w:p>
        </w:tc>
        <w:tc>
          <w:tcPr>
            <w:tcW w:w="5202" w:type="dxa"/>
            <w:vAlign w:val="center"/>
          </w:tcPr>
          <w:p>
            <w:pPr>
              <w:kinsoku/>
              <w:spacing w:line="360" w:lineRule="auto"/>
              <w:ind w:left="0" w:leftChars="0" w:right="0" w:rightChars="0" w:firstLine="0" w:firstLineChars="0"/>
              <w:jc w:val="center"/>
              <w:rPr>
                <w:rFonts w:hint="eastAsia" w:ascii="宋体" w:eastAsia="宋体" w:cs="宋体"/>
                <w:color w:val="auto"/>
                <w:sz w:val="24"/>
                <w:szCs w:val="24"/>
              </w:rPr>
            </w:pPr>
            <w:r>
              <w:rPr>
                <w:rFonts w:hint="eastAsia" w:ascii="宋体" w:eastAsia="宋体" w:cs="宋体"/>
                <w:b/>
                <w:bCs/>
                <w:color w:val="auto"/>
                <w:sz w:val="24"/>
                <w:szCs w:val="24"/>
                <w:lang w:eastAsia="zh-CN"/>
              </w:rPr>
              <w:t>评审点具体描述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w:t>
            </w:r>
          </w:p>
        </w:tc>
        <w:tc>
          <w:tcPr>
            <w:tcW w:w="3045"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磋商保证金缴纳情况</w:t>
            </w:r>
          </w:p>
        </w:tc>
        <w:tc>
          <w:tcPr>
            <w:tcW w:w="5202" w:type="dxa"/>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本项不作要求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lang w:eastAsia="zh-CN"/>
              </w:rPr>
              <w:t>投标</w:t>
            </w:r>
            <w:r>
              <w:rPr>
                <w:rFonts w:hint="eastAsia" w:ascii="宋体" w:eastAsia="宋体" w:cs="宋体"/>
                <w:color w:val="auto"/>
                <w:sz w:val="24"/>
                <w:szCs w:val="24"/>
              </w:rPr>
              <w:t>报价</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投标报价（包括分项报价、总报价）只能有一个有效报价且不超过采购预算或最高限价，投标报价不得缺项漏项。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3045" w:type="dxa"/>
            <w:vAlign w:val="center"/>
          </w:tcPr>
          <w:p>
            <w:pPr>
              <w:kinsoku/>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响应文件规范性、符合性</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响应文件的签署、盖章、涂改、删除、插字、公章使用等符合竞争性磋商文件要求；响应文件的格式、文字、目录等符合竞争性磋商文件要求或对投标无实质性影响。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主要商务条款</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审查供应商出具的“主要商务要求承诺书”。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5</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技术部分实质性内容</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1.明确所投</w:t>
            </w:r>
            <w:r>
              <w:rPr>
                <w:rFonts w:hint="eastAsia" w:ascii="宋体" w:eastAsia="宋体" w:cs="宋体"/>
                <w:color w:val="auto"/>
                <w:sz w:val="24"/>
                <w:szCs w:val="24"/>
                <w:highlight w:val="none"/>
                <w:lang w:val="en-US" w:eastAsia="zh-CN"/>
              </w:rPr>
              <w:t>标的</w:t>
            </w:r>
            <w:r>
              <w:rPr>
                <w:rFonts w:hint="eastAsia" w:ascii="宋体" w:eastAsia="宋体" w:cs="宋体"/>
                <w:color w:val="auto"/>
                <w:sz w:val="24"/>
                <w:szCs w:val="24"/>
                <w:highlight w:val="none"/>
                <w:lang w:eastAsia="zh-CN"/>
              </w:rPr>
              <w:t>的产品品牌</w:t>
            </w:r>
            <w:r>
              <w:rPr>
                <w:rFonts w:hint="eastAsia" w:ascii="宋体" w:eastAsia="宋体" w:cs="宋体"/>
                <w:color w:val="auto"/>
                <w:sz w:val="24"/>
                <w:szCs w:val="24"/>
                <w:lang w:eastAsia="zh-CN"/>
              </w:rPr>
              <w:t>、规格型号或服务内容或工程量；</w:t>
            </w:r>
          </w:p>
          <w:p>
            <w:pPr>
              <w:kinsoku/>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2.响应文件应当对磋商文件提出的要求和条件作出明确响应并满足磋商文件全部实质性要求。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磋商文件要求的其他无效投标情形；围标、串标和法律法规规定的其它无效投标条款。</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磋商小组所有成员应当集中与单一供应商分别进行磋商，并给予所有参加磋商的供应商平等的磋商机会。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对磋商文件作出的实质性变动是磋商文件的有效组成部分，磋商小组应当及时通过国资智采电子招投标交易平台通知所有参加磋商的供应商。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4.最后报价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磋商结束后，磋商小组应当要求所有实质性响应的供应商在规定时间内提交最后报价。最后报价是供应商响应文件的有效组成部分。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已提交响应文件的供应商，在提交最后报价之前，可以根据磋商情况退出磋商。</w:t>
      </w:r>
    </w:p>
    <w:p>
      <w:pPr>
        <w:kinsoku/>
        <w:spacing w:line="360" w:lineRule="auto"/>
        <w:ind w:firstLine="480" w:firstLineChars="200"/>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磋商结束后，确认继续响应的供应商应在规定时间内提交最后报价。</w:t>
      </w:r>
    </w:p>
    <w:p>
      <w:pPr>
        <w:kinsoku/>
        <w:spacing w:line="360" w:lineRule="auto"/>
        <w:ind w:firstLine="480" w:firstLineChars="200"/>
        <w:outlineLvl w:val="9"/>
        <w:rPr>
          <w:rFonts w:hint="eastAsia" w:ascii="宋体" w:eastAsia="宋体" w:cs="宋体"/>
          <w:b/>
          <w:bCs/>
          <w:color w:val="auto"/>
          <w:sz w:val="24"/>
          <w:szCs w:val="24"/>
          <w:lang w:val="en-US" w:eastAsia="zh-CN"/>
        </w:rPr>
      </w:pPr>
      <w:r>
        <w:rPr>
          <w:rFonts w:hint="eastAsia" w:ascii="宋体" w:eastAsia="宋体" w:cs="宋体"/>
          <w:color w:val="auto"/>
          <w:sz w:val="24"/>
          <w:szCs w:val="24"/>
          <w:lang w:eastAsia="zh-CN"/>
        </w:rPr>
        <w:t>未在最终轮次规定时间内进行响应的，视为不再参与该政府采购活动。</w:t>
      </w:r>
    </w:p>
    <w:p>
      <w:pPr>
        <w:kinsoku/>
        <w:spacing w:line="360" w:lineRule="auto"/>
        <w:ind w:firstLine="481" w:firstLineChars="200"/>
        <w:outlineLvl w:val="2"/>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5.报价评审</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评审中出现下列情形之一的，评审委员会应当启动异常低价投标（响应）审查程序：</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1.投标（响应）报价低于全部通过符合性审查供应商投标（响应）报价平均值50%的，即投标（响应）报价&lt;全部通过符合性审查供应商投标（响应）报价平均值×50%；</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2.投标（响应）报价低于通过符合性审查的次低报价供应商投标（响应）报价50%的，即投标（响应）报价&lt;通过符合性审查的次低报价供应商投标（响应）报价×50%；</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3.投标（响应）报价低于采购项目最高限价45%的，即投标（响应）报价&lt;采购项目最高限价×45%；</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4.评审委员会基于专业判断，认为供应商报价过低，有可能影响产品质量或者不能诚信履约的其他情形。</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采购人可以结合具体项目实际情况，提高上述第1项至第3项中启动异常低价投标（响应）审查的数值标准，但是最高不得超过65%。</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相关法律法规对供应商报价有规定的，从其规定。</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insoku/>
        <w:spacing w:line="360" w:lineRule="auto"/>
        <w:ind w:firstLine="480" w:firstLineChars="200"/>
        <w:outlineLvl w:val="9"/>
        <w:rPr>
          <w:rFonts w:hint="eastAsia" w:ascii="宋体" w:eastAsia="宋体" w:cs="宋体"/>
          <w:b/>
          <w:bCs/>
          <w:color w:val="auto"/>
          <w:sz w:val="24"/>
          <w:szCs w:val="24"/>
          <w:lang w:eastAsia="zh-CN"/>
        </w:rPr>
      </w:pPr>
      <w:r>
        <w:rPr>
          <w:rFonts w:hint="eastAsia" w:asci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2"/>
        <w:rPr>
          <w:rFonts w:ascii="宋体" w:eastAsia="宋体" w:cs="宋体"/>
          <w:b/>
          <w:bCs/>
          <w:color w:val="auto"/>
          <w:sz w:val="24"/>
          <w:szCs w:val="24"/>
          <w:lang w:eastAsia="zh-CN"/>
        </w:rPr>
      </w:pPr>
      <w:r>
        <w:rPr>
          <w:rFonts w:hint="eastAsia" w:ascii="宋体" w:eastAsia="宋体" w:cs="宋体"/>
          <w:b/>
          <w:bCs/>
          <w:color w:val="auto"/>
          <w:sz w:val="24"/>
          <w:szCs w:val="24"/>
          <w:lang w:val="en-US" w:eastAsia="zh-CN"/>
        </w:rPr>
        <w:t>6</w:t>
      </w:r>
      <w:r>
        <w:rPr>
          <w:rFonts w:hint="eastAsia" w:ascii="宋体" w:eastAsia="宋体" w:cs="宋体"/>
          <w:b/>
          <w:bCs/>
          <w:color w:val="auto"/>
          <w:sz w:val="24"/>
          <w:szCs w:val="24"/>
        </w:rPr>
        <w:t>.</w:t>
      </w:r>
      <w:r>
        <w:rPr>
          <w:rFonts w:hint="eastAsia" w:ascii="宋体" w:eastAsia="宋体" w:cs="宋体"/>
          <w:b/>
          <w:bCs/>
          <w:color w:val="auto"/>
          <w:sz w:val="24"/>
          <w:szCs w:val="24"/>
          <w:lang w:eastAsia="zh-CN"/>
        </w:rPr>
        <w:t>综合评分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由磋商小组采用综合评分法对提交最后报价的供应商的响应文件和最后报价进行综合评分（得分四舍五入保留两位小数）。</w:t>
      </w:r>
    </w:p>
    <w:p>
      <w:pPr>
        <w:pStyle w:val="9"/>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default"/>
          <w:color w:val="auto"/>
          <w:sz w:val="24"/>
          <w:szCs w:val="24"/>
          <w:lang w:val="en-US" w:eastAsia="zh-CN"/>
        </w:rPr>
      </w:pPr>
      <w:r>
        <w:rPr>
          <w:rFonts w:hint="eastAsia" w:ascii="宋体" w:eastAsia="宋体" w:cs="宋体"/>
          <w:color w:val="auto"/>
          <w:sz w:val="24"/>
          <w:szCs w:val="24"/>
          <w:lang w:eastAsia="zh-CN"/>
        </w:rPr>
        <w:t>采购包</w:t>
      </w:r>
      <w:r>
        <w:rPr>
          <w:rFonts w:hint="eastAsia" w:ascii="宋体" w:eastAsia="宋体" w:cs="宋体"/>
          <w:color w:val="auto"/>
          <w:sz w:val="24"/>
          <w:szCs w:val="24"/>
          <w:lang w:val="en-US" w:eastAsia="zh-CN"/>
        </w:rPr>
        <w:t>1：赤峰市生态环境局喀喇沁旗分局2026年建设项目环评审批技术评估项目</w:t>
      </w:r>
    </w:p>
    <w:tbl>
      <w:tblPr>
        <w:tblStyle w:val="21"/>
        <w:tblW w:w="5010" w:type="pct"/>
        <w:jc w:val="center"/>
        <w:tblLayout w:type="autofit"/>
        <w:tblCellMar>
          <w:top w:w="0" w:type="dxa"/>
          <w:left w:w="11" w:type="dxa"/>
          <w:bottom w:w="0" w:type="dxa"/>
          <w:right w:w="11" w:type="dxa"/>
        </w:tblCellMar>
      </w:tblPr>
      <w:tblGrid>
        <w:gridCol w:w="1073"/>
        <w:gridCol w:w="2502"/>
        <w:gridCol w:w="6213"/>
      </w:tblGrid>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评审因素</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评审标准</w:t>
            </w:r>
          </w:p>
        </w:tc>
      </w:tr>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z w:val="21"/>
                <w:szCs w:val="21"/>
                <w:highlight w:val="none"/>
                <w:lang w:val="en-US" w:eastAsia="zh-CN"/>
              </w:rPr>
              <w:t>分值构成</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1.技术部分72分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2.商务部分18分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3.报价部分10分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技术部分</w:t>
            </w:r>
          </w:p>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整体服务方案</w:t>
            </w:r>
            <w:r>
              <w:rPr>
                <w:rFonts w:hint="eastAsia" w:ascii="宋体" w:hAnsi="宋体" w:eastAsia="宋体" w:cs="宋体"/>
                <w:strike w:val="0"/>
                <w:dstrike w:val="0"/>
                <w:spacing w:val="0"/>
                <w:w w:val="100"/>
                <w:sz w:val="21"/>
                <w:szCs w:val="21"/>
                <w:highlight w:val="none"/>
                <w:lang w:val="en-US" w:eastAsia="zh-CN"/>
              </w:rPr>
              <w:t>(12.0分)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整体服务方案进行评审，包括但不限于：①对环评技术评估政策法规及技术导则的理解深度；②评估工作流程设计的完整性与规范性；③方案内容与10个报告表评估需求的契合度；④评估结论出具及报告提交的时效性规划。</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能够精准把握环评技术评估政策要求，对技术导则理解深刻；评估流程设计完整、规范；方案内容高度契合10个报告表评估需求；且时效性规划科学合理的，得12分；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思路较为清晰，对环评评估政策有一定把握；评估流程基本完整；方案内容与项目需求较为契合；时效性规划基本可行的，得7分；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条理不清，对政策理解、流程设计或时效规划存在明显模糊或不明确的，得4分；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内容过于简易，缺乏针对性，未能有效展示对环评评估项目理解的，得1分；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服务的难点及应对措施</w:t>
            </w:r>
            <w:r>
              <w:rPr>
                <w:rFonts w:hint="eastAsia" w:ascii="宋体" w:hAnsi="宋体" w:eastAsia="宋体" w:cs="宋体"/>
                <w:strike w:val="0"/>
                <w:dstrike w:val="0"/>
                <w:spacing w:val="0"/>
                <w:w w:val="100"/>
                <w:sz w:val="21"/>
                <w:szCs w:val="21"/>
                <w:highlight w:val="none"/>
                <w:lang w:val="en-US" w:eastAsia="zh-CN"/>
              </w:rPr>
              <w:t>(12.0分)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难点分析及应对措施进行评审，包括但不限于：①对报告表可能存在的工程分析不清、现状调查不足等技术难点的预判能力；②对产业政策相符性、选址环境合理性等关键问题的识别精准度；③针对复杂敏感目标的专项评估应对策略；④对报告表修改复核阶段的沟通协调难点把控。</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能够精准预判环评报告表中各类潜在技术难点，关键问题识别精准；针对复杂敏感目标的专项应对策略非常专业；且对复核阶段沟通协调有成熟预案的，得12分；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对项目难点有一定预判，关键问题识别基本准确；应对策略较为专业；对复核阶段沟通有基本考虑的，得7分；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条理不清，对难点预判、问题识别或应对策略存在明显模糊或不明确的，得4分；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内容过于简易，缺乏针对性，未能有效展示对环评难点把控能力的，得1分；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3.服务过程中人员及设备的配置(12.0分)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人员及设备配置方案进行评审，包括但不限于：①项目团队的组织架构与分工合理性；②拟派核心人员（环评工程师、评估专家）的资历、经验与专业（化工、冶金、生态等）匹配度；③现场踏勘所需设备（如GPS、照相机、记录仪等）的齐全性；④外部专家智库资源的储备与调用机制。</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团队架构非常科学，分工明确合理；核心人员资历深厚、专业覆盖全面、环评评估经验丰富；现场踏勘设备齐全先进；且外部专家智库资源雄厚、调用机制灵活的，得12分；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团队架构较为合理；核心人员资历经验基本满足要求；设备配置较为齐全；有基本的专家资源保障的，得7分；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条理不清，在团队架构、人员资历或设备配置方面存在明显模糊或不明确的，得4分；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内容过于简易，缺乏针对性，未能有效展示资源配置保障能力的，得1分；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en-US" w:eastAsia="zh-CN"/>
              </w:rPr>
              <w:t>4.</w:t>
            </w:r>
            <w:r>
              <w:rPr>
                <w:rFonts w:hint="eastAsia" w:ascii="宋体" w:hAnsi="宋体" w:eastAsia="宋体" w:cs="宋体"/>
                <w:strike w:val="0"/>
                <w:dstrike w:val="0"/>
                <w:spacing w:val="0"/>
                <w:w w:val="100"/>
                <w:sz w:val="21"/>
                <w:szCs w:val="21"/>
                <w:highlight w:val="none"/>
                <w:lang w:val="zh-CN" w:eastAsia="zh-CN"/>
              </w:rPr>
              <w:t>服务进度的规划及保证措施(</w:t>
            </w:r>
            <w:r>
              <w:rPr>
                <w:rFonts w:hint="eastAsia" w:ascii="宋体" w:hAnsi="宋体" w:eastAsia="宋体" w:cs="宋体"/>
                <w:strike w:val="0"/>
                <w:dstrike w:val="0"/>
                <w:spacing w:val="0"/>
                <w:w w:val="100"/>
                <w:sz w:val="21"/>
                <w:szCs w:val="21"/>
                <w:highlight w:val="none"/>
                <w:lang w:val="en-US" w:eastAsia="zh-CN"/>
              </w:rPr>
              <w:t>12</w:t>
            </w:r>
            <w:r>
              <w:rPr>
                <w:rFonts w:hint="eastAsia" w:ascii="宋体" w:hAnsi="宋体" w:eastAsia="宋体" w:cs="宋体"/>
                <w:strike w:val="0"/>
                <w:dstrike w:val="0"/>
                <w:spacing w:val="0"/>
                <w:w w:val="100"/>
                <w:sz w:val="21"/>
                <w:szCs w:val="21"/>
                <w:highlight w:val="none"/>
                <w:lang w:val="zh-CN" w:eastAsia="zh-CN"/>
              </w:rPr>
              <w:t>.0分)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对供应商提供的进度规划及保证措施进行评审，包括但不限于：①10个报告表并行或串行评估的进度计划安排；②受理、初审、专家评审、修改复核、出具报告各关键节点的时限设置合理性；③因报告质量差、需多次修改导致的进度延误风险预判与应对预案；④与建设单位、环评编制单位的进度联动保障机制。</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1. 进度计划非常完整，关键节点设置科学合理，并行评估安排高效；对报告多次修改等延误风险预判全面、应对预案有力；且与相关方联动机制完善的，得12分；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2. 进度计划较为完整，关键节点基本合理；有基本的延误应对预案；与相关方有基本沟通机制的，得7分；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3. 条理不清，在进度安排、风险预判或保障措施方面存在明显模糊或不明确的，得4分；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4. 内容过于简易，缺乏针对性，未能有效展示进度管控能力的，得1分；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7"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5.质量管理体系及保证措施(12.0分)</w:t>
            </w:r>
          </w:p>
        </w:tc>
        <w:tc>
          <w:tcPr>
            <w:tcW w:w="3173" w:type="pct"/>
            <w:tcBorders>
              <w:top w:val="single" w:color="auto" w:sz="4" w:space="0"/>
              <w:left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质量管理体系及保证措施进行评审，包括但不限于：①评估报告内部审核、审定制度的健全性与规范性；②对报告表编制质量（工程分析、现状评价、措施可行性）的审核要点把控；③专家评审意见采纳与落实情况跟踪机制；④评估结论的科学性、公正性保障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质量管理制度非常健全、规范，内审机制严谨；对报告表各技术环节审核要点把控严密；专家意见跟踪机制完善；且评估结论保障措施科学有力的，得12分；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质量管理制度较为健全；对审核要点有基本把控；有专家意见跟踪机制；评估结论基本有保障的，得7分；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条理不清，在制度建设、过程控制或审核要点方面存在明显模糊或不明确的，得4分；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内容过于简易，缺乏针对性，未能有效展示质量保障能力的，得1分；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6.应急方案(12.0分)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应急方案进行评审，包括但不限于：①对突发环境敏感投诉、公众质疑等情况的应对预判；②专家因故缺席、临时更换的应急调配机制；③评估系统故障、数据丢失等技术风险应对措施；④因政策调整、标准更新需重新评估的快速响应流程。</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对各类突发事件预判非常全面；专家应急调配机制高效灵活；技术风险应对措施周全；且对政策调整能够快速响应、无缝衔接的，得12分；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对突发事件有一定预判；有基本的专家调配机制；对技术风险有应对考虑；能够应对一般政策调整的，得7分；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条理不清，在事件预判、调配机制或响应流程方面存在明显模糊或不明确的，得4分；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内容过于简易，缺乏针对性，未能有效展示应急保障能力的，得1分；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商务</w:t>
            </w:r>
          </w:p>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部分</w:t>
            </w: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1.类似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8</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eastAsia="宋体" w:cs="宋体"/>
                <w:color w:val="auto"/>
                <w:spacing w:val="0"/>
                <w:w w:val="100"/>
                <w:kern w:val="2"/>
                <w:sz w:val="21"/>
                <w:szCs w:val="21"/>
                <w:highlight w:val="none"/>
                <w:u w:val="none"/>
                <w:shd w:val="clear" w:color="auto" w:fill="auto"/>
                <w:lang w:val="zh-CN" w:eastAsia="zh-CN" w:bidi="ar-SA"/>
              </w:rPr>
              <w:t>近三年</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（以合同签订日期为准）供应商每提供1份有效的</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2</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分。本项最高得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8</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w:t>
            </w:r>
          </w:p>
          <w:p>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注：需提供</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项目业绩合同扫描件。</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pacing w:val="0"/>
                <w:w w:val="1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售后服务方案</w:t>
            </w:r>
          </w:p>
          <w:p>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对供应商提供的售后服务方案进行评审，包括但不限于：①评估报告出具后，对审批过程中技术解释的配合支持；②对报告表后续修改完善的咨询指导服务；③评估档案的整理、归档与查询服务机制；④定期收集审批反馈、持续改进评估质量的长效机制。</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1. 售后服务承诺非常全面，审批配合响应及时；咨询指导服务专业到位；档案管理规范、查询便捷；且持续改进机制健全、能够有效提升评估质量的，得10分；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2. 售后服务承诺较为全面，能够提供基本的审批配合；有咨询指导服务；档案管理较为规范；有基本改进机制的，得7分；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3. 条理不清，在服务承诺、配合响应或档案管理方面存在明显模糊或不明确的，得4分；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4. 内容过于简易，缺乏针对性，未能有效展示售后服务保障能力的，得1分；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报价部分</w:t>
            </w:r>
          </w:p>
        </w:tc>
        <w:tc>
          <w:tcPr>
            <w:tcW w:w="1277" w:type="pct"/>
            <w:tcBorders>
              <w:top w:val="single" w:color="auto" w:sz="4" w:space="0"/>
              <w:left w:val="single" w:color="auto" w:sz="4" w:space="0"/>
              <w:bottom w:val="single" w:color="auto" w:sz="4" w:space="0"/>
            </w:tcBorders>
            <w:noWrap w:val="0"/>
            <w:vAlign w:val="center"/>
          </w:tcPr>
          <w:p>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磋商报价得分</w:t>
            </w:r>
          </w:p>
          <w:p>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bidi="en-US"/>
              </w:rPr>
              <w:t>（10</w:t>
            </w:r>
            <w:r>
              <w:rPr>
                <w:rFonts w:hint="eastAsia" w:cs="宋体"/>
                <w:color w:val="auto"/>
                <w:spacing w:val="0"/>
                <w:w w:val="100"/>
                <w:sz w:val="21"/>
                <w:szCs w:val="21"/>
                <w:highlight w:val="none"/>
                <w:lang w:val="en-US" w:eastAsia="zh-CN" w:bidi="en-US"/>
              </w:rPr>
              <w:t>.0</w:t>
            </w:r>
            <w:r>
              <w:rPr>
                <w:rFonts w:hint="eastAsia" w:ascii="宋体" w:hAnsi="宋体" w:eastAsia="宋体" w:cs="宋体"/>
                <w:color w:val="auto"/>
                <w:spacing w:val="0"/>
                <w:w w:val="100"/>
                <w:sz w:val="21"/>
                <w:szCs w:val="21"/>
                <w:highlight w:val="none"/>
                <w:lang w:val="en-US" w:eastAsia="zh-CN" w:bidi="en-US"/>
              </w:rPr>
              <w:t>分）</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lang w:val="en-US"/>
              </w:rPr>
              <w:t>采用低价优先法计算，即满足磋商文件要求且最后报价最低的为磋商基准价，其磋商报价得分为满分。其他服务商的得分按下列公式计算：磋商报价得分=（磋商基准价/最后磋商报价）×价格权值（10％）×100 。</w:t>
            </w:r>
          </w:p>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rPr>
              <w:t>最低报价不是成交的唯一依据。</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val="en-US" w:eastAsia="zh-CN"/>
        </w:rPr>
        <w:t>7</w:t>
      </w:r>
      <w:r>
        <w:rPr>
          <w:rFonts w:hint="eastAsia" w:ascii="宋体" w:eastAsia="宋体" w:cs="宋体"/>
          <w:b/>
          <w:bCs/>
          <w:color w:val="auto"/>
          <w:sz w:val="24"/>
          <w:szCs w:val="24"/>
          <w:lang w:eastAsia="zh-CN"/>
        </w:rPr>
        <w:t>.汇总、排序</w:t>
      </w:r>
    </w:p>
    <w:p>
      <w:pPr>
        <w:kinsoku/>
        <w:spacing w:line="360" w:lineRule="auto"/>
        <w:ind w:firstLine="480" w:firstLineChars="200"/>
        <w:rPr>
          <w:rFonts w:ascii="宋体" w:eastAsia="宋体" w:cs="宋体"/>
          <w:color w:val="auto"/>
          <w:sz w:val="24"/>
          <w:szCs w:val="24"/>
          <w:lang w:eastAsia="zh-CN"/>
        </w:rPr>
        <w:sectPr>
          <w:footerReference r:id="rId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8"/>
          <w:szCs w:val="28"/>
        </w:rPr>
      </w:pPr>
      <w:bookmarkStart w:id="24" w:name="_Toc10702"/>
      <w:r>
        <w:rPr>
          <w:rFonts w:hint="eastAsia" w:ascii="宋体" w:hAnsi="宋体" w:eastAsia="宋体" w:cs="宋体"/>
          <w:b/>
          <w:bCs/>
          <w:color w:val="auto"/>
          <w:sz w:val="28"/>
          <w:szCs w:val="28"/>
        </w:rPr>
        <w:t>第六章  合同</w:t>
      </w:r>
      <w:bookmarkEnd w:id="24"/>
    </w:p>
    <w:p>
      <w:pPr>
        <w:keepNext/>
        <w:keepLines/>
        <w:widowControl w:val="0"/>
        <w:spacing w:before="260" w:after="260" w:line="360" w:lineRule="auto"/>
        <w:jc w:val="both"/>
        <w:outlineLvl w:val="1"/>
        <w:rPr>
          <w:rFonts w:hint="eastAsia" w:ascii="宋体" w:hAnsi="宋体" w:eastAsia="宋体" w:cs="宋体"/>
          <w:b/>
          <w:kern w:val="2"/>
          <w:sz w:val="24"/>
          <w:szCs w:val="24"/>
          <w:highlight w:val="none"/>
          <w:lang w:val="en-US" w:eastAsia="zh-CN" w:bidi="ar-SA"/>
        </w:rPr>
      </w:pPr>
      <w:bookmarkStart w:id="25" w:name="_Toc1689"/>
      <w:bookmarkStart w:id="26" w:name="_Toc16343"/>
      <w:bookmarkStart w:id="27" w:name="_Toc4992"/>
      <w:bookmarkStart w:id="28" w:name="_Toc25832"/>
      <w:bookmarkStart w:id="29" w:name="_Toc199841597"/>
      <w:bookmarkStart w:id="30" w:name="_Toc7389"/>
      <w:r>
        <w:rPr>
          <w:rFonts w:hint="eastAsia" w:ascii="宋体" w:hAnsi="宋体" w:eastAsia="宋体" w:cs="宋体"/>
          <w:b/>
          <w:kern w:val="2"/>
          <w:sz w:val="24"/>
          <w:szCs w:val="24"/>
          <w:highlight w:val="none"/>
          <w:lang w:val="en-US" w:eastAsia="zh-CN" w:bidi="ar-SA"/>
        </w:rPr>
        <w:t>一、合同要求</w:t>
      </w:r>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1" w:name="_Toc3945"/>
      <w:bookmarkStart w:id="32" w:name="_Toc5413"/>
      <w:bookmarkStart w:id="33" w:name="_Toc2180"/>
      <w:bookmarkStart w:id="34" w:name="_Toc7550"/>
      <w:bookmarkStart w:id="35" w:name="_Toc199841598"/>
      <w:bookmarkStart w:id="36" w:name="_Toc11213"/>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一</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一般要求</w:t>
      </w:r>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1.采购人应当自中标通知书发出之日起</w:t>
      </w:r>
      <w:r>
        <w:rPr>
          <w:rFonts w:hint="eastAsia" w:ascii="宋体" w:hAnsi="宋体" w:eastAsia="宋体" w:cs="宋体"/>
          <w:color w:val="0000FF"/>
          <w:kern w:val="2"/>
          <w:sz w:val="24"/>
          <w:szCs w:val="24"/>
          <w:highlight w:val="none"/>
          <w:lang w:val="en-US" w:eastAsia="zh-CN"/>
        </w:rPr>
        <w:t>7</w:t>
      </w:r>
      <w:r>
        <w:rPr>
          <w:rFonts w:hint="eastAsia" w:ascii="宋体" w:hAnsi="宋体" w:eastAsia="宋体" w:cs="宋体"/>
          <w:color w:val="0000FF"/>
          <w:kern w:val="2"/>
          <w:sz w:val="24"/>
          <w:szCs w:val="24"/>
          <w:highlight w:val="none"/>
          <w:lang w:eastAsia="zh-CN"/>
        </w:rPr>
        <w:t>日内，</w:t>
      </w:r>
      <w:r>
        <w:rPr>
          <w:rFonts w:hint="eastAsia" w:ascii="宋体" w:hAnsi="宋体" w:eastAsia="宋体" w:cs="宋体"/>
          <w:kern w:val="2"/>
          <w:sz w:val="24"/>
          <w:szCs w:val="24"/>
          <w:highlight w:val="none"/>
          <w:lang w:eastAsia="zh-CN"/>
        </w:rPr>
        <w:t>按照磋商文件和成交服务商响应文件的规定，与成交服务商签订书面合同。所签订的合同不得对磋商文件确定的事项和成交服务商响应文件作实质性修改。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合同签订双方不得提出任何不合理的要求作为签订合同的条件。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采购合同应当包括采购人与成交服务商的名称和住所、标的、数量、质量、价款或者报酬、履行期限及地点和方式、验收要求、违约责任、解决争议的方法等内容。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3</w:t>
      </w:r>
      <w:r>
        <w:rPr>
          <w:rFonts w:hint="eastAsia" w:ascii="宋体" w:hAnsi="宋体" w:eastAsia="宋体" w:cs="宋体"/>
          <w:kern w:val="2"/>
          <w:sz w:val="24"/>
          <w:szCs w:val="24"/>
          <w:highlight w:val="none"/>
          <w:lang w:val="en-US" w:eastAsia="zh-CN"/>
        </w:rPr>
        <w:t>.</w:t>
      </w:r>
      <w:r>
        <w:rPr>
          <w:rFonts w:hint="eastAsia" w:ascii="宋体" w:hAnsi="宋体" w:eastAsia="宋体" w:cs="宋体"/>
          <w:b w:val="0"/>
          <w:bCs w:val="0"/>
          <w:sz w:val="24"/>
          <w:highlight w:val="none"/>
        </w:rPr>
        <w:t>采购人应当自政府采购合同签订之日起</w:t>
      </w:r>
      <w:r>
        <w:rPr>
          <w:rFonts w:hint="eastAsia" w:ascii="宋体" w:hAnsi="宋体" w:eastAsia="宋体" w:cs="宋体"/>
          <w:b w:val="0"/>
          <w:bCs w:val="0"/>
          <w:sz w:val="24"/>
          <w:highlight w:val="none"/>
          <w:lang w:val="en-US" w:eastAsia="zh-CN"/>
        </w:rPr>
        <w:t>0.5</w:t>
      </w:r>
      <w:r>
        <w:rPr>
          <w:rFonts w:hint="eastAsia" w:ascii="宋体" w:hAnsi="宋体" w:eastAsia="宋体" w:cs="宋体"/>
          <w:b w:val="0"/>
          <w:bCs w:val="0"/>
          <w:sz w:val="24"/>
          <w:highlight w:val="none"/>
        </w:rPr>
        <w:t>个工作日内，将采购合同</w:t>
      </w:r>
      <w:r>
        <w:rPr>
          <w:rFonts w:hint="eastAsia" w:ascii="宋体" w:hAnsi="宋体" w:eastAsia="宋体" w:cs="宋体"/>
          <w:b w:val="0"/>
          <w:bCs w:val="0"/>
          <w:sz w:val="24"/>
          <w:szCs w:val="24"/>
          <w:highlight w:val="none"/>
          <w:lang w:val="en-US" w:eastAsia="zh-CN"/>
        </w:rPr>
        <w:t>在《赤峰市生态环境局官网》（http://sthjj.chifeng.gov.cn）上</w:t>
      </w:r>
      <w:r>
        <w:rPr>
          <w:rFonts w:hint="eastAsia" w:ascii="宋体" w:hAnsi="宋体" w:eastAsia="宋体" w:cs="宋体"/>
          <w:b w:val="0"/>
          <w:bCs w:val="0"/>
          <w:sz w:val="24"/>
          <w:highlight w:val="none"/>
        </w:rPr>
        <w:t>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采购人与成交服务商应当根据合同的约定依法履行合同义务。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采购合同的履行、违约责任和解决争议的方法等适用《中华人民共和国民法典》。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拒绝签订采购合同的按照政府采购法相关规定处理，并承担相应法律责任。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7" w:name="_Toc199841599"/>
      <w:bookmarkStart w:id="38" w:name="_Toc1433"/>
      <w:bookmarkStart w:id="39" w:name="_Toc7533"/>
      <w:bookmarkStart w:id="40" w:name="_Toc28207"/>
      <w:bookmarkStart w:id="41" w:name="_Toc962"/>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合同格式及内容</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具体格式见本磋商文件后附拟签订的《合同文本》(部分合同条款)，响应文件中可以不提供《合同文本》。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2.《合同文本》的内容可以根据《民法典》和合同签订双方的实际要求进行修改，但不得改变范本中的实质性内容。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0" w:h="16838"/>
          <w:pgMar w:top="1134" w:right="1134" w:bottom="1134" w:left="1134" w:header="397" w:footer="510" w:gutter="0"/>
          <w:cols w:space="720" w:num="1"/>
        </w:sectPr>
      </w:pP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政府采购合同</w:t>
      </w: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（服务类合同参考文本）</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甲方：***（填写采购单位名称）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乙方：***（填写中标、成交投标人名称）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（填写政府采购项目编号）的中标（成交）结果、招标（磋商、谈判）文件、投标（响应）文件等文件的相关内容，经平等自愿协商一致，就如下合同条款达成一致意见。</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根据招标（磋商、谈判）文件及中标（成交）结果公告，乙方向甲方提供的服务、货物（如有）内容如下：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（二）甲方存在其他违反本合同的行为，应承担相应的违约责任（注：可以根据情况进行细化）；违约金不足以赔偿乙方损失的，乙方有权要求甲方赔偿由此造成的经济损失。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（三）乙方逾期提供服务成果的，每延期一日，乙方应按照合同总金额的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日，甲方有权解除合同，拒付延期部分的相应服务款项，并要求乙方赔偿甲方的经济损失。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（四）乙方交付的服务不符合质量要求，或其服务成果存在侵权行为的，甲方有权解除合同，并要求乙方支付合同总金额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（六）乙方存在其他违反本合同的行为，应承担相应的违约责任（注：可以根据情况进行细化）；违约金不足以赔偿甲方损失的，甲方有权要求乙方赔偿经济损失。</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合同发生纠纷时，双方应协商解决，协商不成，可以采用下列方式解决：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1、乙方出具的报价单（函）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、中标（成交）结果公告及中标（成交）通知书</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pStyle w:val="44"/>
        <w:keepNext w:val="0"/>
        <w:keepLines w:val="0"/>
        <w:pageBreakBefore w:val="0"/>
        <w:widowControl w:val="0"/>
        <w:numPr>
          <w:ilvl w:val="0"/>
          <w:numId w:val="0"/>
        </w:numPr>
        <w:tabs>
          <w:tab w:val="left" w:pos="890"/>
        </w:tabs>
        <w:kinsoku/>
        <w:wordWrap w:val="0"/>
        <w:overflowPunct/>
        <w:topLinePunct w:val="0"/>
        <w:autoSpaceDE/>
        <w:autoSpaceDN/>
        <w:bidi w:val="0"/>
        <w:adjustRightInd/>
        <w:snapToGrid/>
        <w:spacing w:line="500" w:lineRule="exact"/>
        <w:ind w:right="309"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2" w:name="_Toc17147"/>
      <w:r>
        <w:rPr>
          <w:rFonts w:hint="eastAsia" w:ascii="宋体" w:hAnsi="宋体" w:eastAsia="宋体" w:cs="宋体"/>
          <w:b/>
          <w:spacing w:val="18"/>
          <w:sz w:val="24"/>
          <w:szCs w:val="24"/>
          <w:highlight w:val="none"/>
        </w:rPr>
        <w:t>二</w:t>
      </w:r>
      <w:r>
        <w:rPr>
          <w:rFonts w:hint="eastAsia" w:ascii="宋体" w:hAnsi="宋体" w:eastAsia="宋体" w:cs="宋体"/>
          <w:b/>
          <w:spacing w:val="18"/>
          <w:sz w:val="24"/>
          <w:szCs w:val="24"/>
          <w:highlight w:val="none"/>
          <w:lang w:eastAsia="zh-CN"/>
        </w:rPr>
        <w:t>、</w:t>
      </w:r>
      <w:r>
        <w:rPr>
          <w:rFonts w:hint="eastAsia" w:ascii="宋体" w:hAnsi="宋体" w:eastAsia="宋体" w:cs="宋体"/>
          <w:b/>
          <w:spacing w:val="6"/>
          <w:sz w:val="24"/>
          <w:szCs w:val="24"/>
          <w:highlight w:val="none"/>
        </w:rPr>
        <w:t>验收</w:t>
      </w:r>
      <w:bookmarkEnd w:id="42"/>
    </w:p>
    <w:p>
      <w:pPr>
        <w:pageBreakBefore w:val="0"/>
        <w:wordWrap w:val="0"/>
        <w:topLinePunct w:val="0"/>
        <w:bidi w:val="0"/>
        <w:spacing w:line="500" w:lineRule="exact"/>
        <w:ind w:firstLine="480" w:firstLineChars="20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项目完成后，成交供应商应当配合采购人提供验收需要的相关资料，按采购人要求的验收流程及措施对项目进行履约验收。</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b/>
          <w:bCs/>
          <w:color w:val="000000"/>
          <w:kern w:val="0"/>
          <w:sz w:val="24"/>
          <w:szCs w:val="24"/>
          <w:highlight w:val="none"/>
          <w:lang w:val="en-US" w:eastAsia="zh-CN" w:bidi="ar"/>
        </w:rPr>
        <w:t>政府采购服务履约验收书</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（参考格式）</w:t>
      </w: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项目名称 </w:t>
            </w:r>
          </w:p>
        </w:tc>
        <w:tc>
          <w:tcPr>
            <w:tcW w:w="6530" w:type="dxa"/>
            <w:noWrap w:val="0"/>
            <w:vAlign w:val="center"/>
          </w:tcPr>
          <w:p>
            <w:pPr>
              <w:pStyle w:val="2"/>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项目编号 </w:t>
            </w:r>
          </w:p>
        </w:tc>
        <w:tc>
          <w:tcPr>
            <w:tcW w:w="6530" w:type="dxa"/>
            <w:noWrap w:val="0"/>
            <w:vAlign w:val="center"/>
          </w:tcPr>
          <w:p>
            <w:pPr>
              <w:pStyle w:val="2"/>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采购人 </w:t>
            </w:r>
          </w:p>
        </w:tc>
        <w:tc>
          <w:tcPr>
            <w:tcW w:w="6530" w:type="dxa"/>
            <w:noWrap w:val="0"/>
            <w:vAlign w:val="center"/>
          </w:tcPr>
          <w:p>
            <w:pPr>
              <w:pStyle w:val="2"/>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使用人 </w:t>
            </w:r>
          </w:p>
        </w:tc>
        <w:tc>
          <w:tcPr>
            <w:tcW w:w="6530" w:type="dxa"/>
            <w:noWrap w:val="0"/>
            <w:vAlign w:val="center"/>
          </w:tcPr>
          <w:p>
            <w:pPr>
              <w:pStyle w:val="2"/>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w:t>
            </w:r>
          </w:p>
        </w:tc>
        <w:tc>
          <w:tcPr>
            <w:tcW w:w="6530" w:type="dxa"/>
            <w:noWrap w:val="0"/>
            <w:vAlign w:val="center"/>
          </w:tcPr>
          <w:p>
            <w:pPr>
              <w:pStyle w:val="2"/>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验收依据</w:t>
            </w:r>
          </w:p>
        </w:tc>
        <w:tc>
          <w:tcPr>
            <w:tcW w:w="6530"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1.政府采购合同（合同名称及编号）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2.中标（成交）公告或中标（成交）通知书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3.招标（磋商、谈判）文件或询价通知书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4.投标（响应）文件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5.供应商的承诺、声明或保证（如有）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注：验收依据可根据项目具体情况适当增加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供应商对履约情况的总结及提供的相关证明材料</w:t>
            </w:r>
          </w:p>
        </w:tc>
        <w:tc>
          <w:tcPr>
            <w:tcW w:w="6530"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注：供应商根据采购合同的约定，对履约情况（包括但不限于采购合同中约定的服务内容、服务要求、服务质量、人员配置、服务成果、服务成果的交付等）进行总结，并提供相应的履约证明材料作为附件。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采购人（使用人）对履约情况的确认</w:t>
            </w:r>
          </w:p>
        </w:tc>
        <w:tc>
          <w:tcPr>
            <w:tcW w:w="6530"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注：采购人或使用人根据采购合同约定，对供应商履约情况进行逐一确认。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验收人员名单及组成</w:t>
            </w:r>
          </w:p>
        </w:tc>
        <w:tc>
          <w:tcPr>
            <w:tcW w:w="6530"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 采购人代表：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 采购代理机构代表：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 第三方专业机构代表及专家：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 其他供应商代表：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验收评价及结论</w:t>
            </w:r>
          </w:p>
        </w:tc>
        <w:tc>
          <w:tcPr>
            <w:tcW w:w="6530"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评价：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结论：☐通过 ☐不通过，具体说明：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验收人员签字</w:t>
            </w:r>
          </w:p>
        </w:tc>
        <w:tc>
          <w:tcPr>
            <w:tcW w:w="6530" w:type="dxa"/>
            <w:noWrap w:val="0"/>
            <w:vAlign w:val="center"/>
          </w:tcPr>
          <w:p>
            <w:pPr>
              <w:pStyle w:val="2"/>
              <w:widowControl w:val="0"/>
              <w:spacing w:line="240" w:lineRule="auto"/>
              <w:ind w:firstLine="5163" w:firstLineChars="2459"/>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采购人确认意（注：采购人委托代理机构验收时适用）</w:t>
            </w:r>
          </w:p>
        </w:tc>
        <w:tc>
          <w:tcPr>
            <w:tcW w:w="6530"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☐同意验收结论。 </w:t>
            </w:r>
          </w:p>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☐不同意验收结论。具体说明： </w:t>
            </w:r>
          </w:p>
          <w:p>
            <w:pPr>
              <w:pStyle w:val="2"/>
              <w:widowControl w:val="0"/>
              <w:spacing w:line="240" w:lineRule="auto"/>
              <w:ind w:left="0" w:leftChars="0" w:firstLine="5250" w:firstLineChars="250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noWrap w:val="0"/>
            <w:vAlign w:val="center"/>
          </w:tcPr>
          <w:p>
            <w:pPr>
              <w:pStyle w:val="2"/>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备注</w:t>
            </w:r>
          </w:p>
        </w:tc>
        <w:tc>
          <w:tcPr>
            <w:tcW w:w="6530" w:type="dxa"/>
            <w:noWrap w:val="0"/>
            <w:vAlign w:val="center"/>
          </w:tcPr>
          <w:p>
            <w:pPr>
              <w:pStyle w:val="2"/>
              <w:widowControl w:val="0"/>
              <w:spacing w:line="240" w:lineRule="auto"/>
              <w:jc w:val="both"/>
              <w:rPr>
                <w:rFonts w:hint="eastAsia" w:ascii="宋体" w:hAnsi="宋体" w:eastAsia="宋体" w:cs="宋体"/>
                <w:sz w:val="21"/>
                <w:szCs w:val="21"/>
                <w:highlight w:val="none"/>
                <w:vertAlign w:val="baseline"/>
              </w:rPr>
            </w:pPr>
          </w:p>
        </w:tc>
      </w:tr>
    </w:tbl>
    <w:p>
      <w:pPr>
        <w:keepNext w:val="0"/>
        <w:keepLines w:val="0"/>
        <w:widowControl/>
        <w:suppressLineNumbers w:val="0"/>
        <w:jc w:val="left"/>
        <w:rPr>
          <w:rFonts w:hint="eastAsia" w:ascii="宋体" w:hAnsi="宋体" w:eastAsia="宋体" w:cs="宋体"/>
          <w:color w:val="000000"/>
          <w:kern w:val="0"/>
          <w:sz w:val="19"/>
          <w:szCs w:val="19"/>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采购人代表签字：                                     供应商代表签字： </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000000"/>
          <w:kern w:val="0"/>
          <w:sz w:val="21"/>
          <w:szCs w:val="21"/>
          <w:highlight w:val="none"/>
          <w:lang w:val="en-US" w:eastAsia="zh-CN" w:bidi="ar"/>
        </w:rPr>
        <w:t>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10" w:type="default"/>
          <w:pgSz w:w="11900" w:h="16838"/>
          <w:pgMar w:top="1134" w:right="1134" w:bottom="1134" w:left="1134" w:header="0" w:footer="850" w:gutter="0"/>
          <w:pgNumType w:fmt="decimal"/>
          <w:cols w:space="720" w:num="1"/>
        </w:sectPr>
      </w:pPr>
    </w:p>
    <w:p>
      <w:pPr>
        <w:kinsoku/>
        <w:spacing w:line="360" w:lineRule="auto"/>
        <w:ind w:left="0" w:leftChars="0" w:right="0" w:rightChars="0" w:firstLine="0" w:firstLineChars="0"/>
        <w:jc w:val="center"/>
        <w:outlineLvl w:val="0"/>
        <w:rPr>
          <w:rFonts w:ascii="宋体" w:eastAsia="宋体" w:cs="宋体"/>
          <w:color w:val="auto"/>
          <w:sz w:val="24"/>
          <w:szCs w:val="24"/>
          <w:lang w:eastAsia="zh-CN"/>
        </w:rPr>
      </w:pPr>
      <w:bookmarkStart w:id="43" w:name="_Toc6005"/>
      <w:r>
        <w:rPr>
          <w:rFonts w:hint="eastAsia" w:ascii="宋体" w:eastAsia="宋体" w:cs="宋体"/>
          <w:b/>
          <w:bCs/>
          <w:color w:val="auto"/>
          <w:sz w:val="28"/>
          <w:szCs w:val="28"/>
          <w:lang w:eastAsia="zh-CN"/>
        </w:rPr>
        <w:t>第七章  响应文件格式与要求</w:t>
      </w:r>
      <w:bookmarkEnd w:id="43"/>
    </w:p>
    <w:p>
      <w:pPr>
        <w:kinsoku/>
        <w:spacing w:line="360" w:lineRule="auto"/>
        <w:ind w:left="0" w:leftChars="0" w:right="0" w:rightChars="0"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供应商按照以下格式编制响应文件。</w:t>
      </w:r>
    </w:p>
    <w:p>
      <w:pPr>
        <w:kinsoku/>
        <w:spacing w:line="360" w:lineRule="auto"/>
        <w:ind w:firstLine="480" w:firstLineChars="200"/>
        <w:rPr>
          <w:rFonts w:ascii="宋体" w:eastAsia="宋体" w:cs="宋体"/>
          <w:color w:val="auto"/>
          <w:sz w:val="24"/>
          <w:szCs w:val="24"/>
          <w:lang w:eastAsia="zh-CN"/>
        </w:rPr>
        <w:sectPr>
          <w:footerReference r:id="rId1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560" w:firstLineChars="200"/>
        <w:rPr>
          <w:rFonts w:ascii="宋体" w:eastAsia="宋体" w:cs="宋体"/>
          <w:color w:val="auto"/>
          <w:sz w:val="28"/>
          <w:szCs w:val="28"/>
          <w:lang w:eastAsia="zh-CN"/>
        </w:rPr>
      </w:pPr>
      <w:r>
        <w:rPr>
          <w:rFonts w:hint="eastAsia" w:ascii="宋体" w:eastAsia="宋体" w:cs="宋体"/>
          <w:color w:val="auto"/>
          <w:sz w:val="28"/>
          <w:szCs w:val="28"/>
          <w:lang w:eastAsia="zh-CN"/>
        </w:rPr>
        <w:t>响应文件封面格式：</w:t>
      </w: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left="0" w:leftChars="0" w:right="0" w:rightChars="0" w:firstLine="0" w:firstLineChars="0"/>
        <w:jc w:val="center"/>
        <w:rPr>
          <w:rFonts w:ascii="宋体" w:eastAsia="宋体" w:cs="宋体"/>
          <w:b/>
          <w:bCs/>
          <w:color w:val="auto"/>
          <w:sz w:val="36"/>
          <w:szCs w:val="36"/>
          <w:lang w:eastAsia="zh-CN"/>
        </w:rPr>
      </w:pPr>
      <w:r>
        <w:rPr>
          <w:rFonts w:hint="eastAsia" w:ascii="宋体" w:eastAsia="宋体" w:cs="宋体"/>
          <w:b/>
          <w:bCs/>
          <w:color w:val="auto"/>
          <w:sz w:val="36"/>
          <w:szCs w:val="36"/>
          <w:lang w:eastAsia="zh-CN"/>
        </w:rPr>
        <w:t>（项目名称）</w:t>
      </w: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b/>
          <w:bCs/>
          <w:color w:val="auto"/>
          <w:sz w:val="36"/>
          <w:szCs w:val="36"/>
          <w:lang w:eastAsia="zh-CN"/>
        </w:rPr>
        <w:t>响应文件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包    号：第    包（项目划分采购包时使用）</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1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响应文件目录格式：</w:t>
      </w: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目  录</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一、响应承诺书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二、首轮报价表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三、分项报价表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四、授权委托书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五、缴纳磋商保证金证明材料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六、供应商基本情况表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七、具有独立承担民事责任的能力的证明材料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八、具有良好的商业信誉和健全的财务会计制度的相关材料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九、依法缴纳税收和社会保障资金的良好记录的相关材料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十、具有履行合同所必需的设备和专业技术能力的相关材料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十一、参加政府采购活动前三年内在经营活动中没有重大违法记录的书面声明</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十二、联合体协议书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十三、中小企业声明函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十四、监狱企业证明文件</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十五、残疾人福利性单位声明函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十六、主要商务要求承诺书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十七、技术偏离表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十八、项目组成人员一览表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十九、项目实施方案、质量保证及售后服务承诺等</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二十、供应商业绩情况表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二十一、其他证明材料</w:t>
      </w:r>
    </w:p>
    <w:p>
      <w:pPr>
        <w:kinsoku/>
        <w:spacing w:line="360" w:lineRule="auto"/>
        <w:ind w:firstLine="440" w:firstLineChars="200"/>
        <w:rPr>
          <w:rFonts w:ascii="宋体" w:eastAsia="宋体" w:cs="宋体"/>
          <w:color w:val="auto"/>
          <w:sz w:val="22"/>
          <w:szCs w:val="22"/>
          <w:lang w:eastAsia="zh-CN"/>
        </w:rPr>
      </w:pPr>
    </w:p>
    <w:p>
      <w:pPr>
        <w:kinsoku/>
        <w:spacing w:line="360" w:lineRule="auto"/>
        <w:ind w:firstLine="480" w:firstLineChars="200"/>
        <w:rPr>
          <w:rFonts w:ascii="宋体" w:eastAsia="宋体" w:cs="宋体"/>
          <w:color w:val="auto"/>
          <w:sz w:val="24"/>
          <w:szCs w:val="24"/>
          <w:lang w:eastAsia="zh-CN"/>
        </w:rPr>
        <w:sectPr>
          <w:footerReference r:id="rId13"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响应文件正文格式：</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4" w:name="_Toc14203"/>
      <w:r>
        <w:rPr>
          <w:rFonts w:hint="eastAsia" w:ascii="宋体" w:eastAsia="宋体" w:cs="宋体"/>
          <w:b/>
          <w:bCs/>
          <w:color w:val="auto"/>
          <w:sz w:val="28"/>
          <w:szCs w:val="28"/>
          <w:lang w:eastAsia="zh-CN"/>
        </w:rPr>
        <w:t>一、响应承诺书</w:t>
      </w:r>
      <w:bookmarkEnd w:id="44"/>
    </w:p>
    <w:p>
      <w:pPr>
        <w:kinsoku/>
        <w:spacing w:line="440" w:lineRule="exact"/>
        <w:rPr>
          <w:rFonts w:ascii="宋体" w:eastAsia="宋体" w:cs="宋体"/>
          <w:color w:val="auto"/>
          <w:sz w:val="24"/>
          <w:szCs w:val="24"/>
          <w:lang w:eastAsia="zh-CN"/>
        </w:rPr>
      </w:pPr>
      <w:r>
        <w:rPr>
          <w:rFonts w:hint="eastAsia" w:ascii="宋体" w:eastAsia="宋体" w:cs="宋体"/>
          <w:color w:val="auto"/>
          <w:sz w:val="24"/>
          <w:szCs w:val="24"/>
          <w:lang w:eastAsia="zh-CN"/>
        </w:rPr>
        <w:t>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（采购单位名称和采购代理机构名称）</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你方组织的</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，我方自愿参与，并就有关事项郑重承诺如下：</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一、我方完全理解并接受该项目磋商文件的所有要求。</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二、我方严格遵守《中华人民共和国政府采购法》《中华人民共和国民法典》及相关法律、法规的规定，如有违反，承担相应的法律责任。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三、我方在报价表中的报价为响应总报价。</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四、我方同意提供贵方要求的与磋商有关的任何数据和资料。</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五、我方将按照磋商文件、响应文件等要求，签订并严格执行政府采购合同。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七、我方承诺未为本项目提供整体设计、规范编制或者项目管理、监理、检测等服务。</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八、我方提供的响应文件内容全部真实有效，如有虚假或隐瞒，我方愿意承担一切法律责任。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九、若我方成交，愿意按有关规定及磋商文件要求缴纳代理服务费。若采购人支付代理服务费，则此条不适用。</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详细地址：</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邮政编码：</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    话：</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电子邮箱：</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供应商开户银行：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账号/行号：</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p>
    <w:p>
      <w:pPr>
        <w:kinsoku/>
        <w:spacing w:line="44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440" w:lineRule="exact"/>
        <w:ind w:firstLine="480" w:firstLineChars="200"/>
        <w:rPr>
          <w:rFonts w:ascii="宋体" w:eastAsia="宋体" w:cs="宋体"/>
          <w:color w:val="auto"/>
          <w:sz w:val="24"/>
          <w:szCs w:val="24"/>
          <w:lang w:eastAsia="zh-CN"/>
        </w:rPr>
        <w:sectPr>
          <w:footerReference r:id="rId14"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5" w:name="_Toc26939"/>
      <w:r>
        <w:rPr>
          <w:rFonts w:hint="eastAsia" w:ascii="宋体" w:eastAsia="宋体" w:cs="宋体"/>
          <w:b/>
          <w:bCs/>
          <w:color w:val="auto"/>
          <w:sz w:val="28"/>
          <w:szCs w:val="28"/>
          <w:lang w:eastAsia="zh-CN"/>
        </w:rPr>
        <w:t>二、首轮报价表</w:t>
      </w:r>
      <w:bookmarkEnd w:id="45"/>
    </w:p>
    <w:p>
      <w:pPr>
        <w:kinsoku/>
        <w:spacing w:line="360" w:lineRule="auto"/>
        <w:ind w:firstLine="480" w:firstLineChars="200"/>
        <w:jc w:val="center"/>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供应商名称：</w:t>
      </w:r>
    </w:p>
    <w:tbl>
      <w:tblPr>
        <w:tblStyle w:val="21"/>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2723" w:type="dxa"/>
            <w:vAlign w:val="center"/>
          </w:tcPr>
          <w:p>
            <w:pPr>
              <w:jc w:val="center"/>
              <w:rPr>
                <w:rFonts w:ascii="宋体" w:eastAsia="宋体" w:cs="宋体"/>
                <w:color w:val="auto"/>
                <w:sz w:val="24"/>
                <w:szCs w:val="24"/>
              </w:rPr>
            </w:pPr>
            <w:r>
              <w:rPr>
                <w:rFonts w:hint="eastAsia" w:ascii="宋体" w:eastAsia="宋体" w:cs="宋体"/>
                <w:color w:val="auto"/>
                <w:sz w:val="24"/>
                <w:szCs w:val="24"/>
              </w:rPr>
              <w:t>采购项目名称/包名称</w:t>
            </w:r>
          </w:p>
        </w:tc>
        <w:tc>
          <w:tcPr>
            <w:tcW w:w="2243" w:type="dxa"/>
            <w:vAlign w:val="center"/>
          </w:tcPr>
          <w:p>
            <w:pPr>
              <w:jc w:val="center"/>
              <w:rPr>
                <w:rFonts w:ascii="宋体" w:eastAsia="宋体" w:cs="宋体"/>
                <w:color w:val="auto"/>
                <w:sz w:val="24"/>
                <w:szCs w:val="24"/>
              </w:rPr>
            </w:pPr>
            <w:r>
              <w:rPr>
                <w:rFonts w:hint="eastAsia" w:ascii="宋体" w:eastAsia="宋体" w:cs="宋体"/>
                <w:color w:val="auto"/>
                <w:sz w:val="24"/>
                <w:szCs w:val="24"/>
              </w:rPr>
              <w:t>总报价（元）</w:t>
            </w:r>
          </w:p>
        </w:tc>
        <w:tc>
          <w:tcPr>
            <w:tcW w:w="1763" w:type="dxa"/>
            <w:vAlign w:val="center"/>
          </w:tcPr>
          <w:p>
            <w:pPr>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w:t>
            </w:r>
            <w:r>
              <w:rPr>
                <w:rFonts w:hint="eastAsia" w:ascii="宋体" w:eastAsia="宋体" w:cs="宋体"/>
                <w:color w:val="auto"/>
                <w:sz w:val="24"/>
                <w:szCs w:val="24"/>
                <w:lang w:eastAsia="zh-CN"/>
              </w:rPr>
              <w:t>期限</w:t>
            </w:r>
          </w:p>
        </w:tc>
        <w:tc>
          <w:tcPr>
            <w:tcW w:w="1929" w:type="dxa"/>
            <w:vAlign w:val="center"/>
          </w:tcPr>
          <w:p>
            <w:pPr>
              <w:jc w:val="center"/>
              <w:rPr>
                <w:rFonts w:ascii="宋体" w:eastAsia="宋体" w:cs="宋体"/>
                <w:color w:val="auto"/>
                <w:sz w:val="24"/>
                <w:szCs w:val="24"/>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9"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bl>
    <w:p>
      <w:pPr>
        <w:kinsoku/>
        <w:spacing w:before="240" w:beforeLines="100"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 xml:space="preserve">供应商（盖章）：          </w:t>
      </w:r>
    </w:p>
    <w:p>
      <w:pPr>
        <w:kinsoku/>
        <w:spacing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日期：</w:t>
      </w:r>
    </w:p>
    <w:p>
      <w:pPr>
        <w:rPr>
          <w:rFonts w:hint="eastAsia" w:ascii="宋体" w:eastAsia="宋体" w:cs="宋体"/>
          <w:color w:val="auto"/>
          <w:sz w:val="24"/>
          <w:szCs w:val="24"/>
        </w:rPr>
      </w:pPr>
    </w:p>
    <w:p>
      <w:pPr>
        <w:rPr>
          <w:rFonts w:hint="eastAsia" w:ascii="宋体" w:eastAsia="宋体" w:cs="宋体"/>
          <w:color w:val="auto"/>
          <w:sz w:val="24"/>
          <w:szCs w:val="24"/>
        </w:rPr>
      </w:pPr>
    </w:p>
    <w:p>
      <w:pPr>
        <w:rPr>
          <w:rFonts w:hint="eastAsia"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ind w:left="0" w:leftChars="0" w:right="0" w:rightChars="0" w:firstLine="0" w:firstLineChars="0"/>
        <w:jc w:val="center"/>
        <w:outlineLvl w:val="1"/>
        <w:rPr>
          <w:rFonts w:ascii="宋体" w:eastAsia="宋体" w:cs="宋体"/>
          <w:color w:val="auto"/>
          <w:sz w:val="24"/>
          <w:szCs w:val="24"/>
        </w:rPr>
      </w:pPr>
      <w:bookmarkStart w:id="46" w:name="_Toc8181"/>
      <w:r>
        <w:rPr>
          <w:rFonts w:hint="eastAsia" w:ascii="宋体" w:eastAsia="宋体" w:cs="宋体"/>
          <w:b/>
          <w:bCs/>
          <w:color w:val="auto"/>
          <w:sz w:val="28"/>
          <w:szCs w:val="28"/>
          <w:lang w:eastAsia="zh-CN"/>
        </w:rPr>
        <w:t>三、</w:t>
      </w:r>
      <w:r>
        <w:rPr>
          <w:rFonts w:hint="eastAsia" w:ascii="宋体" w:eastAsia="宋体" w:cs="宋体"/>
          <w:b/>
          <w:bCs/>
          <w:color w:val="auto"/>
          <w:sz w:val="28"/>
          <w:szCs w:val="28"/>
        </w:rPr>
        <w:t>分项报价表</w:t>
      </w:r>
      <w:bookmarkEnd w:id="46"/>
    </w:p>
    <w:p>
      <w:pPr>
        <w:kinsoku/>
        <w:spacing w:line="360" w:lineRule="auto"/>
        <w:ind w:left="0" w:leftChars="0" w:right="0" w:rightChars="0" w:firstLine="0" w:firstLineChars="0"/>
        <w:jc w:val="center"/>
        <w:rPr>
          <w:rFonts w:ascii="宋体" w:eastAsia="宋体" w:cs="宋体"/>
          <w:color w:val="auto"/>
          <w:sz w:val="24"/>
          <w:szCs w:val="24"/>
          <w:highlight w:val="none"/>
        </w:rPr>
      </w:pP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项目编号：</w:t>
      </w: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项目名称：</w:t>
      </w: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包号：</w:t>
      </w:r>
    </w:p>
    <w:p>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                                货币及单位：人民币/元</w:t>
      </w:r>
    </w:p>
    <w:tbl>
      <w:tblPr>
        <w:tblStyle w:val="39"/>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1"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服务名称</w:t>
            </w:r>
          </w:p>
        </w:tc>
        <w:tc>
          <w:tcPr>
            <w:tcW w:w="12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1058"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102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期限</w:t>
            </w:r>
          </w:p>
        </w:tc>
        <w:tc>
          <w:tcPr>
            <w:tcW w:w="13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09"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bl>
    <w:p>
      <w:pPr>
        <w:kinsoku/>
        <w:spacing w:before="240" w:beforeLines="100" w:line="360" w:lineRule="auto"/>
        <w:jc w:val="center"/>
        <w:rPr>
          <w:rFonts w:ascii="宋体" w:eastAsia="宋体" w:cs="宋体"/>
          <w:color w:val="auto"/>
          <w:sz w:val="24"/>
          <w:szCs w:val="24"/>
          <w:highlight w:val="none"/>
        </w:rPr>
      </w:pPr>
    </w:p>
    <w:p>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pPr>
        <w:kinsoku/>
        <w:spacing w:line="360" w:lineRule="auto"/>
        <w:ind w:firstLine="480" w:firstLineChars="200"/>
        <w:rPr>
          <w:rFonts w:hint="eastAsia" w:ascii="宋体" w:eastAsia="宋体" w:cs="宋体"/>
          <w:color w:val="auto"/>
          <w:sz w:val="24"/>
          <w:szCs w:val="24"/>
          <w:highlight w:val="none"/>
        </w:rPr>
      </w:pPr>
    </w:p>
    <w:p>
      <w:pPr>
        <w:kinsoku/>
        <w:spacing w:line="360" w:lineRule="auto"/>
        <w:ind w:firstLine="480" w:firstLineChars="200"/>
        <w:rPr>
          <w:rFonts w:ascii="宋体" w:eastAsia="宋体" w:cs="宋体"/>
          <w:color w:val="auto"/>
          <w:sz w:val="24"/>
          <w:szCs w:val="24"/>
          <w:highlight w:val="none"/>
        </w:rPr>
      </w:pPr>
    </w:p>
    <w:p>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p>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eastAsia="zh-CN"/>
        </w:rPr>
        <w:t>“服务名称”填写可标的名称；</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highlight w:val="none"/>
        </w:rPr>
        <w:t>2.“</w:t>
      </w:r>
      <w:r>
        <w:rPr>
          <w:rFonts w:hint="eastAsia" w:ascii="宋体" w:hAnsi="宋体" w:eastAsia="宋体" w:cs="宋体"/>
          <w:color w:val="auto"/>
          <w:sz w:val="24"/>
          <w:szCs w:val="24"/>
          <w:highlight w:val="none"/>
        </w:rPr>
        <w:t>服务范围</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服务标准</w:t>
      </w:r>
      <w:r>
        <w:rPr>
          <w:rFonts w:hint="eastAsia" w:ascii="宋体" w:eastAsia="宋体" w:cs="宋体"/>
          <w:color w:val="auto"/>
          <w:sz w:val="24"/>
          <w:szCs w:val="24"/>
          <w:highlight w:val="none"/>
          <w:lang w:eastAsia="zh-CN"/>
        </w:rPr>
        <w:t>”可</w:t>
      </w:r>
      <w:r>
        <w:rPr>
          <w:rFonts w:hint="eastAsia" w:ascii="宋体" w:eastAsia="宋体" w:cs="宋体"/>
          <w:color w:val="auto"/>
          <w:sz w:val="24"/>
          <w:szCs w:val="24"/>
          <w:highlight w:val="none"/>
        </w:rPr>
        <w:t>填写“响应</w:t>
      </w:r>
      <w:r>
        <w:rPr>
          <w:rFonts w:hint="eastAsia" w:ascii="宋体" w:eastAsia="宋体" w:cs="宋体"/>
          <w:color w:val="auto"/>
          <w:sz w:val="24"/>
          <w:szCs w:val="24"/>
          <w:highlight w:val="none"/>
          <w:lang w:eastAsia="zh-CN"/>
        </w:rPr>
        <w:t>采购文件要求”。</w:t>
      </w:r>
    </w:p>
    <w:p>
      <w:pPr>
        <w:kinsoku/>
        <w:spacing w:line="360" w:lineRule="auto"/>
        <w:ind w:firstLine="480" w:firstLineChars="200"/>
        <w:rPr>
          <w:rFonts w:hint="eastAsia"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47" w:name="_Toc21383"/>
      <w:r>
        <w:rPr>
          <w:rFonts w:hint="eastAsia" w:ascii="宋体" w:eastAsia="宋体" w:cs="宋体"/>
          <w:b/>
          <w:bCs/>
          <w:color w:val="auto"/>
          <w:sz w:val="28"/>
          <w:szCs w:val="28"/>
          <w:lang w:eastAsia="zh-CN"/>
        </w:rPr>
        <w:t>四、授权委托书</w:t>
      </w:r>
      <w:bookmarkEnd w:id="47"/>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（姓名）系</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（供应商名称）的法定代表人，现委托</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（姓名）为我方代理人，参加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。代理人根据授权，以我方名义签署、澄清确认、递交、撤回、修改磋商项目响应文件、签订合同和处理有关事宜，其法律后果由我方承担。委托期限：</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代理人无转委托权。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  应  商（盖章）：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法定代表人（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p>
    <w:tbl>
      <w:tblPr>
        <w:tblStyle w:val="21"/>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授权委托人身份证扫描件反面</w:t>
            </w:r>
          </w:p>
        </w:tc>
      </w:tr>
    </w:tbl>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月</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日</w:t>
      </w:r>
    </w:p>
    <w:p>
      <w:pPr>
        <w:kinsoku/>
        <w:spacing w:line="360" w:lineRule="auto"/>
        <w:ind w:firstLine="480" w:firstLineChars="200"/>
        <w:rPr>
          <w:rFonts w:ascii="宋体" w:eastAsia="宋体" w:cs="宋体"/>
          <w:color w:val="auto"/>
          <w:sz w:val="24"/>
          <w:szCs w:val="24"/>
          <w:lang w:eastAsia="zh-CN"/>
        </w:rPr>
        <w:sectPr>
          <w:footerReference r:id="rId1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8" w:name="_Toc16005"/>
      <w:r>
        <w:rPr>
          <w:rFonts w:hint="eastAsia" w:ascii="宋体" w:eastAsia="宋体" w:cs="宋体"/>
          <w:b/>
          <w:bCs/>
          <w:color w:val="auto"/>
          <w:sz w:val="28"/>
          <w:szCs w:val="28"/>
          <w:lang w:eastAsia="zh-CN"/>
        </w:rPr>
        <w:t>五、缴纳磋商保证金证明材料</w:t>
      </w:r>
      <w:bookmarkEnd w:id="48"/>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供应商应提供缴纳磋商保证金的证明材料原件扫描件。</w:t>
      </w:r>
    </w:p>
    <w:p>
      <w:pPr>
        <w:kinsoku/>
        <w:spacing w:line="360" w:lineRule="auto"/>
        <w:ind w:firstLine="480" w:firstLineChars="200"/>
        <w:rPr>
          <w:rFonts w:ascii="宋体" w:eastAsia="宋体" w:cs="宋体"/>
          <w:color w:val="auto"/>
          <w:sz w:val="24"/>
          <w:szCs w:val="24"/>
          <w:lang w:eastAsia="zh-CN"/>
        </w:rPr>
        <w:sectPr>
          <w:footerReference r:id="rId1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rPr>
      </w:pPr>
      <w:bookmarkStart w:id="49" w:name="_Toc1435"/>
      <w:r>
        <w:rPr>
          <w:rFonts w:hint="eastAsia" w:ascii="宋体" w:eastAsia="宋体" w:cs="宋体"/>
          <w:b/>
          <w:bCs/>
          <w:color w:val="auto"/>
          <w:sz w:val="28"/>
          <w:szCs w:val="28"/>
        </w:rPr>
        <w:t>六、供应商基本情况表</w:t>
      </w:r>
      <w:bookmarkEnd w:id="49"/>
    </w:p>
    <w:tbl>
      <w:tblPr>
        <w:tblStyle w:val="21"/>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供应商名称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注册资金</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注册时间</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法定代表人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技术负责人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开户银行账号</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企业资质：</w:t>
            </w:r>
          </w:p>
        </w:tc>
      </w:tr>
    </w:tbl>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sectPr>
          <w:footerReference r:id="rId1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0" w:name="_Toc3218"/>
      <w:r>
        <w:rPr>
          <w:rFonts w:hint="eastAsia" w:ascii="宋体" w:eastAsia="宋体" w:cs="宋体"/>
          <w:b/>
          <w:bCs/>
          <w:color w:val="auto"/>
          <w:sz w:val="28"/>
          <w:szCs w:val="28"/>
          <w:lang w:eastAsia="zh-CN"/>
        </w:rPr>
        <w:t>七、具有独立承担民事责任的能力的证明材料</w:t>
      </w:r>
      <w:bookmarkEnd w:id="50"/>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sectPr>
          <w:footerReference r:id="rId1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供应商为法人或者其他组织的，提供营业执照等证明文件；供应商为自然人的，提供身份证明。</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1" w:name="_Toc17843"/>
      <w:r>
        <w:rPr>
          <w:rFonts w:hint="eastAsia" w:ascii="宋体" w:eastAsia="宋体" w:cs="宋体"/>
          <w:b/>
          <w:bCs/>
          <w:color w:val="auto"/>
          <w:sz w:val="28"/>
          <w:szCs w:val="28"/>
          <w:lang w:eastAsia="zh-CN"/>
        </w:rPr>
        <w:t>八、具有良好的商业信誉和健全的财务会计制度的相关材料</w:t>
      </w:r>
      <w:bookmarkEnd w:id="51"/>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供应商提供具有良好的商业信誉和健全的财务会计制度的相关材料。</w:t>
      </w:r>
    </w:p>
    <w:p>
      <w:pPr>
        <w:kinsoku/>
        <w:spacing w:line="360" w:lineRule="auto"/>
        <w:ind w:firstLine="480" w:firstLineChars="200"/>
        <w:rPr>
          <w:rFonts w:ascii="宋体" w:eastAsia="宋体" w:cs="宋体"/>
          <w:color w:val="auto"/>
          <w:sz w:val="24"/>
          <w:szCs w:val="24"/>
          <w:lang w:eastAsia="zh-CN"/>
        </w:rPr>
        <w:sectPr>
          <w:footerReference r:id="rId1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2" w:name="_Toc18482"/>
      <w:r>
        <w:rPr>
          <w:rFonts w:hint="eastAsia" w:ascii="宋体" w:eastAsia="宋体" w:cs="宋体"/>
          <w:b/>
          <w:bCs/>
          <w:color w:val="auto"/>
          <w:sz w:val="28"/>
          <w:szCs w:val="28"/>
          <w:lang w:eastAsia="zh-CN"/>
        </w:rPr>
        <w:t>九、依法缴纳税收和社会保障资金的良好记录的相关材料</w:t>
      </w:r>
      <w:bookmarkEnd w:id="52"/>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供应商提供依法缴纳税收和社会保障资金的相关材料。</w:t>
      </w:r>
    </w:p>
    <w:p>
      <w:pPr>
        <w:kinsoku/>
        <w:spacing w:line="360" w:lineRule="auto"/>
        <w:ind w:firstLine="480" w:firstLineChars="200"/>
        <w:rPr>
          <w:rFonts w:ascii="宋体" w:eastAsia="宋体" w:cs="宋体"/>
          <w:color w:val="auto"/>
          <w:sz w:val="24"/>
          <w:szCs w:val="24"/>
          <w:lang w:eastAsia="zh-CN"/>
        </w:rPr>
        <w:sectPr>
          <w:footerReference r:id="rId20"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3" w:name="_Toc12100"/>
      <w:r>
        <w:rPr>
          <w:rFonts w:hint="eastAsia" w:ascii="宋体" w:eastAsia="宋体" w:cs="宋体"/>
          <w:b/>
          <w:bCs/>
          <w:color w:val="auto"/>
          <w:sz w:val="28"/>
          <w:szCs w:val="28"/>
          <w:lang w:eastAsia="zh-CN"/>
        </w:rPr>
        <w:t>十、具有履行合同所必需的设备和专业技术能力的相关材料</w:t>
      </w:r>
      <w:bookmarkEnd w:id="53"/>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sectPr>
          <w:footerReference r:id="rId2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54" w:name="_Toc1487"/>
      <w:r>
        <w:rPr>
          <w:rFonts w:hint="eastAsia" w:ascii="宋体" w:eastAsia="宋体" w:cs="宋体"/>
          <w:b/>
          <w:bCs/>
          <w:color w:val="auto"/>
          <w:sz w:val="28"/>
          <w:szCs w:val="28"/>
          <w:lang w:eastAsia="zh-CN"/>
        </w:rPr>
        <w:t>十一、参加政府采购活动前三年内在经营活动中没有重大违法记录的书面声明</w:t>
      </w:r>
      <w:bookmarkEnd w:id="54"/>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本公司（单位）自愿参加本次政府采购活动，</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，严格遵守《中华人民共和国政府采购法》《中华人民共和国政府采购法实施条例》及相关法律、法规和规章制度，在参加此次政府采购活动前三年内，本公司在经营活动中无重大违法记录。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特此声明</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560" w:firstLineChars="19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left="0" w:leftChars="0" w:firstLine="2520" w:firstLineChars="105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法定代表人或授权委托人（签字</w:t>
      </w:r>
      <w:r>
        <w:rPr>
          <w:rFonts w:hint="eastAsia" w:ascii="宋体" w:eastAsia="宋体" w:cs="宋体"/>
          <w:color w:val="auto"/>
          <w:sz w:val="24"/>
          <w:szCs w:val="24"/>
          <w:lang w:val="en-US" w:eastAsia="zh-CN"/>
        </w:rPr>
        <w:t>/盖章</w:t>
      </w:r>
      <w:r>
        <w:rPr>
          <w:rFonts w:hint="eastAsia" w:ascii="宋体" w:eastAsia="宋体" w:cs="宋体"/>
          <w:color w:val="auto"/>
          <w:sz w:val="24"/>
          <w:szCs w:val="24"/>
          <w:lang w:eastAsia="zh-CN"/>
        </w:rPr>
        <w:t>）：</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5" w:name="_Toc6296"/>
      <w:r>
        <w:rPr>
          <w:rFonts w:hint="eastAsia" w:ascii="宋体" w:eastAsia="宋体" w:cs="宋体"/>
          <w:b/>
          <w:bCs/>
          <w:color w:val="auto"/>
          <w:sz w:val="28"/>
          <w:szCs w:val="28"/>
          <w:lang w:eastAsia="zh-CN"/>
        </w:rPr>
        <w:t>十二、联合体协议书</w:t>
      </w:r>
      <w:bookmarkEnd w:id="55"/>
    </w:p>
    <w:p>
      <w:pPr>
        <w:kinsoku/>
        <w:wordWrap w:val="0"/>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（所有成员单位名称）自愿组成一个联合体，以一个供应商的身份共同参加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。联合体各方共同与采购人签订采购合同，就采购合同约定的事项对采购人承担连带责任。现就联合体参加采购事宜订立如下协议。</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（某成员单位名称）为联合体牵头人。</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2.联合体各成员单位授权牵头人代表联合体参加采购活动，提交和接收相关的资料，负责合同实施阶段的组织和协调工作，以及处理与本项目有关的事宜。</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3.联合体牵头人在本项目中签署的文件和处理的事宜，联合体各成员单位均予以承认。联合体各成员单位将严格按照磋商文件、响应文件和合同的要求全面履行义务，并向采购人承担连带责任。</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4.联合体各成员单位内部的职责分工如下：</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5.如要求缴纳保证金，以牵头人名义缴纳，对联合体各方均具有约束力。</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6.本协议书自签署之日起生效，合同履行完毕后自动失效。</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7.本协议书一式</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份，联合体各成员单位和采购人各执一份。</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协议书由法定代表人签字的，应附法定代表人身份证明；由授权代表签字的，应附授权委托书。</w:t>
      </w:r>
    </w:p>
    <w:p>
      <w:pPr>
        <w:kinsoku/>
        <w:spacing w:line="480" w:lineRule="exact"/>
        <w:ind w:firstLine="480" w:firstLineChars="200"/>
        <w:rPr>
          <w:rFonts w:ascii="宋体" w:eastAsia="宋体" w:cs="宋体"/>
          <w:color w:val="auto"/>
          <w:sz w:val="24"/>
          <w:szCs w:val="24"/>
          <w:lang w:eastAsia="zh-CN"/>
        </w:rPr>
      </w:pP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所有成员单位法定代表人或其授权代表（签字并盖章）：</w:t>
      </w:r>
    </w:p>
    <w:p>
      <w:pPr>
        <w:kinsoku/>
        <w:spacing w:line="48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3" w:type="default"/>
          <w:pgSz w:w="11906" w:h="16838"/>
          <w:pgMar w:top="1440" w:right="1080" w:bottom="1440" w:left="1080" w:header="0" w:footer="850" w:gutter="0"/>
          <w:pgNumType w:fmt="decimal"/>
          <w:cols w:space="0" w:num="1"/>
          <w:rtlGutter w:val="0"/>
          <w:docGrid w:linePitch="312"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both"/>
        <w:outlineLvl w:val="9"/>
        <w:rPr>
          <w:rFonts w:hint="eastAsia" w:ascii="宋体" w:eastAsia="宋体" w:cs="宋体"/>
          <w:b/>
          <w:bCs/>
          <w:color w:val="auto"/>
          <w:sz w:val="28"/>
          <w:szCs w:val="28"/>
          <w:lang w:eastAsia="zh-CN"/>
        </w:rPr>
      </w:pPr>
      <w:r>
        <w:rPr>
          <w:rFonts w:hint="eastAsia" w:ascii="宋体" w:eastAsia="宋体" w:cs="宋体"/>
          <w:color w:val="auto"/>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宋体" w:eastAsia="宋体" w:cs="宋体"/>
          <w:color w:val="auto"/>
          <w:sz w:val="24"/>
          <w:szCs w:val="24"/>
          <w:highlight w:val="none"/>
        </w:rPr>
      </w:pPr>
      <w:bookmarkStart w:id="56" w:name="_Toc12275"/>
      <w:r>
        <w:rPr>
          <w:rFonts w:hint="eastAsia" w:ascii="宋体" w:eastAsia="宋体" w:cs="宋体"/>
          <w:b/>
          <w:bCs/>
          <w:color w:val="auto"/>
          <w:sz w:val="28"/>
          <w:szCs w:val="28"/>
          <w:highlight w:val="none"/>
          <w:lang w:eastAsia="zh-CN"/>
        </w:rPr>
        <w:t>十三、</w:t>
      </w:r>
      <w:r>
        <w:rPr>
          <w:rFonts w:hint="eastAsia" w:ascii="宋体" w:eastAsia="宋体" w:cs="宋体"/>
          <w:b/>
          <w:bCs/>
          <w:color w:val="auto"/>
          <w:sz w:val="28"/>
          <w:szCs w:val="28"/>
          <w:highlight w:val="none"/>
        </w:rPr>
        <w:t>中小企业声明函（工程、服务）</w:t>
      </w:r>
      <w:bookmarkEnd w:id="5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 xml:space="preserve">万元 </w:t>
      </w:r>
      <w:r>
        <w:rPr>
          <w:rFonts w:hint="eastAsia" w:ascii="宋体" w:eastAsia="宋体" w:cs="宋体"/>
          <w:color w:val="auto"/>
          <w:sz w:val="24"/>
          <w:szCs w:val="24"/>
          <w:highlight w:val="none"/>
          <w:vertAlign w:val="superscript"/>
        </w:rPr>
        <w:t>1</w:t>
      </w:r>
      <w:r>
        <w:rPr>
          <w:rFonts w:hint="eastAsia" w:ascii="宋体" w:eastAsia="宋体" w:cs="宋体"/>
          <w:color w:val="auto"/>
          <w:sz w:val="24"/>
          <w:szCs w:val="24"/>
          <w:highlight w:val="none"/>
        </w:rPr>
        <w:t xml:space="preserve"> ，属于（中型企业、小型企业、微型企业）；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企业名称（盖章）：</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vertAlign w:val="superscript"/>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注：1.从业人员、营业收入、资产总额填报上一年度数据，无上一年数据的新成立企业可不填报。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2.中型、小型、微型企业请在投标文件中附此函。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3.供应商提供《中小企业声明函》内容不实的，属于“隐瞒真实情况，提供虚假资料”的情形，依照有关规定追究相应责任。</w:t>
      </w:r>
    </w:p>
    <w:p>
      <w:pPr>
        <w:rPr>
          <w:rFonts w:hint="eastAsia" w:ascii="宋体" w:eastAsia="宋体" w:cs="宋体"/>
          <w:b/>
          <w:bCs/>
          <w:color w:val="auto"/>
          <w:sz w:val="28"/>
          <w:szCs w:val="28"/>
          <w:lang w:eastAsia="zh-CN"/>
        </w:rPr>
      </w:pPr>
      <w:r>
        <w:rPr>
          <w:rFonts w:hint="eastAsia" w:ascii="宋体" w:eastAsia="宋体" w:cs="宋体"/>
          <w:b/>
          <w:bCs/>
          <w:color w:val="auto"/>
          <w:sz w:val="28"/>
          <w:szCs w:val="28"/>
          <w:lang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bookmarkStart w:id="57" w:name="_Toc489"/>
      <w:r>
        <w:rPr>
          <w:rFonts w:hint="eastAsia" w:ascii="宋体" w:eastAsia="宋体" w:cs="宋体"/>
          <w:b/>
          <w:bCs/>
          <w:color w:val="auto"/>
          <w:sz w:val="28"/>
          <w:szCs w:val="28"/>
          <w:lang w:eastAsia="zh-CN"/>
        </w:rPr>
        <w:t>十四、监狱企业证明文件</w:t>
      </w:r>
      <w:bookmarkEnd w:id="57"/>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提供由省级以上监狱管理局、戒毒管理局（含新疆生产建设兵团）出具的属于监狱企业的证明文件。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sectPr>
          <w:footerReference r:id="rId24" w:type="default"/>
          <w:pgSz w:w="11906" w:h="16838"/>
          <w:pgMar w:top="1440" w:right="1080" w:bottom="1440" w:left="108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bookmarkStart w:id="58" w:name="_Toc28256"/>
      <w:r>
        <w:rPr>
          <w:rFonts w:hint="eastAsia" w:ascii="宋体" w:hAnsi="宋体" w:eastAsia="宋体" w:cs="宋体"/>
          <w:b/>
          <w:bCs/>
          <w:color w:val="auto"/>
          <w:kern w:val="0"/>
          <w:sz w:val="28"/>
          <w:szCs w:val="28"/>
        </w:rPr>
        <w:t>十五、残疾人福利性单位声明函</w:t>
      </w:r>
      <w:bookmarkEnd w:id="58"/>
    </w:p>
    <w:p>
      <w:pPr>
        <w:keepNext w:val="0"/>
        <w:keepLines w:val="0"/>
        <w:pageBreakBefore w:val="0"/>
        <w:widowControl/>
        <w:kinsoku w:val="0"/>
        <w:wordWrap/>
        <w:overflowPunct/>
        <w:topLinePunct w:val="0"/>
        <w:autoSpaceDE w:val="0"/>
        <w:autoSpaceDN w:val="0"/>
        <w:bidi w:val="0"/>
        <w:adjustRightInd w:val="0"/>
        <w:snapToGrid w:val="0"/>
        <w:spacing w:before="111" w:line="360" w:lineRule="auto"/>
        <w:ind w:right="15" w:firstLine="544"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6"/>
          <w:kern w:val="0"/>
          <w:sz w:val="26"/>
          <w:szCs w:val="26"/>
        </w:rPr>
        <w:t>本单位郑重声</w:t>
      </w:r>
      <w:r>
        <w:rPr>
          <w:rFonts w:hint="eastAsia" w:ascii="宋体" w:hAnsi="宋体" w:eastAsia="宋体" w:cs="宋体"/>
          <w:color w:val="auto"/>
          <w:spacing w:val="4"/>
          <w:kern w:val="0"/>
          <w:sz w:val="26"/>
          <w:szCs w:val="26"/>
        </w:rPr>
        <w:t>明</w:t>
      </w:r>
      <w:r>
        <w:rPr>
          <w:rFonts w:hint="eastAsia" w:ascii="宋体" w:hAnsi="宋体" w:eastAsia="宋体" w:cs="宋体"/>
          <w:color w:val="auto"/>
          <w:spacing w:val="3"/>
          <w:kern w:val="0"/>
          <w:sz w:val="26"/>
          <w:szCs w:val="26"/>
        </w:rPr>
        <w:t>，根据《财政部 民政部 中国残疾人联合会关于</w:t>
      </w:r>
      <w:r>
        <w:rPr>
          <w:rFonts w:hint="eastAsia" w:ascii="宋体" w:hAnsi="宋体" w:eastAsia="宋体" w:cs="宋体"/>
          <w:color w:val="auto"/>
          <w:spacing w:val="2"/>
          <w:kern w:val="0"/>
          <w:sz w:val="26"/>
          <w:szCs w:val="26"/>
        </w:rPr>
        <w:t>促进残疾人就业</w:t>
      </w:r>
      <w:r>
        <w:rPr>
          <w:rFonts w:hint="eastAsia" w:ascii="宋体" w:hAnsi="宋体" w:eastAsia="宋体" w:cs="宋体"/>
          <w:color w:val="auto"/>
          <w:spacing w:val="1"/>
          <w:kern w:val="0"/>
          <w:sz w:val="26"/>
          <w:szCs w:val="26"/>
        </w:rPr>
        <w:t>政府采购政策的通知》(财库〔2017〕141号)的规</w:t>
      </w:r>
      <w:r>
        <w:rPr>
          <w:rFonts w:hint="eastAsia" w:ascii="宋体" w:hAnsi="宋体" w:eastAsia="宋体" w:cs="宋体"/>
          <w:color w:val="auto"/>
          <w:spacing w:val="9"/>
          <w:kern w:val="0"/>
          <w:sz w:val="26"/>
          <w:szCs w:val="26"/>
        </w:rPr>
        <w:t>定，本单位为符合条件的残疾人福利性单位，且本单位参加</w:t>
      </w:r>
      <w:r>
        <w:rPr>
          <w:rFonts w:hint="eastAsia" w:ascii="宋体" w:hAnsi="宋体" w:eastAsia="宋体" w:cs="宋体"/>
          <w:color w:val="auto"/>
          <w:spacing w:val="9"/>
          <w:kern w:val="0"/>
          <w:sz w:val="26"/>
          <w:szCs w:val="26"/>
          <w:u w:val="single"/>
          <w:lang w:val="en-US" w:eastAsia="zh-CN"/>
        </w:rPr>
        <w:t xml:space="preserve">    </w:t>
      </w:r>
      <w:r>
        <w:rPr>
          <w:rFonts w:hint="eastAsia" w:ascii="宋体" w:hAnsi="宋体" w:eastAsia="宋体" w:cs="宋体"/>
          <w:color w:val="auto"/>
          <w:spacing w:val="9"/>
          <w:kern w:val="0"/>
          <w:sz w:val="26"/>
          <w:szCs w:val="26"/>
        </w:rPr>
        <w:t>单</w:t>
      </w:r>
      <w:r>
        <w:rPr>
          <w:rFonts w:hint="eastAsia" w:ascii="宋体" w:hAnsi="宋体" w:eastAsia="宋体" w:cs="宋体"/>
          <w:color w:val="auto"/>
          <w:spacing w:val="2"/>
          <w:kern w:val="0"/>
          <w:sz w:val="26"/>
          <w:szCs w:val="26"/>
        </w:rPr>
        <w:t>位</w:t>
      </w:r>
      <w:r>
        <w:rPr>
          <w:rFonts w:hint="eastAsia" w:ascii="宋体" w:hAnsi="宋体" w:eastAsia="宋体" w:cs="宋体"/>
          <w:color w:val="auto"/>
          <w:spacing w:val="16"/>
          <w:kern w:val="0"/>
          <w:sz w:val="26"/>
          <w:szCs w:val="26"/>
        </w:rPr>
        <w:t>的</w:t>
      </w:r>
      <w:r>
        <w:rPr>
          <w:rFonts w:hint="eastAsia" w:ascii="宋体" w:hAnsi="宋体" w:eastAsia="宋体" w:cs="宋体"/>
          <w:color w:val="auto"/>
          <w:spacing w:val="8"/>
          <w:kern w:val="0"/>
          <w:sz w:val="26"/>
          <w:szCs w:val="26"/>
          <w:u w:val="single"/>
          <w:lang w:val="en-US" w:eastAsia="zh-CN"/>
        </w:rPr>
        <w:t xml:space="preserve">    </w:t>
      </w:r>
      <w:r>
        <w:rPr>
          <w:rFonts w:hint="eastAsia" w:ascii="宋体" w:hAnsi="宋体" w:eastAsia="宋体" w:cs="宋体"/>
          <w:color w:val="auto"/>
          <w:spacing w:val="8"/>
          <w:kern w:val="0"/>
          <w:sz w:val="26"/>
          <w:szCs w:val="26"/>
        </w:rPr>
        <w:t>项目采购活动提供本单位制造的货物(由本单位承担工程/提供</w:t>
      </w:r>
      <w:r>
        <w:rPr>
          <w:rFonts w:hint="eastAsia" w:ascii="宋体" w:hAnsi="宋体" w:eastAsia="宋体" w:cs="宋体"/>
          <w:color w:val="auto"/>
          <w:spacing w:val="17"/>
          <w:kern w:val="0"/>
          <w:sz w:val="26"/>
          <w:szCs w:val="26"/>
        </w:rPr>
        <w:t>服</w:t>
      </w:r>
      <w:r>
        <w:rPr>
          <w:rFonts w:hint="eastAsia" w:ascii="宋体" w:hAnsi="宋体" w:eastAsia="宋体" w:cs="宋体"/>
          <w:color w:val="auto"/>
          <w:spacing w:val="13"/>
          <w:kern w:val="0"/>
          <w:sz w:val="26"/>
          <w:szCs w:val="26"/>
        </w:rPr>
        <w:t>务)，或者提供其他残疾人福利性单位制造的货物(不包括使用非残</w:t>
      </w:r>
      <w:r>
        <w:rPr>
          <w:rFonts w:hint="eastAsia" w:ascii="宋体" w:hAnsi="宋体" w:eastAsia="宋体" w:cs="宋体"/>
          <w:color w:val="auto"/>
          <w:spacing w:val="12"/>
          <w:kern w:val="0"/>
          <w:sz w:val="26"/>
          <w:szCs w:val="26"/>
        </w:rPr>
        <w:t>疾</w:t>
      </w:r>
      <w:r>
        <w:rPr>
          <w:rFonts w:hint="eastAsia" w:ascii="宋体" w:hAnsi="宋体" w:eastAsia="宋体" w:cs="宋体"/>
          <w:color w:val="auto"/>
          <w:spacing w:val="9"/>
          <w:kern w:val="0"/>
          <w:sz w:val="26"/>
          <w:szCs w:val="26"/>
        </w:rPr>
        <w:t>人福利性单位注册商标的货物)。</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10"/>
          <w:kern w:val="0"/>
          <w:sz w:val="26"/>
          <w:szCs w:val="26"/>
        </w:rPr>
        <w:t>本单位对</w:t>
      </w:r>
      <w:r>
        <w:rPr>
          <w:rFonts w:hint="eastAsia" w:ascii="宋体" w:hAnsi="宋体" w:eastAsia="宋体" w:cs="宋体"/>
          <w:color w:val="auto"/>
          <w:spacing w:val="5"/>
          <w:kern w:val="0"/>
          <w:sz w:val="26"/>
          <w:szCs w:val="26"/>
        </w:rPr>
        <w:t>上述声明的真实性负责。如有虚假，将依法承担相应责</w:t>
      </w:r>
      <w:r>
        <w:rPr>
          <w:rFonts w:hint="eastAsia" w:ascii="宋体" w:hAnsi="宋体" w:eastAsia="宋体" w:cs="宋体"/>
          <w:color w:val="auto"/>
          <w:spacing w:val="3"/>
          <w:kern w:val="0"/>
          <w:sz w:val="26"/>
          <w:szCs w:val="26"/>
        </w:rPr>
        <w:t>任</w:t>
      </w:r>
      <w:r>
        <w:rPr>
          <w:rFonts w:hint="eastAsia" w:ascii="宋体" w:hAnsi="宋体" w:eastAsia="宋体" w:cs="宋体"/>
          <w:color w:val="auto"/>
          <w:spacing w:val="2"/>
          <w:kern w:val="0"/>
          <w:sz w:val="26"/>
          <w:szCs w:val="26"/>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before="112" w:line="360" w:lineRule="auto"/>
        <w:ind w:left="3977"/>
        <w:jc w:val="left"/>
        <w:rPr>
          <w:rFonts w:hint="eastAsia" w:ascii="宋体" w:hAnsi="宋体" w:eastAsia="宋体" w:cs="宋体"/>
          <w:color w:val="auto"/>
          <w:kern w:val="0"/>
          <w:sz w:val="26"/>
          <w:szCs w:val="26"/>
        </w:rPr>
      </w:pPr>
      <w:r>
        <w:rPr>
          <w:rFonts w:hint="eastAsia" w:ascii="宋体" w:hAnsi="宋体" w:eastAsia="宋体" w:cs="宋体"/>
          <w:color w:val="auto"/>
          <w:spacing w:val="24"/>
          <w:kern w:val="0"/>
          <w:position w:val="24"/>
          <w:sz w:val="26"/>
          <w:szCs w:val="26"/>
        </w:rPr>
        <w:t>单</w:t>
      </w:r>
      <w:r>
        <w:rPr>
          <w:rFonts w:hint="eastAsia" w:ascii="宋体" w:hAnsi="宋体" w:eastAsia="宋体" w:cs="宋体"/>
          <w:color w:val="auto"/>
          <w:spacing w:val="17"/>
          <w:kern w:val="0"/>
          <w:position w:val="24"/>
          <w:sz w:val="26"/>
          <w:szCs w:val="26"/>
        </w:rPr>
        <w:t>位名称(盖章)：</w:t>
      </w:r>
    </w:p>
    <w:p>
      <w:pPr>
        <w:ind w:left="0" w:leftChars="0" w:firstLine="5257" w:firstLineChars="2120"/>
        <w:rPr>
          <w:rFonts w:hint="eastAsia" w:ascii="宋体" w:eastAsia="宋体" w:cs="宋体"/>
          <w:b/>
          <w:bCs/>
          <w:color w:val="auto"/>
          <w:sz w:val="28"/>
          <w:szCs w:val="28"/>
          <w:lang w:eastAsia="zh-CN"/>
        </w:rPr>
      </w:pPr>
      <w:r>
        <w:rPr>
          <w:rFonts w:hint="eastAsia" w:ascii="宋体" w:hAnsi="宋体" w:eastAsia="宋体" w:cs="宋体"/>
          <w:color w:val="auto"/>
          <w:spacing w:val="-6"/>
          <w:kern w:val="0"/>
          <w:sz w:val="26"/>
          <w:szCs w:val="26"/>
        </w:rPr>
        <w:t>日</w:t>
      </w:r>
      <w:r>
        <w:rPr>
          <w:rFonts w:hint="eastAsia" w:ascii="宋体" w:hAnsi="宋体" w:eastAsia="宋体" w:cs="宋体"/>
          <w:color w:val="auto"/>
          <w:spacing w:val="-4"/>
          <w:kern w:val="0"/>
          <w:sz w:val="26"/>
          <w:szCs w:val="26"/>
        </w:rPr>
        <w:t xml:space="preserve"> </w:t>
      </w:r>
      <w:r>
        <w:rPr>
          <w:rFonts w:hint="eastAsia" w:ascii="宋体" w:hAnsi="宋体" w:eastAsia="宋体" w:cs="宋体"/>
          <w:color w:val="auto"/>
          <w:spacing w:val="-3"/>
          <w:kern w:val="0"/>
          <w:sz w:val="26"/>
          <w:szCs w:val="26"/>
        </w:rPr>
        <w:t>期：</w:t>
      </w:r>
      <w:r>
        <w:rPr>
          <w:rFonts w:hint="eastAsia" w:ascii="宋体" w:eastAsia="宋体" w:cs="宋体"/>
          <w:b/>
          <w:bCs/>
          <w:color w:val="auto"/>
          <w:sz w:val="28"/>
          <w:szCs w:val="28"/>
          <w:lang w:eastAsia="zh-CN"/>
        </w:rPr>
        <w:br w:type="page"/>
      </w:r>
    </w:p>
    <w:p>
      <w:pPr>
        <w:kinsoku/>
        <w:spacing w:line="480" w:lineRule="auto"/>
        <w:ind w:left="0" w:leftChars="0" w:right="0" w:rightChars="0" w:firstLine="0" w:firstLineChars="0"/>
        <w:jc w:val="center"/>
        <w:outlineLvl w:val="1"/>
        <w:rPr>
          <w:rFonts w:ascii="宋体" w:eastAsia="宋体" w:cs="宋体"/>
          <w:b/>
          <w:bCs/>
          <w:color w:val="auto"/>
          <w:sz w:val="28"/>
          <w:szCs w:val="28"/>
          <w:lang w:eastAsia="zh-CN"/>
        </w:rPr>
      </w:pPr>
      <w:bookmarkStart w:id="59" w:name="_Toc17059"/>
      <w:r>
        <w:rPr>
          <w:rFonts w:hint="eastAsia" w:ascii="宋体" w:eastAsia="宋体" w:cs="宋体"/>
          <w:b/>
          <w:bCs/>
          <w:color w:val="auto"/>
          <w:sz w:val="28"/>
          <w:szCs w:val="28"/>
          <w:lang w:eastAsia="zh-CN"/>
        </w:rPr>
        <w:t>十六、主要商务要求承诺书</w:t>
      </w:r>
      <w:bookmarkEnd w:id="59"/>
    </w:p>
    <w:p>
      <w:pPr>
        <w:kinsoku/>
        <w:wordWrap w:val="0"/>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我公司承诺可以完全满足</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磋商文件的所有主要商务条款要求，包括交货或服务期限、交货或服务地点、付款方式、验收要求、履约保证金等。若有不符合或未按承诺履行的，承担相应法律后果。</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如有优于磋商文件主要商务要求的请在此承诺书中说明。</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具体优于内容（如服务期限、地点，质保期等）。</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特此承诺</w:t>
      </w:r>
    </w:p>
    <w:p>
      <w:pPr>
        <w:kinsoku/>
        <w:spacing w:line="360" w:lineRule="auto"/>
        <w:ind w:firstLine="4320" w:firstLineChars="18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0" w:name="_Toc30420"/>
      <w:r>
        <w:rPr>
          <w:rFonts w:hint="eastAsia" w:ascii="宋体" w:eastAsia="宋体" w:cs="宋体"/>
          <w:b/>
          <w:bCs/>
          <w:color w:val="auto"/>
          <w:sz w:val="28"/>
          <w:szCs w:val="28"/>
          <w:lang w:eastAsia="zh-CN"/>
        </w:rPr>
        <w:t>十七、技术偏离表</w:t>
      </w:r>
      <w:bookmarkEnd w:id="60"/>
    </w:p>
    <w:tbl>
      <w:tblPr>
        <w:tblStyle w:val="21"/>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pPr>
              <w:jc w:val="center"/>
              <w:rPr>
                <w:color w:val="auto"/>
              </w:rPr>
            </w:pPr>
            <w:r>
              <w:rPr>
                <w:rFonts w:hint="eastAsia"/>
                <w:color w:val="auto"/>
              </w:rPr>
              <w:t>序号</w:t>
            </w:r>
          </w:p>
        </w:tc>
        <w:tc>
          <w:tcPr>
            <w:tcW w:w="1307" w:type="dxa"/>
            <w:shd w:val="clear" w:color="auto" w:fill="auto"/>
            <w:vAlign w:val="center"/>
          </w:tcPr>
          <w:p>
            <w:pPr>
              <w:jc w:val="center"/>
              <w:rPr>
                <w:color w:val="auto"/>
              </w:rPr>
            </w:pPr>
            <w:r>
              <w:rPr>
                <w:rFonts w:hint="eastAsia"/>
                <w:color w:val="auto"/>
              </w:rPr>
              <w:t>标的名称</w:t>
            </w:r>
          </w:p>
        </w:tc>
        <w:tc>
          <w:tcPr>
            <w:tcW w:w="2283" w:type="dxa"/>
            <w:gridSpan w:val="2"/>
            <w:shd w:val="clear" w:color="auto" w:fill="auto"/>
            <w:vAlign w:val="center"/>
          </w:tcPr>
          <w:p>
            <w:pPr>
              <w:jc w:val="center"/>
              <w:rPr>
                <w:color w:val="auto"/>
              </w:rPr>
            </w:pPr>
            <w:r>
              <w:rPr>
                <w:rFonts w:hint="eastAsia"/>
                <w:color w:val="auto"/>
              </w:rPr>
              <w:t>技术要求</w:t>
            </w:r>
          </w:p>
        </w:tc>
        <w:tc>
          <w:tcPr>
            <w:tcW w:w="2611" w:type="dxa"/>
            <w:shd w:val="clear" w:color="auto" w:fill="auto"/>
            <w:vAlign w:val="center"/>
          </w:tcPr>
          <w:p>
            <w:pPr>
              <w:jc w:val="center"/>
              <w:rPr>
                <w:color w:val="auto"/>
              </w:rPr>
            </w:pPr>
            <w:r>
              <w:rPr>
                <w:rFonts w:hint="eastAsia"/>
                <w:color w:val="auto"/>
              </w:rPr>
              <w:t>响应内容</w:t>
            </w:r>
          </w:p>
        </w:tc>
        <w:tc>
          <w:tcPr>
            <w:tcW w:w="1467" w:type="dxa"/>
            <w:shd w:val="clear" w:color="auto" w:fill="auto"/>
            <w:vAlign w:val="center"/>
          </w:tcPr>
          <w:p>
            <w:pPr>
              <w:jc w:val="center"/>
              <w:rPr>
                <w:color w:val="auto"/>
              </w:rPr>
            </w:pPr>
            <w:r>
              <w:rPr>
                <w:rFonts w:hint="eastAsia"/>
                <w:color w:val="auto"/>
              </w:rPr>
              <w:t>偏离程度</w:t>
            </w:r>
          </w:p>
        </w:tc>
        <w:tc>
          <w:tcPr>
            <w:tcW w:w="934" w:type="dxa"/>
            <w:shd w:val="clear" w:color="auto" w:fill="auto"/>
            <w:vAlign w:val="center"/>
          </w:tcPr>
          <w:p>
            <w:pPr>
              <w:jc w:val="center"/>
              <w:rPr>
                <w:color w:val="auto"/>
              </w:rPr>
            </w:pPr>
            <w:r>
              <w:rPr>
                <w:rFonts w:hint="eastAsia"/>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1</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1.1…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1.2…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2</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2.1…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2.2…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15" w:type="dxa"/>
            <w:shd w:val="clear" w:color="auto" w:fill="auto"/>
            <w:vAlign w:val="center"/>
          </w:tcPr>
          <w:p>
            <w:pPr>
              <w:jc w:val="center"/>
              <w:rPr>
                <w:color w:val="auto"/>
              </w:rPr>
            </w:pPr>
          </w:p>
        </w:tc>
        <w:tc>
          <w:tcPr>
            <w:tcW w:w="1307" w:type="dxa"/>
            <w:shd w:val="clear" w:color="auto" w:fill="auto"/>
            <w:vAlign w:val="center"/>
          </w:tcPr>
          <w:p>
            <w:pPr>
              <w:jc w:val="cente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bl>
    <w:p>
      <w:pPr>
        <w:kinsoku/>
        <w:spacing w:before="240" w:beforeLines="100"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1.“技术要求”栏应详细列明磋商文件中的技术要求。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2.“响应内容”栏填写供应商对磋商文件提出的技术要求作出的明确响应，并列明具体响应数值或内容，只注明符合、满足等无具体内容表述的，将视为未实质性满足磋商文件要求。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3.“偏离程度”栏填写满足、响应或正偏离、负偏离。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4.“备注”栏填写偏离情况的具体说明。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5.本表填写内容与分项报价明细表不一致的，以分项报价明细表内容为准。</w:t>
      </w:r>
    </w:p>
    <w:p>
      <w:pPr>
        <w:kinsoku/>
        <w:spacing w:line="360" w:lineRule="auto"/>
        <w:ind w:firstLine="480" w:firstLineChars="200"/>
        <w:rPr>
          <w:rFonts w:ascii="宋体" w:eastAsia="宋体" w:cs="宋体"/>
          <w:color w:val="auto"/>
          <w:sz w:val="24"/>
          <w:szCs w:val="24"/>
          <w:lang w:eastAsia="zh-CN"/>
        </w:rPr>
        <w:sectPr>
          <w:footerReference r:id="rId2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61" w:name="_Toc3454"/>
      <w:r>
        <w:rPr>
          <w:rFonts w:hint="eastAsia" w:ascii="宋体" w:eastAsia="宋体" w:cs="宋体"/>
          <w:b/>
          <w:bCs/>
          <w:color w:val="auto"/>
          <w:sz w:val="28"/>
          <w:szCs w:val="28"/>
          <w:lang w:eastAsia="zh-CN"/>
        </w:rPr>
        <w:t>十八、项目组成人员一览表</w:t>
      </w:r>
      <w:bookmarkEnd w:id="61"/>
    </w:p>
    <w:tbl>
      <w:tblPr>
        <w:tblStyle w:val="21"/>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06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姓名</w:t>
            </w:r>
          </w:p>
        </w:tc>
        <w:tc>
          <w:tcPr>
            <w:tcW w:w="2233"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本项目拟任职务</w:t>
            </w:r>
          </w:p>
        </w:tc>
        <w:tc>
          <w:tcPr>
            <w:tcW w:w="765"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学历</w:t>
            </w:r>
          </w:p>
        </w:tc>
        <w:tc>
          <w:tcPr>
            <w:tcW w:w="206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职称或执业资格</w:t>
            </w:r>
          </w:p>
        </w:tc>
        <w:tc>
          <w:tcPr>
            <w:tcW w:w="125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身份证号</w:t>
            </w:r>
          </w:p>
        </w:tc>
        <w:tc>
          <w:tcPr>
            <w:tcW w:w="125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bl>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根据上述人员情况及磋商文件要求在本表后附相关证明材料。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1.“本项目拟任职务”栏可包括：项目负责人、项目联系人、项目服务人员或技术人员等。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2.如供应商成交，须按本表项目组成人员操作，不得随意更换。</w:t>
      </w:r>
    </w:p>
    <w:p>
      <w:pPr>
        <w:kinsoku/>
        <w:spacing w:line="360" w:lineRule="auto"/>
        <w:ind w:firstLine="480" w:firstLineChars="200"/>
        <w:rPr>
          <w:rFonts w:ascii="宋体" w:eastAsia="宋体" w:cs="宋体"/>
          <w:color w:val="auto"/>
          <w:sz w:val="24"/>
          <w:szCs w:val="24"/>
          <w:lang w:eastAsia="zh-CN"/>
        </w:rPr>
        <w:sectPr>
          <w:footerReference r:id="rId2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2" w:name="_Toc7484"/>
      <w:r>
        <w:rPr>
          <w:rFonts w:hint="eastAsia" w:ascii="宋体" w:eastAsia="宋体" w:cs="宋体"/>
          <w:b/>
          <w:bCs/>
          <w:color w:val="auto"/>
          <w:sz w:val="28"/>
          <w:szCs w:val="28"/>
          <w:lang w:eastAsia="zh-CN"/>
        </w:rPr>
        <w:t>十九、项目实施方案、质量保证及售后服务承诺等</w:t>
      </w:r>
      <w:bookmarkEnd w:id="62"/>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（内容和格式自拟）</w:t>
      </w:r>
    </w:p>
    <w:p>
      <w:pPr>
        <w:kinsoku/>
        <w:spacing w:line="360" w:lineRule="auto"/>
        <w:ind w:firstLine="480" w:firstLineChars="200"/>
        <w:rPr>
          <w:rFonts w:ascii="宋体" w:eastAsia="宋体" w:cs="宋体"/>
          <w:color w:val="auto"/>
          <w:sz w:val="24"/>
          <w:szCs w:val="24"/>
          <w:lang w:eastAsia="zh-CN"/>
        </w:rPr>
        <w:sectPr>
          <w:footerReference r:id="rId28"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3" w:name="_Toc27268"/>
      <w:r>
        <w:rPr>
          <w:rFonts w:hint="eastAsia" w:ascii="宋体" w:eastAsia="宋体" w:cs="宋体"/>
          <w:b/>
          <w:bCs/>
          <w:color w:val="auto"/>
          <w:sz w:val="28"/>
          <w:szCs w:val="28"/>
          <w:lang w:eastAsia="zh-CN"/>
        </w:rPr>
        <w:t>二十、供应商业绩情况表</w:t>
      </w:r>
      <w:bookmarkEnd w:id="63"/>
    </w:p>
    <w:tbl>
      <w:tblPr>
        <w:tblStyle w:val="21"/>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使用单位</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业绩名称</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合同总价</w:t>
            </w:r>
          </w:p>
        </w:tc>
        <w:tc>
          <w:tcPr>
            <w:tcW w:w="194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4</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before="313"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供应商根据上述业绩情况及磋商文件要求后附相关证明材料。</w:t>
      </w:r>
    </w:p>
    <w:p>
      <w:pPr>
        <w:kinsoku/>
        <w:spacing w:line="360" w:lineRule="auto"/>
        <w:ind w:firstLine="480" w:firstLineChars="200"/>
        <w:rPr>
          <w:rFonts w:ascii="宋体" w:eastAsia="宋体" w:cs="宋体"/>
          <w:color w:val="auto"/>
          <w:sz w:val="24"/>
          <w:szCs w:val="24"/>
          <w:lang w:eastAsia="zh-CN"/>
        </w:rPr>
        <w:sectPr>
          <w:footerReference r:id="rId2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4" w:name="_Toc26135"/>
      <w:r>
        <w:rPr>
          <w:rFonts w:hint="eastAsia" w:ascii="宋体" w:eastAsia="宋体" w:cs="宋体"/>
          <w:b/>
          <w:bCs/>
          <w:color w:val="auto"/>
          <w:sz w:val="28"/>
          <w:szCs w:val="28"/>
          <w:lang w:eastAsia="zh-CN"/>
        </w:rPr>
        <w:t>二十一、其他证明材料</w:t>
      </w:r>
      <w:bookmarkEnd w:id="64"/>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1.磋商文件要求提供的其他资料。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2.供应商认为需提供的其他资料。</w:t>
      </w:r>
    </w:p>
    <w:sectPr>
      <w:footerReference r:id="rId30" w:type="default"/>
      <w:pgSz w:w="11906" w:h="16838"/>
      <w:pgMar w:top="1440" w:right="1080" w:bottom="1440" w:left="108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JwOWGwIAACsEAAAOAAAAZHJz&#10;L2Uyb0RvYy54bWytU8uO0zAU3SPxD5b3NGmBUV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NWYEsM0dnT69vX0/en04wuB&#10;DQA1LswQt3GIjO0b2xY0+r0YXAH2NHorvU43hiIIAdrHC8KijYTDOJ5OptMcLg7foKBEdn3ufIhv&#10;hdUkCQX1WGGHLDusQzyHDiGpmrGrWqlujcqQpqA3L1/n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9JwOWGwIAACsEAAAOAAAAAAAAAAEAIAAAADU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Z1mI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S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pnWYg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pb80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8oY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ilvzQ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5u20HQIAACs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c0OJZgozOn39cvr24/T9&#10;M8EbAGqtn8FvY+EZutemK2hwezGYPN5j613lVLzRFIEL0D5eEBZdIByP4+lkOs1h4rANClJk1+/W&#10;+fBGGEWiUFCHESZk2WHtw9l1cInZtFk1UqYxSk3agt6+fJ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Tm7bQ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JAsI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6oY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YkCwg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UwiK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e0O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pTCIo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spacing w:line="240" w:lineRule="auto"/>
      <w:jc w:val="left"/>
      <w:rPr>
        <w:rFonts w:ascii="Arial" w:hAnsi="Arial" w:eastAsia="Arial" w:cs="Arial"/>
        <w:color w:val="000000"/>
        <w:kern w:val="0"/>
        <w:sz w:val="18"/>
        <w:szCs w:val="21"/>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FkURY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Omt6o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5YTN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jlhM0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qJ2JxHgIAACsEAAAOAAAAAAAAAAEAIAAAADU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0TUpQaAgAAKwQAAA4AAAAAAAAAAQAgAAAANQ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0bQoGwIAACsEAAAOAAAAZHJz&#10;L2Uyb0RvYy54bWytU8uO0zAU3SPxD5b3NGnR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fX2T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v0bQoGwIAACsEAAAOAAAAAAAAAAEAIAAAADU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ke42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kw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4ke42HgIAACsEAAAOAAAAAAAAAAEAIAAAADU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LW7l30AAAAAIBAAAPAAAAAAAAAAEAIAAAADgAAABkcnMv&#10;ZG93bnJldi54bWxQSwECFAAUAAAACACHTuJAIcfMefUBAADBAwAADgAAAAAAAAABACAAAAA1AQAA&#10;ZHJzL2Uyb0RvYy54bWxQSwUGAAAAAAYABgBZAQAAnA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99999992"/>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3D23E5"/>
    <w:rsid w:val="003F23CE"/>
    <w:rsid w:val="00496CED"/>
    <w:rsid w:val="00617680"/>
    <w:rsid w:val="00645638"/>
    <w:rsid w:val="007D6E3B"/>
    <w:rsid w:val="00805919"/>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4F48ED"/>
    <w:rsid w:val="0352759D"/>
    <w:rsid w:val="03667EB4"/>
    <w:rsid w:val="036C7E22"/>
    <w:rsid w:val="03790EAE"/>
    <w:rsid w:val="038325D2"/>
    <w:rsid w:val="03875EC9"/>
    <w:rsid w:val="03A013D6"/>
    <w:rsid w:val="03A11C8C"/>
    <w:rsid w:val="03AC4D56"/>
    <w:rsid w:val="03B13165"/>
    <w:rsid w:val="03E548A5"/>
    <w:rsid w:val="040372EE"/>
    <w:rsid w:val="040E6340"/>
    <w:rsid w:val="041A3F82"/>
    <w:rsid w:val="041B0E47"/>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24009C"/>
    <w:rsid w:val="063A78C0"/>
    <w:rsid w:val="06615071"/>
    <w:rsid w:val="069B010A"/>
    <w:rsid w:val="06A75898"/>
    <w:rsid w:val="06BF0E31"/>
    <w:rsid w:val="06C31610"/>
    <w:rsid w:val="06EF57A4"/>
    <w:rsid w:val="0733656D"/>
    <w:rsid w:val="07570716"/>
    <w:rsid w:val="07720CB2"/>
    <w:rsid w:val="077B21C7"/>
    <w:rsid w:val="079A71A9"/>
    <w:rsid w:val="079E5C2C"/>
    <w:rsid w:val="079F3753"/>
    <w:rsid w:val="07B76CEE"/>
    <w:rsid w:val="07C37441"/>
    <w:rsid w:val="07F07584"/>
    <w:rsid w:val="080628D5"/>
    <w:rsid w:val="080737D2"/>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2D3F6A"/>
    <w:rsid w:val="0D3E4136"/>
    <w:rsid w:val="0D3F756A"/>
    <w:rsid w:val="0D490DFB"/>
    <w:rsid w:val="0D4D28BF"/>
    <w:rsid w:val="0D584ACF"/>
    <w:rsid w:val="0D7511DD"/>
    <w:rsid w:val="0D7C3293"/>
    <w:rsid w:val="0D9011DC"/>
    <w:rsid w:val="0D906017"/>
    <w:rsid w:val="0DA27AF9"/>
    <w:rsid w:val="0DA87805"/>
    <w:rsid w:val="0DB22432"/>
    <w:rsid w:val="0DC42165"/>
    <w:rsid w:val="0DCA72A3"/>
    <w:rsid w:val="0DF806B8"/>
    <w:rsid w:val="0E212997"/>
    <w:rsid w:val="0E4017EB"/>
    <w:rsid w:val="0E7479E9"/>
    <w:rsid w:val="0E77572D"/>
    <w:rsid w:val="0EE02A09"/>
    <w:rsid w:val="0EE24651"/>
    <w:rsid w:val="0EFD148A"/>
    <w:rsid w:val="0F0F5662"/>
    <w:rsid w:val="0F202AFE"/>
    <w:rsid w:val="0F264E85"/>
    <w:rsid w:val="0F2C4152"/>
    <w:rsid w:val="0F334EAC"/>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8F67BB"/>
    <w:rsid w:val="10A2678D"/>
    <w:rsid w:val="10A342B4"/>
    <w:rsid w:val="10B06929"/>
    <w:rsid w:val="10BA4BD5"/>
    <w:rsid w:val="10CA0971"/>
    <w:rsid w:val="10D12BCF"/>
    <w:rsid w:val="10EF7769"/>
    <w:rsid w:val="10F36FE9"/>
    <w:rsid w:val="110519DE"/>
    <w:rsid w:val="110A7E8F"/>
    <w:rsid w:val="111E24A0"/>
    <w:rsid w:val="112406FA"/>
    <w:rsid w:val="11346F8C"/>
    <w:rsid w:val="1141166B"/>
    <w:rsid w:val="116F4F22"/>
    <w:rsid w:val="11755C50"/>
    <w:rsid w:val="11791639"/>
    <w:rsid w:val="11845E93"/>
    <w:rsid w:val="118F7275"/>
    <w:rsid w:val="1192349F"/>
    <w:rsid w:val="1198193E"/>
    <w:rsid w:val="11A71B81"/>
    <w:rsid w:val="12386C7D"/>
    <w:rsid w:val="124949E7"/>
    <w:rsid w:val="124A2EBE"/>
    <w:rsid w:val="126F18CA"/>
    <w:rsid w:val="127000BF"/>
    <w:rsid w:val="128F3AF7"/>
    <w:rsid w:val="1298160C"/>
    <w:rsid w:val="12AA1929"/>
    <w:rsid w:val="12BB442E"/>
    <w:rsid w:val="12BB6A51"/>
    <w:rsid w:val="12F157AA"/>
    <w:rsid w:val="13085987"/>
    <w:rsid w:val="13223BB5"/>
    <w:rsid w:val="132F1E2E"/>
    <w:rsid w:val="1344242A"/>
    <w:rsid w:val="134A0A16"/>
    <w:rsid w:val="13712447"/>
    <w:rsid w:val="138E124B"/>
    <w:rsid w:val="13A57D35"/>
    <w:rsid w:val="13A740BB"/>
    <w:rsid w:val="13D91E69"/>
    <w:rsid w:val="14045069"/>
    <w:rsid w:val="14343DF9"/>
    <w:rsid w:val="143E4A1F"/>
    <w:rsid w:val="14593607"/>
    <w:rsid w:val="146F6F38"/>
    <w:rsid w:val="14885C1E"/>
    <w:rsid w:val="148E0DD7"/>
    <w:rsid w:val="14D96BDD"/>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C43DD0"/>
    <w:rsid w:val="17D03229"/>
    <w:rsid w:val="17F04282"/>
    <w:rsid w:val="17F17FFA"/>
    <w:rsid w:val="18055854"/>
    <w:rsid w:val="18107B4F"/>
    <w:rsid w:val="18613F4D"/>
    <w:rsid w:val="186B3909"/>
    <w:rsid w:val="18787DD4"/>
    <w:rsid w:val="18C66D91"/>
    <w:rsid w:val="18D019BE"/>
    <w:rsid w:val="18FC0A05"/>
    <w:rsid w:val="193E6C8C"/>
    <w:rsid w:val="19595AAF"/>
    <w:rsid w:val="19722343"/>
    <w:rsid w:val="197B0BEB"/>
    <w:rsid w:val="19834C82"/>
    <w:rsid w:val="19906C5A"/>
    <w:rsid w:val="1A0C09AF"/>
    <w:rsid w:val="1A29497D"/>
    <w:rsid w:val="1A2975D8"/>
    <w:rsid w:val="1A366198"/>
    <w:rsid w:val="1A404921"/>
    <w:rsid w:val="1A462F97"/>
    <w:rsid w:val="1A506BEA"/>
    <w:rsid w:val="1A512291"/>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4533D"/>
    <w:rsid w:val="1B305120"/>
    <w:rsid w:val="1B7D4190"/>
    <w:rsid w:val="1B8D003A"/>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2B7B0B"/>
    <w:rsid w:val="1D444728"/>
    <w:rsid w:val="1D4B1610"/>
    <w:rsid w:val="1D6E79F7"/>
    <w:rsid w:val="1D81336E"/>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A55E7"/>
    <w:rsid w:val="20F45776"/>
    <w:rsid w:val="210E78A5"/>
    <w:rsid w:val="211D3C0E"/>
    <w:rsid w:val="214C257C"/>
    <w:rsid w:val="2180377B"/>
    <w:rsid w:val="2180399D"/>
    <w:rsid w:val="21B66AE8"/>
    <w:rsid w:val="21F030D1"/>
    <w:rsid w:val="220A75A6"/>
    <w:rsid w:val="22600256"/>
    <w:rsid w:val="2274264E"/>
    <w:rsid w:val="22B12860"/>
    <w:rsid w:val="22CB7258"/>
    <w:rsid w:val="23156613"/>
    <w:rsid w:val="231E370F"/>
    <w:rsid w:val="234E4553"/>
    <w:rsid w:val="23741495"/>
    <w:rsid w:val="238008AB"/>
    <w:rsid w:val="23DC4779"/>
    <w:rsid w:val="23E6478B"/>
    <w:rsid w:val="23EC5421"/>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2F62"/>
    <w:rsid w:val="24D77167"/>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4D0493"/>
    <w:rsid w:val="276212D4"/>
    <w:rsid w:val="276C4CBC"/>
    <w:rsid w:val="277F227A"/>
    <w:rsid w:val="278E13C2"/>
    <w:rsid w:val="279302CF"/>
    <w:rsid w:val="27A400FB"/>
    <w:rsid w:val="27B07189"/>
    <w:rsid w:val="27BB0F5E"/>
    <w:rsid w:val="27D33A7D"/>
    <w:rsid w:val="27F43060"/>
    <w:rsid w:val="28133675"/>
    <w:rsid w:val="28461C9C"/>
    <w:rsid w:val="285E6FE6"/>
    <w:rsid w:val="286A7DAB"/>
    <w:rsid w:val="286E6AFD"/>
    <w:rsid w:val="2870379F"/>
    <w:rsid w:val="28735EF7"/>
    <w:rsid w:val="2896777B"/>
    <w:rsid w:val="28A46D6B"/>
    <w:rsid w:val="28B673C2"/>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D92315"/>
    <w:rsid w:val="2AF163C6"/>
    <w:rsid w:val="2AFC6642"/>
    <w:rsid w:val="2AFE7D7F"/>
    <w:rsid w:val="2B096D7F"/>
    <w:rsid w:val="2B1E2A5D"/>
    <w:rsid w:val="2B285A09"/>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C118F2"/>
    <w:rsid w:val="2CCB09C2"/>
    <w:rsid w:val="2CE96994"/>
    <w:rsid w:val="2CFE4891"/>
    <w:rsid w:val="2D02347E"/>
    <w:rsid w:val="2D1F3041"/>
    <w:rsid w:val="2D46460C"/>
    <w:rsid w:val="2D4D07A5"/>
    <w:rsid w:val="2D511673"/>
    <w:rsid w:val="2D590226"/>
    <w:rsid w:val="2D621DCA"/>
    <w:rsid w:val="2D830611"/>
    <w:rsid w:val="2D9E60D7"/>
    <w:rsid w:val="2DAC4350"/>
    <w:rsid w:val="2DDF6B09"/>
    <w:rsid w:val="2DFB0E33"/>
    <w:rsid w:val="2E221CCA"/>
    <w:rsid w:val="2E23315A"/>
    <w:rsid w:val="2E304F81"/>
    <w:rsid w:val="2E344345"/>
    <w:rsid w:val="2E3F4FA6"/>
    <w:rsid w:val="2E7330BF"/>
    <w:rsid w:val="2E854930"/>
    <w:rsid w:val="2EA84FA5"/>
    <w:rsid w:val="2EB37826"/>
    <w:rsid w:val="2EC845D4"/>
    <w:rsid w:val="2ED753FC"/>
    <w:rsid w:val="2EDC2A13"/>
    <w:rsid w:val="2EE31A67"/>
    <w:rsid w:val="2EEA15D4"/>
    <w:rsid w:val="2F0E4E31"/>
    <w:rsid w:val="2F192FE1"/>
    <w:rsid w:val="2F252203"/>
    <w:rsid w:val="2F3C7955"/>
    <w:rsid w:val="2F4326D1"/>
    <w:rsid w:val="2F464E8D"/>
    <w:rsid w:val="2F866E22"/>
    <w:rsid w:val="2F8D7364"/>
    <w:rsid w:val="2FAA0D63"/>
    <w:rsid w:val="2FC64215"/>
    <w:rsid w:val="2FD23E16"/>
    <w:rsid w:val="2FDD171B"/>
    <w:rsid w:val="300F506A"/>
    <w:rsid w:val="301B756B"/>
    <w:rsid w:val="30305A40"/>
    <w:rsid w:val="30576230"/>
    <w:rsid w:val="30766201"/>
    <w:rsid w:val="30A909AA"/>
    <w:rsid w:val="30B30514"/>
    <w:rsid w:val="30CE14CF"/>
    <w:rsid w:val="30D077C5"/>
    <w:rsid w:val="31000688"/>
    <w:rsid w:val="31146DD0"/>
    <w:rsid w:val="31152803"/>
    <w:rsid w:val="318555E4"/>
    <w:rsid w:val="318D07DA"/>
    <w:rsid w:val="319C0B7F"/>
    <w:rsid w:val="319F714E"/>
    <w:rsid w:val="323112C7"/>
    <w:rsid w:val="324E1E79"/>
    <w:rsid w:val="32534AFB"/>
    <w:rsid w:val="326C67A3"/>
    <w:rsid w:val="327B3DBE"/>
    <w:rsid w:val="32A8039A"/>
    <w:rsid w:val="32D57EA5"/>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C75D1D"/>
    <w:rsid w:val="34E02B31"/>
    <w:rsid w:val="350607E9"/>
    <w:rsid w:val="35382109"/>
    <w:rsid w:val="35434130"/>
    <w:rsid w:val="355778BB"/>
    <w:rsid w:val="35675000"/>
    <w:rsid w:val="35833D31"/>
    <w:rsid w:val="358C6C4C"/>
    <w:rsid w:val="3599165E"/>
    <w:rsid w:val="35BF1F03"/>
    <w:rsid w:val="35CF1987"/>
    <w:rsid w:val="35DC59EE"/>
    <w:rsid w:val="35DC5FA2"/>
    <w:rsid w:val="35FA4F9F"/>
    <w:rsid w:val="35FD0996"/>
    <w:rsid w:val="360705A5"/>
    <w:rsid w:val="360A255B"/>
    <w:rsid w:val="360E2C5A"/>
    <w:rsid w:val="36267CB5"/>
    <w:rsid w:val="367762AE"/>
    <w:rsid w:val="36864FB9"/>
    <w:rsid w:val="36956196"/>
    <w:rsid w:val="36A209E6"/>
    <w:rsid w:val="36C4095C"/>
    <w:rsid w:val="36C43710"/>
    <w:rsid w:val="36F15ED0"/>
    <w:rsid w:val="36F26843"/>
    <w:rsid w:val="37453C40"/>
    <w:rsid w:val="37542097"/>
    <w:rsid w:val="3766401B"/>
    <w:rsid w:val="37737C8C"/>
    <w:rsid w:val="377834F5"/>
    <w:rsid w:val="378325C5"/>
    <w:rsid w:val="378B76CC"/>
    <w:rsid w:val="37AB38CA"/>
    <w:rsid w:val="37C83786"/>
    <w:rsid w:val="37C87FD8"/>
    <w:rsid w:val="38441C7C"/>
    <w:rsid w:val="389425B0"/>
    <w:rsid w:val="38AD71CE"/>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2D6818"/>
    <w:rsid w:val="3A31121C"/>
    <w:rsid w:val="3A3F1EB2"/>
    <w:rsid w:val="3A4E2C7C"/>
    <w:rsid w:val="3A5E1C16"/>
    <w:rsid w:val="3A696CD3"/>
    <w:rsid w:val="3AC42054"/>
    <w:rsid w:val="3AD1189A"/>
    <w:rsid w:val="3ADD0854"/>
    <w:rsid w:val="3AF065EC"/>
    <w:rsid w:val="3AFD44E9"/>
    <w:rsid w:val="3B073DC2"/>
    <w:rsid w:val="3B137FF8"/>
    <w:rsid w:val="3B395FEA"/>
    <w:rsid w:val="3B536111"/>
    <w:rsid w:val="3B9D63DC"/>
    <w:rsid w:val="3B9D69F0"/>
    <w:rsid w:val="3BAE1209"/>
    <w:rsid w:val="3BAE3989"/>
    <w:rsid w:val="3BBA0580"/>
    <w:rsid w:val="3BD7212D"/>
    <w:rsid w:val="3BD74C8E"/>
    <w:rsid w:val="3BFA097C"/>
    <w:rsid w:val="3BFD3F4B"/>
    <w:rsid w:val="3C1119BE"/>
    <w:rsid w:val="3C325F6A"/>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981CE8"/>
    <w:rsid w:val="3EC43D05"/>
    <w:rsid w:val="3EDC080D"/>
    <w:rsid w:val="3EE020AB"/>
    <w:rsid w:val="3EE8492E"/>
    <w:rsid w:val="3EED5823"/>
    <w:rsid w:val="3EF17F10"/>
    <w:rsid w:val="3F1735F3"/>
    <w:rsid w:val="3F240F03"/>
    <w:rsid w:val="3F287AAC"/>
    <w:rsid w:val="3F312907"/>
    <w:rsid w:val="3F447019"/>
    <w:rsid w:val="3F830C89"/>
    <w:rsid w:val="3F91350E"/>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914A8"/>
    <w:rsid w:val="40F57964"/>
    <w:rsid w:val="412F0F7D"/>
    <w:rsid w:val="41391F47"/>
    <w:rsid w:val="418164BE"/>
    <w:rsid w:val="41865FB5"/>
    <w:rsid w:val="41B35639"/>
    <w:rsid w:val="41BE79EC"/>
    <w:rsid w:val="41C1797D"/>
    <w:rsid w:val="41E8145E"/>
    <w:rsid w:val="41E974C9"/>
    <w:rsid w:val="422E0127"/>
    <w:rsid w:val="422E312E"/>
    <w:rsid w:val="42310866"/>
    <w:rsid w:val="423E1C25"/>
    <w:rsid w:val="425A3900"/>
    <w:rsid w:val="427B3E29"/>
    <w:rsid w:val="42905B96"/>
    <w:rsid w:val="4298130E"/>
    <w:rsid w:val="42AE426E"/>
    <w:rsid w:val="42F8373B"/>
    <w:rsid w:val="43387D84"/>
    <w:rsid w:val="436F0017"/>
    <w:rsid w:val="43761536"/>
    <w:rsid w:val="438230E1"/>
    <w:rsid w:val="43840DFB"/>
    <w:rsid w:val="438E2857"/>
    <w:rsid w:val="4396542E"/>
    <w:rsid w:val="43A87863"/>
    <w:rsid w:val="43CF26EE"/>
    <w:rsid w:val="43D23954"/>
    <w:rsid w:val="43E27BB0"/>
    <w:rsid w:val="43EF4BA7"/>
    <w:rsid w:val="43FA35F7"/>
    <w:rsid w:val="43FF1225"/>
    <w:rsid w:val="440A7BCA"/>
    <w:rsid w:val="44112D07"/>
    <w:rsid w:val="444F7820"/>
    <w:rsid w:val="44562E10"/>
    <w:rsid w:val="44581EC4"/>
    <w:rsid w:val="448A73E4"/>
    <w:rsid w:val="44B91EC5"/>
    <w:rsid w:val="44D50DCD"/>
    <w:rsid w:val="44E67CEF"/>
    <w:rsid w:val="44E73A68"/>
    <w:rsid w:val="44F01836"/>
    <w:rsid w:val="452D5742"/>
    <w:rsid w:val="454A2974"/>
    <w:rsid w:val="45533F2D"/>
    <w:rsid w:val="455523D4"/>
    <w:rsid w:val="45563C52"/>
    <w:rsid w:val="455B692F"/>
    <w:rsid w:val="456D21BF"/>
    <w:rsid w:val="45AD6A5F"/>
    <w:rsid w:val="45B47DEE"/>
    <w:rsid w:val="45CF6DB3"/>
    <w:rsid w:val="461865CE"/>
    <w:rsid w:val="463B22BD"/>
    <w:rsid w:val="46492C2C"/>
    <w:rsid w:val="4653381F"/>
    <w:rsid w:val="46734DDC"/>
    <w:rsid w:val="46780E1B"/>
    <w:rsid w:val="469A0956"/>
    <w:rsid w:val="46AC5946"/>
    <w:rsid w:val="46B34549"/>
    <w:rsid w:val="46BE2367"/>
    <w:rsid w:val="46E01323"/>
    <w:rsid w:val="46E249A6"/>
    <w:rsid w:val="474B29D4"/>
    <w:rsid w:val="475353E4"/>
    <w:rsid w:val="47685334"/>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AC74A2"/>
    <w:rsid w:val="48DB38E3"/>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B24DCF"/>
    <w:rsid w:val="4BE07B8E"/>
    <w:rsid w:val="4BED5E07"/>
    <w:rsid w:val="4BF26204"/>
    <w:rsid w:val="4C043151"/>
    <w:rsid w:val="4C196AA6"/>
    <w:rsid w:val="4C4F6197"/>
    <w:rsid w:val="4C5B0FC3"/>
    <w:rsid w:val="4C601B1D"/>
    <w:rsid w:val="4C7A2B00"/>
    <w:rsid w:val="4C856040"/>
    <w:rsid w:val="4C96209D"/>
    <w:rsid w:val="4CAF47D4"/>
    <w:rsid w:val="4CC96874"/>
    <w:rsid w:val="4CE76CFB"/>
    <w:rsid w:val="4D070B60"/>
    <w:rsid w:val="4D0B7AA1"/>
    <w:rsid w:val="4D151722"/>
    <w:rsid w:val="4D4A231F"/>
    <w:rsid w:val="4D536BA4"/>
    <w:rsid w:val="4D5D0D6B"/>
    <w:rsid w:val="4D6D5452"/>
    <w:rsid w:val="4D866514"/>
    <w:rsid w:val="4D8F03FC"/>
    <w:rsid w:val="4DAF2A89"/>
    <w:rsid w:val="4DC4703C"/>
    <w:rsid w:val="4E07242C"/>
    <w:rsid w:val="4E0F0B9A"/>
    <w:rsid w:val="4E163BB7"/>
    <w:rsid w:val="4E2E3285"/>
    <w:rsid w:val="4E323135"/>
    <w:rsid w:val="4E686513"/>
    <w:rsid w:val="4E6C5868"/>
    <w:rsid w:val="4E74636C"/>
    <w:rsid w:val="4E796078"/>
    <w:rsid w:val="4E832A53"/>
    <w:rsid w:val="4E850579"/>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A5310D"/>
    <w:rsid w:val="50AA12A8"/>
    <w:rsid w:val="50AC44E3"/>
    <w:rsid w:val="50B320FA"/>
    <w:rsid w:val="50BE6DE7"/>
    <w:rsid w:val="50C3541E"/>
    <w:rsid w:val="50CC3BD1"/>
    <w:rsid w:val="50CD4459"/>
    <w:rsid w:val="50EF617E"/>
    <w:rsid w:val="51394C2E"/>
    <w:rsid w:val="514A5AAA"/>
    <w:rsid w:val="51656440"/>
    <w:rsid w:val="518E599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806E31"/>
    <w:rsid w:val="558363DF"/>
    <w:rsid w:val="55915A7C"/>
    <w:rsid w:val="5594755F"/>
    <w:rsid w:val="55AE2AAB"/>
    <w:rsid w:val="55BF150D"/>
    <w:rsid w:val="55CB0003"/>
    <w:rsid w:val="55EE2EA8"/>
    <w:rsid w:val="55F028DC"/>
    <w:rsid w:val="55FD30EB"/>
    <w:rsid w:val="561A1EEF"/>
    <w:rsid w:val="56582A17"/>
    <w:rsid w:val="5687388E"/>
    <w:rsid w:val="569972B8"/>
    <w:rsid w:val="569A4B00"/>
    <w:rsid w:val="56AC41D2"/>
    <w:rsid w:val="56AD6028"/>
    <w:rsid w:val="56C1680E"/>
    <w:rsid w:val="56E2065A"/>
    <w:rsid w:val="56E338D3"/>
    <w:rsid w:val="56F97D56"/>
    <w:rsid w:val="56FD47C7"/>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F02454"/>
    <w:rsid w:val="581666E6"/>
    <w:rsid w:val="58226E39"/>
    <w:rsid w:val="58316012"/>
    <w:rsid w:val="583354EA"/>
    <w:rsid w:val="586E5608"/>
    <w:rsid w:val="58840BF6"/>
    <w:rsid w:val="588A75BA"/>
    <w:rsid w:val="58AA44E6"/>
    <w:rsid w:val="59255664"/>
    <w:rsid w:val="59292E82"/>
    <w:rsid w:val="595219A0"/>
    <w:rsid w:val="59701E26"/>
    <w:rsid w:val="598B6C60"/>
    <w:rsid w:val="5991320A"/>
    <w:rsid w:val="59A3044D"/>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3FA5B5"/>
    <w:rsid w:val="5B535D1A"/>
    <w:rsid w:val="5B8F0C89"/>
    <w:rsid w:val="5B935C4E"/>
    <w:rsid w:val="5BA313DA"/>
    <w:rsid w:val="5BA65FD3"/>
    <w:rsid w:val="5BAA0324"/>
    <w:rsid w:val="5BC16969"/>
    <w:rsid w:val="5BD3501A"/>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B9279F"/>
    <w:rsid w:val="5DD3710F"/>
    <w:rsid w:val="5DF52F95"/>
    <w:rsid w:val="5DF54CD0"/>
    <w:rsid w:val="5E20206C"/>
    <w:rsid w:val="5E2A6A47"/>
    <w:rsid w:val="5E367223"/>
    <w:rsid w:val="5E596C50"/>
    <w:rsid w:val="5E6737F7"/>
    <w:rsid w:val="5E6A138B"/>
    <w:rsid w:val="5E6A549D"/>
    <w:rsid w:val="5E924C9F"/>
    <w:rsid w:val="5EBC6ECA"/>
    <w:rsid w:val="5ED15115"/>
    <w:rsid w:val="5EDE78C5"/>
    <w:rsid w:val="5EED6B4B"/>
    <w:rsid w:val="5EF61933"/>
    <w:rsid w:val="5EFA466C"/>
    <w:rsid w:val="5EFA6EC3"/>
    <w:rsid w:val="5EFC3FDE"/>
    <w:rsid w:val="5EFF5519"/>
    <w:rsid w:val="5F025C16"/>
    <w:rsid w:val="5F2359E1"/>
    <w:rsid w:val="5F2416E8"/>
    <w:rsid w:val="5F50072F"/>
    <w:rsid w:val="5F517C97"/>
    <w:rsid w:val="5F6847A5"/>
    <w:rsid w:val="5F724B4A"/>
    <w:rsid w:val="5FAF3B40"/>
    <w:rsid w:val="5FBFD2C2"/>
    <w:rsid w:val="5FD9037C"/>
    <w:rsid w:val="5FF74A0F"/>
    <w:rsid w:val="60017C7C"/>
    <w:rsid w:val="60104F22"/>
    <w:rsid w:val="60116111"/>
    <w:rsid w:val="601B4E22"/>
    <w:rsid w:val="60235E44"/>
    <w:rsid w:val="60251BBC"/>
    <w:rsid w:val="60292CCF"/>
    <w:rsid w:val="604858AA"/>
    <w:rsid w:val="605D7F9C"/>
    <w:rsid w:val="607C320C"/>
    <w:rsid w:val="60981E16"/>
    <w:rsid w:val="60A725D1"/>
    <w:rsid w:val="60B50B1F"/>
    <w:rsid w:val="60D07D7A"/>
    <w:rsid w:val="60D64C64"/>
    <w:rsid w:val="6110461A"/>
    <w:rsid w:val="6138147B"/>
    <w:rsid w:val="61393D48"/>
    <w:rsid w:val="61497B2C"/>
    <w:rsid w:val="614D57CA"/>
    <w:rsid w:val="614E6EF1"/>
    <w:rsid w:val="615362B5"/>
    <w:rsid w:val="616C7377"/>
    <w:rsid w:val="617464F3"/>
    <w:rsid w:val="61840B64"/>
    <w:rsid w:val="618648DC"/>
    <w:rsid w:val="61C17622"/>
    <w:rsid w:val="61CA2A1B"/>
    <w:rsid w:val="61E433B1"/>
    <w:rsid w:val="61EF4230"/>
    <w:rsid w:val="61F45B79"/>
    <w:rsid w:val="61F47A98"/>
    <w:rsid w:val="622B7CCC"/>
    <w:rsid w:val="622C46F4"/>
    <w:rsid w:val="62381C48"/>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CA0F84"/>
    <w:rsid w:val="64CF20F6"/>
    <w:rsid w:val="64E5191A"/>
    <w:rsid w:val="64E93BEF"/>
    <w:rsid w:val="64EC4A56"/>
    <w:rsid w:val="64F642EB"/>
    <w:rsid w:val="65062EC3"/>
    <w:rsid w:val="6518154A"/>
    <w:rsid w:val="651D4188"/>
    <w:rsid w:val="65493C57"/>
    <w:rsid w:val="654D7CEA"/>
    <w:rsid w:val="657B6143"/>
    <w:rsid w:val="657E45EB"/>
    <w:rsid w:val="65962C14"/>
    <w:rsid w:val="65A97955"/>
    <w:rsid w:val="65AE61B0"/>
    <w:rsid w:val="65F71DB5"/>
    <w:rsid w:val="66150BC3"/>
    <w:rsid w:val="662F3849"/>
    <w:rsid w:val="6635242D"/>
    <w:rsid w:val="665A1E94"/>
    <w:rsid w:val="667C62AE"/>
    <w:rsid w:val="667D0FD4"/>
    <w:rsid w:val="669E7BD0"/>
    <w:rsid w:val="66AF0431"/>
    <w:rsid w:val="66BC2B4E"/>
    <w:rsid w:val="66CA3A4C"/>
    <w:rsid w:val="66D659BE"/>
    <w:rsid w:val="66EC51E2"/>
    <w:rsid w:val="66FE5F6A"/>
    <w:rsid w:val="671D13A0"/>
    <w:rsid w:val="672524A2"/>
    <w:rsid w:val="67630A8D"/>
    <w:rsid w:val="67631FF9"/>
    <w:rsid w:val="67957627"/>
    <w:rsid w:val="67966EFB"/>
    <w:rsid w:val="67A8710C"/>
    <w:rsid w:val="67F92022"/>
    <w:rsid w:val="680D7442"/>
    <w:rsid w:val="681349F0"/>
    <w:rsid w:val="682409AB"/>
    <w:rsid w:val="68953657"/>
    <w:rsid w:val="689D535F"/>
    <w:rsid w:val="68A125DD"/>
    <w:rsid w:val="68C06926"/>
    <w:rsid w:val="68D45F2D"/>
    <w:rsid w:val="691B3B5C"/>
    <w:rsid w:val="69290B91"/>
    <w:rsid w:val="692D1AE1"/>
    <w:rsid w:val="695E1C9B"/>
    <w:rsid w:val="696D1EDE"/>
    <w:rsid w:val="69766FE4"/>
    <w:rsid w:val="69791C16"/>
    <w:rsid w:val="699D0A15"/>
    <w:rsid w:val="69AA3132"/>
    <w:rsid w:val="69AA4B49"/>
    <w:rsid w:val="69BD5B76"/>
    <w:rsid w:val="69C266CE"/>
    <w:rsid w:val="69DA217A"/>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7A503E"/>
    <w:rsid w:val="6C9C4FB4"/>
    <w:rsid w:val="6CA02C98"/>
    <w:rsid w:val="6CF74C85"/>
    <w:rsid w:val="6D194857"/>
    <w:rsid w:val="6D3F3B91"/>
    <w:rsid w:val="6D401DE3"/>
    <w:rsid w:val="6D463172"/>
    <w:rsid w:val="6DB23417"/>
    <w:rsid w:val="6DB327B5"/>
    <w:rsid w:val="6DB79443"/>
    <w:rsid w:val="6DD16EDF"/>
    <w:rsid w:val="6DD43CBA"/>
    <w:rsid w:val="6DDA24CA"/>
    <w:rsid w:val="6E1F7C4B"/>
    <w:rsid w:val="6E364F94"/>
    <w:rsid w:val="6E8937A9"/>
    <w:rsid w:val="6ECE17D3"/>
    <w:rsid w:val="6ED70525"/>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710506"/>
    <w:rsid w:val="707133B5"/>
    <w:rsid w:val="7080196A"/>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40B04E1"/>
    <w:rsid w:val="74100F6E"/>
    <w:rsid w:val="742064CB"/>
    <w:rsid w:val="74264E1B"/>
    <w:rsid w:val="742A559B"/>
    <w:rsid w:val="743704F7"/>
    <w:rsid w:val="74384AB6"/>
    <w:rsid w:val="744523D5"/>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DCFDB"/>
    <w:rsid w:val="77BF05BB"/>
    <w:rsid w:val="77C27899"/>
    <w:rsid w:val="77FCD46A"/>
    <w:rsid w:val="77FED87B"/>
    <w:rsid w:val="78596547"/>
    <w:rsid w:val="78743289"/>
    <w:rsid w:val="7879089F"/>
    <w:rsid w:val="789C633C"/>
    <w:rsid w:val="78B24F5D"/>
    <w:rsid w:val="78D12489"/>
    <w:rsid w:val="78D464FE"/>
    <w:rsid w:val="78E3111F"/>
    <w:rsid w:val="79200C4B"/>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B120FE"/>
    <w:rsid w:val="7BC2430B"/>
    <w:rsid w:val="7BE82394"/>
    <w:rsid w:val="7C001F2C"/>
    <w:rsid w:val="7C071EA8"/>
    <w:rsid w:val="7C1136B0"/>
    <w:rsid w:val="7C1F350C"/>
    <w:rsid w:val="7C4D6A81"/>
    <w:rsid w:val="7C5807CC"/>
    <w:rsid w:val="7C5C02BC"/>
    <w:rsid w:val="7C623C46"/>
    <w:rsid w:val="7C727ADF"/>
    <w:rsid w:val="7C772BB5"/>
    <w:rsid w:val="7C8A4997"/>
    <w:rsid w:val="7CAA1027"/>
    <w:rsid w:val="7CF11B3F"/>
    <w:rsid w:val="7D0B583E"/>
    <w:rsid w:val="7D1312C2"/>
    <w:rsid w:val="7D251FB8"/>
    <w:rsid w:val="7D456FA2"/>
    <w:rsid w:val="7D6733BC"/>
    <w:rsid w:val="7D6D05B7"/>
    <w:rsid w:val="7D741635"/>
    <w:rsid w:val="7D87580C"/>
    <w:rsid w:val="7D9056B7"/>
    <w:rsid w:val="7D9D6DDE"/>
    <w:rsid w:val="7DA912DF"/>
    <w:rsid w:val="7DD83ADC"/>
    <w:rsid w:val="7DDD6497"/>
    <w:rsid w:val="7DFA0FA7"/>
    <w:rsid w:val="7E252C7E"/>
    <w:rsid w:val="7E3C2A2D"/>
    <w:rsid w:val="7E3D5A87"/>
    <w:rsid w:val="7E3E1B66"/>
    <w:rsid w:val="7E5E656D"/>
    <w:rsid w:val="7E71385C"/>
    <w:rsid w:val="7E891C46"/>
    <w:rsid w:val="7EA33149"/>
    <w:rsid w:val="7EC73A39"/>
    <w:rsid w:val="7ECC2AE8"/>
    <w:rsid w:val="7ECD1590"/>
    <w:rsid w:val="7EFF4CA9"/>
    <w:rsid w:val="7F0C5FC9"/>
    <w:rsid w:val="7F3B6D7B"/>
    <w:rsid w:val="7F465091"/>
    <w:rsid w:val="7F506F1B"/>
    <w:rsid w:val="7F587460"/>
    <w:rsid w:val="7F7D04DF"/>
    <w:rsid w:val="7F995383"/>
    <w:rsid w:val="7FBD5515"/>
    <w:rsid w:val="7FBF128D"/>
    <w:rsid w:val="7FCB5E84"/>
    <w:rsid w:val="7FFC4290"/>
    <w:rsid w:val="9DFE1B09"/>
    <w:rsid w:val="BEDFBE2C"/>
    <w:rsid w:val="BFDF76B0"/>
    <w:rsid w:val="DFAE2976"/>
    <w:rsid w:val="E7BFE03E"/>
    <w:rsid w:val="FE0FBFC1"/>
    <w:rsid w:val="FFCBF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rPr>
  </w:style>
  <w:style w:type="paragraph" w:styleId="4">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paragraph" w:styleId="6">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7">
    <w:name w:val="index 8"/>
    <w:basedOn w:val="1"/>
    <w:next w:val="1"/>
    <w:qFormat/>
    <w:uiPriority w:val="0"/>
    <w:pPr>
      <w:ind w:left="1400" w:leftChars="1400"/>
    </w:pPr>
  </w:style>
  <w:style w:type="paragraph" w:styleId="8">
    <w:name w:val="Normal Indent"/>
    <w:basedOn w:val="1"/>
    <w:qFormat/>
    <w:uiPriority w:val="0"/>
    <w:pPr>
      <w:ind w:firstLine="200" w:firstLineChars="200"/>
    </w:pPr>
  </w:style>
  <w:style w:type="paragraph" w:styleId="9">
    <w:name w:val="Body Text"/>
    <w:basedOn w:val="1"/>
    <w:next w:val="10"/>
    <w:qFormat/>
    <w:uiPriority w:val="0"/>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Quote1"/>
    <w:basedOn w:val="1"/>
    <w:next w:val="1"/>
    <w:qFormat/>
    <w:uiPriority w:val="0"/>
    <w:pPr>
      <w:widowControl/>
      <w:wordWrap w:val="0"/>
      <w:spacing w:before="200" w:after="160"/>
      <w:ind w:left="864" w:right="864"/>
      <w:jc w:val="center"/>
    </w:pPr>
    <w:rPr>
      <w:rFonts w:ascii="宋体"/>
      <w:i/>
      <w:color w:val="404040"/>
    </w:rPr>
  </w:style>
  <w:style w:type="paragraph" w:styleId="12">
    <w:name w:val="Body Text Indent"/>
    <w:basedOn w:val="1"/>
    <w:next w:val="1"/>
    <w:qFormat/>
    <w:uiPriority w:val="0"/>
    <w:pPr>
      <w:spacing w:after="120"/>
      <w:ind w:left="200" w:leftChars="200"/>
    </w:p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tabs>
        <w:tab w:val="left" w:pos="1140"/>
      </w:tabs>
      <w:ind w:firstLine="200" w:firstLineChars="200"/>
    </w:pPr>
    <w:rPr>
      <w:sz w:val="28"/>
      <w:szCs w:val="20"/>
    </w:rPr>
  </w:style>
  <w:style w:type="paragraph" w:styleId="15">
    <w:name w:val="footer"/>
    <w:basedOn w:val="1"/>
    <w:qFormat/>
    <w:uiPriority w:val="0"/>
    <w:pPr>
      <w:tabs>
        <w:tab w:val="center" w:pos="4153"/>
        <w:tab w:val="right" w:pos="8306"/>
      </w:tabs>
    </w:pPr>
    <w:rPr>
      <w:sz w:val="18"/>
    </w:rPr>
  </w:style>
  <w:style w:type="paragraph" w:styleId="16">
    <w:name w:val="toc 2"/>
    <w:basedOn w:val="1"/>
    <w:next w:val="1"/>
    <w:qFormat/>
    <w:uiPriority w:val="39"/>
    <w:pPr>
      <w:ind w:left="420" w:leftChars="200"/>
    </w:pPr>
  </w:style>
  <w:style w:type="paragraph" w:styleId="17">
    <w:name w:val="Body Text 2"/>
    <w:basedOn w:val="1"/>
    <w:qFormat/>
    <w:uiPriority w:val="99"/>
    <w:pPr>
      <w:spacing w:after="120" w:afterLines="0" w:line="480" w:lineRule="auto"/>
    </w:pPr>
    <w:rPr>
      <w:rFonts w:ascii="Times New Roman" w:hAnsi="Times New Roman" w:eastAsia="宋体"/>
      <w:kern w:val="0"/>
      <w:sz w:val="24"/>
      <w:szCs w:val="24"/>
    </w:rPr>
  </w:style>
  <w:style w:type="paragraph" w:styleId="18">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19">
    <w:name w:val="Body Text First Indent"/>
    <w:basedOn w:val="9"/>
    <w:next w:val="20"/>
    <w:qFormat/>
    <w:uiPriority w:val="99"/>
    <w:pPr>
      <w:ind w:firstLine="420" w:firstLineChars="100"/>
    </w:pPr>
    <w:rPr>
      <w:kern w:val="0"/>
      <w:sz w:val="24"/>
    </w:rPr>
  </w:style>
  <w:style w:type="paragraph" w:styleId="20">
    <w:name w:val="Body Text First Indent 2"/>
    <w:basedOn w:val="12"/>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UserStyle_1"/>
    <w:basedOn w:val="1"/>
    <w:qFormat/>
    <w:uiPriority w:val="0"/>
    <w:pPr>
      <w:widowControl/>
      <w:spacing w:before="200" w:after="160"/>
      <w:ind w:left="864" w:right="864"/>
      <w:jc w:val="center"/>
    </w:pPr>
    <w:rPr>
      <w:rFonts w:ascii="宋体" w:hAnsi="Times New Roman" w:eastAsia="宋体"/>
      <w:i/>
      <w:color w:val="404040"/>
      <w:kern w:val="2"/>
      <w:sz w:val="28"/>
      <w:szCs w:val="21"/>
      <w:lang w:val="en-US" w:eastAsia="zh-CN" w:bidi="ar-SA"/>
    </w:rPr>
  </w:style>
  <w:style w:type="paragraph" w:customStyle="1" w:styleId="29">
    <w:name w:val="wang正文"/>
    <w:basedOn w:val="1"/>
    <w:qFormat/>
    <w:uiPriority w:val="0"/>
    <w:pPr>
      <w:tabs>
        <w:tab w:val="left" w:pos="6840"/>
      </w:tabs>
      <w:topLinePunct/>
      <w:ind w:firstLine="420"/>
    </w:pPr>
    <w:rPr>
      <w:kern w:val="0"/>
      <w:szCs w:val="20"/>
    </w:rPr>
  </w:style>
  <w:style w:type="paragraph" w:customStyle="1" w:styleId="30">
    <w:name w:val="UserStyle_0"/>
    <w:basedOn w:val="1"/>
    <w:qFormat/>
    <w:uiPriority w:val="0"/>
    <w:pPr>
      <w:spacing w:after="120"/>
      <w:jc w:val="both"/>
    </w:pPr>
    <w:rPr>
      <w:rFonts w:ascii="Times New Roman" w:hAnsi="Times New Roman" w:eastAsia="宋体"/>
      <w:kern w:val="0"/>
      <w:sz w:val="21"/>
      <w:szCs w:val="21"/>
      <w:lang w:val="en-US" w:eastAsia="zh-CN" w:bidi="ar-SA"/>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Table Text"/>
    <w:basedOn w:val="1"/>
    <w:qFormat/>
    <w:uiPriority w:val="0"/>
    <w:rPr>
      <w:rFonts w:ascii="宋体" w:eastAsia="宋体" w:cs="宋体"/>
      <w:sz w:val="19"/>
      <w:szCs w:val="19"/>
    </w:rPr>
  </w:style>
  <w:style w:type="paragraph" w:customStyle="1" w:styleId="33">
    <w:name w:val="Table Paragraph"/>
    <w:basedOn w:val="1"/>
    <w:qFormat/>
    <w:uiPriority w:val="0"/>
    <w:rPr>
      <w:rFonts w:ascii="楷体" w:eastAsia="楷体" w:cs="楷体"/>
      <w:lang w:val="zh-CN" w:eastAsia="zh-CN" w:bidi="zh-CN"/>
    </w:rPr>
  </w:style>
  <w:style w:type="paragraph" w:customStyle="1" w:styleId="34">
    <w:name w:val="列表段落1"/>
    <w:basedOn w:val="1"/>
    <w:qFormat/>
    <w:uiPriority w:val="0"/>
    <w:pPr>
      <w:ind w:firstLine="200" w:firstLineChars="200"/>
    </w:pPr>
  </w:style>
  <w:style w:type="paragraph" w:customStyle="1" w:styleId="35">
    <w:name w:val="普通(网站)1"/>
    <w:basedOn w:val="1"/>
    <w:qFormat/>
    <w:uiPriority w:val="0"/>
    <w:pPr>
      <w:spacing w:before="100" w:after="100"/>
    </w:pPr>
    <w:rPr>
      <w:rFonts w:ascii="Arial Unicode MS" w:eastAsia="Arial Unicode MS" w:cs="Arial Unicode MS"/>
      <w:sz w:val="24"/>
    </w:rPr>
  </w:style>
  <w:style w:type="paragraph" w:customStyle="1" w:styleId="36">
    <w:name w:val="样式 首行缩进:  2 字符"/>
    <w:basedOn w:val="1"/>
    <w:qFormat/>
    <w:uiPriority w:val="0"/>
    <w:pPr>
      <w:ind w:firstLine="200" w:firstLineChars="200"/>
    </w:pPr>
    <w:rPr>
      <w:rFonts w:ascii="宋体" w:hAnsi="宋体"/>
      <w:sz w:val="32"/>
      <w:szCs w:val="32"/>
    </w:rPr>
  </w:style>
  <w:style w:type="paragraph" w:customStyle="1" w:styleId="37">
    <w:name w:val="引文目录标题1"/>
    <w:basedOn w:val="1"/>
    <w:qFormat/>
    <w:uiPriority w:val="0"/>
    <w:pPr>
      <w:spacing w:before="120"/>
    </w:pPr>
  </w:style>
  <w:style w:type="paragraph" w:customStyle="1" w:styleId="38">
    <w:name w:val="列出段落1"/>
    <w:basedOn w:val="1"/>
    <w:qFormat/>
    <w:uiPriority w:val="0"/>
    <w:pPr>
      <w:ind w:firstLine="420" w:firstLineChars="200"/>
    </w:pPr>
    <w:rPr>
      <w:szCs w:val="21"/>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null5"/>
    <w:qFormat/>
    <w:uiPriority w:val="0"/>
    <w:rPr>
      <w:rFonts w:hint="eastAsia" w:asciiTheme="minorHAnsi" w:hAnsiTheme="minorHAnsi" w:eastAsiaTheme="minorEastAsia" w:cstheme="minorBidi"/>
      <w:lang w:val="en-US" w:eastAsia="zh-CN"/>
    </w:rPr>
  </w:style>
  <w:style w:type="paragraph" w:customStyle="1" w:styleId="41">
    <w:name w:val="null3"/>
    <w:qFormat/>
    <w:uiPriority w:val="0"/>
    <w:rPr>
      <w:rFonts w:hint="eastAsia" w:asciiTheme="minorHAnsi" w:hAnsiTheme="minorHAnsi" w:eastAsiaTheme="minorEastAsia" w:cstheme="minorBidi"/>
      <w:lang w:val="en-US" w:eastAsia="zh-Hans"/>
    </w:rPr>
  </w:style>
  <w:style w:type="paragraph" w:customStyle="1" w:styleId="42">
    <w:name w:val="Text"/>
    <w:qFormat/>
    <w:uiPriority w:val="0"/>
    <w:pPr>
      <w:spacing w:line="315" w:lineRule="auto"/>
      <w:jc w:val="left"/>
    </w:pPr>
    <w:rPr>
      <w:rFonts w:ascii="宋体" w:hAnsi="宋体" w:eastAsia="宋体" w:cs="宋体"/>
      <w:color w:val="000000"/>
      <w:sz w:val="21"/>
      <w:lang w:val="en-US" w:eastAsia="en-US" w:bidi="ar-SA"/>
    </w:rPr>
  </w:style>
  <w:style w:type="paragraph" w:customStyle="1" w:styleId="43">
    <w:name w:val="Other|1"/>
    <w:basedOn w:val="1"/>
    <w:qFormat/>
    <w:uiPriority w:val="0"/>
    <w:pPr>
      <w:widowControl w:val="0"/>
      <w:shd w:val="clear" w:color="auto" w:fill="auto"/>
    </w:pPr>
    <w:rPr>
      <w:rFonts w:ascii="宋体" w:hAnsi="宋体" w:eastAsia="宋体" w:cs="宋体"/>
      <w:color w:val="666666"/>
      <w:sz w:val="19"/>
      <w:szCs w:val="19"/>
      <w:u w:val="none"/>
      <w:shd w:val="clear" w:color="auto" w:fill="auto"/>
      <w:lang w:val="zh-TW" w:eastAsia="zh-TW" w:bidi="zh-TW"/>
    </w:rPr>
  </w:style>
  <w:style w:type="paragraph" w:styleId="44">
    <w:name w:val="List Paragraph"/>
    <w:basedOn w:val="1"/>
    <w:qFormat/>
    <w:uiPriority w:val="34"/>
    <w:pPr>
      <w:ind w:firstLine="420" w:firstLineChars="200"/>
    </w:pPr>
    <w:rPr>
      <w:szCs w:val="20"/>
    </w:rPr>
  </w:style>
  <w:style w:type="character" w:customStyle="1" w:styleId="45">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1852</Words>
  <Characters>2022</Characters>
  <Lines>185</Lines>
  <Paragraphs>52</Paragraphs>
  <TotalTime>4</TotalTime>
  <ScaleCrop>false</ScaleCrop>
  <LinksUpToDate>false</LinksUpToDate>
  <CharactersWithSpaces>2208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2024-04-17T15:11:00Z</dcterms:created>
  <dc:creator>崔 旺</dc:creator>
  <cp:lastModifiedBy>stj</cp:lastModifiedBy>
  <dcterms:modified xsi:type="dcterms:W3CDTF">2026-04-15T15:52:06Z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2052-11.8.2.10458</vt:lpwstr>
  </property>
  <property fmtid="{D5CDD505-2E9C-101B-9397-08002B2CF9AE}" pid="5" name="ICV">
    <vt:lpwstr>62C3539A0A5145DF9C7513757FF8EC80_13</vt:lpwstr>
  </property>
  <property fmtid="{D5CDD505-2E9C-101B-9397-08002B2CF9AE}" pid="6" name="KSOTemplateDocerSaveRecord">
    <vt:lpwstr>eyJoZGlkIjoiMDcxMmZkNWU2NDVlYzRkNmQ3YWMzZTgwMjk4MTI0NTkiLCJ1c2VySWQiOiI3MDQ1NzkyODYifQ==</vt:lpwstr>
  </property>
</Properties>
</file>