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D0A14">
      <w:pPr>
        <w:kinsoku/>
        <w:spacing w:line="360" w:lineRule="auto"/>
        <w:ind w:firstLine="480" w:firstLineChars="200"/>
        <w:rPr>
          <w:rFonts w:ascii="宋体" w:eastAsia="宋体" w:cs="宋体"/>
          <w:color w:val="auto"/>
          <w:sz w:val="24"/>
          <w:szCs w:val="24"/>
          <w:highlight w:val="none"/>
        </w:rPr>
      </w:pPr>
    </w:p>
    <w:p w14:paraId="7437F84C">
      <w:pPr>
        <w:kinsoku/>
        <w:spacing w:line="360" w:lineRule="auto"/>
        <w:jc w:val="center"/>
        <w:rPr>
          <w:rFonts w:ascii="宋体" w:eastAsia="宋体" w:cs="宋体"/>
          <w:b/>
          <w:bCs/>
          <w:color w:val="auto"/>
          <w:sz w:val="48"/>
          <w:szCs w:val="48"/>
          <w:highlight w:val="none"/>
          <w:lang w:eastAsia="zh-CN"/>
        </w:rPr>
      </w:pPr>
    </w:p>
    <w:p w14:paraId="3F952B25">
      <w:pPr>
        <w:kinsoku/>
        <w:jc w:val="center"/>
        <w:rPr>
          <w:rFonts w:ascii="宋体" w:eastAsia="宋体" w:cs="宋体"/>
          <w:b w:val="0"/>
          <w:bCs w:val="0"/>
          <w:color w:val="auto"/>
          <w:sz w:val="24"/>
          <w:szCs w:val="24"/>
          <w:highlight w:val="none"/>
          <w:lang w:eastAsia="zh-CN"/>
        </w:rPr>
      </w:pPr>
      <w:r>
        <w:rPr>
          <w:rFonts w:hint="eastAsia" w:ascii="宋体" w:eastAsia="宋体" w:cs="宋体"/>
          <w:b w:val="0"/>
          <w:bCs w:val="0"/>
          <w:color w:val="auto"/>
          <w:sz w:val="44"/>
          <w:szCs w:val="44"/>
          <w:highlight w:val="none"/>
          <w:lang w:eastAsia="zh-CN"/>
        </w:rPr>
        <w:t>2026年赤峰市红山区乡镇及农村集中式饮用水水源地水质监测服务项目</w:t>
      </w:r>
    </w:p>
    <w:p w14:paraId="4F1E9C9A">
      <w:pPr>
        <w:kinsoku/>
        <w:spacing w:line="360" w:lineRule="auto"/>
        <w:ind w:firstLine="480" w:firstLineChars="200"/>
        <w:rPr>
          <w:rFonts w:ascii="宋体" w:eastAsia="宋体" w:cs="宋体"/>
          <w:color w:val="auto"/>
          <w:sz w:val="24"/>
          <w:szCs w:val="24"/>
          <w:highlight w:val="none"/>
          <w:lang w:eastAsia="zh-CN"/>
        </w:rPr>
      </w:pPr>
    </w:p>
    <w:p w14:paraId="0A6B8C1D">
      <w:pPr>
        <w:kinsoku/>
        <w:spacing w:line="360" w:lineRule="auto"/>
        <w:ind w:firstLine="480" w:firstLineChars="200"/>
        <w:rPr>
          <w:rFonts w:ascii="宋体" w:eastAsia="宋体" w:cs="宋体"/>
          <w:color w:val="auto"/>
          <w:sz w:val="24"/>
          <w:szCs w:val="24"/>
          <w:highlight w:val="none"/>
          <w:lang w:eastAsia="zh-CN"/>
        </w:rPr>
      </w:pPr>
    </w:p>
    <w:p w14:paraId="27D174AD">
      <w:pPr>
        <w:pStyle w:val="15"/>
        <w:rPr>
          <w:color w:val="auto"/>
          <w:highlight w:val="none"/>
          <w:lang w:eastAsia="zh-CN"/>
        </w:rPr>
      </w:pPr>
    </w:p>
    <w:p w14:paraId="49823F28">
      <w:pPr>
        <w:kinsoku/>
        <w:spacing w:line="360" w:lineRule="auto"/>
        <w:ind w:firstLine="480" w:firstLineChars="200"/>
        <w:rPr>
          <w:rFonts w:ascii="宋体" w:eastAsia="宋体" w:cs="宋体"/>
          <w:color w:val="auto"/>
          <w:sz w:val="24"/>
          <w:szCs w:val="24"/>
          <w:highlight w:val="none"/>
          <w:lang w:eastAsia="zh-CN"/>
        </w:rPr>
      </w:pPr>
    </w:p>
    <w:p w14:paraId="58455961">
      <w:pPr>
        <w:pStyle w:val="15"/>
        <w:rPr>
          <w:rFonts w:ascii="宋体" w:eastAsia="宋体" w:cs="宋体"/>
          <w:color w:val="auto"/>
          <w:sz w:val="24"/>
          <w:szCs w:val="24"/>
          <w:highlight w:val="none"/>
          <w:lang w:eastAsia="zh-CN"/>
        </w:rPr>
      </w:pPr>
    </w:p>
    <w:p w14:paraId="405EF51C">
      <w:pPr>
        <w:rPr>
          <w:highlight w:val="none"/>
          <w:lang w:eastAsia="zh-CN"/>
        </w:rPr>
      </w:pPr>
    </w:p>
    <w:p w14:paraId="3EE839C1">
      <w:pPr>
        <w:rPr>
          <w:highlight w:val="none"/>
          <w:lang w:eastAsia="zh-CN"/>
        </w:rPr>
      </w:pPr>
    </w:p>
    <w:p w14:paraId="271073EA">
      <w:pPr>
        <w:kinsoku/>
        <w:spacing w:line="360" w:lineRule="auto"/>
        <w:ind w:firstLine="480" w:firstLineChars="200"/>
        <w:rPr>
          <w:rFonts w:ascii="宋体" w:eastAsia="宋体" w:cs="宋体"/>
          <w:b w:val="0"/>
          <w:bCs w:val="0"/>
          <w:color w:val="auto"/>
          <w:sz w:val="24"/>
          <w:szCs w:val="24"/>
          <w:highlight w:val="none"/>
          <w:lang w:eastAsia="zh-CN"/>
        </w:rPr>
      </w:pPr>
    </w:p>
    <w:p w14:paraId="4083F487">
      <w:pPr>
        <w:kinsoku/>
        <w:spacing w:line="360" w:lineRule="auto"/>
        <w:ind w:left="0" w:leftChars="0" w:right="0" w:rightChars="0" w:firstLine="0" w:firstLineChars="0"/>
        <w:jc w:val="center"/>
        <w:rPr>
          <w:rFonts w:ascii="宋体" w:eastAsia="宋体" w:cs="宋体"/>
          <w:b w:val="0"/>
          <w:bCs w:val="0"/>
          <w:color w:val="auto"/>
          <w:sz w:val="24"/>
          <w:szCs w:val="24"/>
          <w:highlight w:val="none"/>
          <w:lang w:eastAsia="zh-CN"/>
        </w:rPr>
      </w:pPr>
      <w:r>
        <w:rPr>
          <w:rFonts w:hint="eastAsia" w:ascii="宋体" w:eastAsia="宋体" w:cs="宋体"/>
          <w:b w:val="0"/>
          <w:bCs w:val="0"/>
          <w:color w:val="auto"/>
          <w:sz w:val="48"/>
          <w:szCs w:val="48"/>
          <w:highlight w:val="none"/>
          <w:lang w:eastAsia="zh-CN"/>
        </w:rPr>
        <w:t>竞争性磋商文件</w:t>
      </w:r>
    </w:p>
    <w:p w14:paraId="5229AE8D">
      <w:pPr>
        <w:kinsoku/>
        <w:spacing w:line="360" w:lineRule="auto"/>
        <w:ind w:left="0" w:leftChars="0" w:right="0" w:rightChars="0" w:firstLine="0" w:firstLineChars="0"/>
        <w:jc w:val="center"/>
        <w:rPr>
          <w:rFonts w:hint="default" w:ascii="宋体" w:eastAsia="宋体" w:cs="宋体"/>
          <w:b w:val="0"/>
          <w:bCs w:val="0"/>
          <w:color w:val="auto"/>
          <w:sz w:val="24"/>
          <w:szCs w:val="24"/>
          <w:highlight w:val="none"/>
          <w:lang w:val="en-US" w:eastAsia="zh-CN"/>
        </w:rPr>
      </w:pPr>
      <w:r>
        <w:rPr>
          <w:rFonts w:hint="eastAsia" w:ascii="宋体" w:eastAsia="宋体" w:cs="宋体"/>
          <w:b w:val="0"/>
          <w:bCs w:val="0"/>
          <w:color w:val="auto"/>
          <w:sz w:val="28"/>
          <w:szCs w:val="28"/>
          <w:highlight w:val="none"/>
          <w:lang w:eastAsia="zh-CN"/>
        </w:rPr>
        <w:t>项目编号：【2026】HT-CS-106</w:t>
      </w:r>
    </w:p>
    <w:p w14:paraId="4AD1A4A7">
      <w:pPr>
        <w:kinsoku/>
        <w:spacing w:line="360" w:lineRule="auto"/>
        <w:ind w:firstLine="480" w:firstLineChars="200"/>
        <w:rPr>
          <w:rFonts w:ascii="宋体" w:eastAsia="宋体" w:cs="宋体"/>
          <w:color w:val="auto"/>
          <w:sz w:val="24"/>
          <w:szCs w:val="24"/>
          <w:highlight w:val="none"/>
          <w:lang w:eastAsia="zh-CN"/>
        </w:rPr>
      </w:pPr>
    </w:p>
    <w:p w14:paraId="7DD2350F">
      <w:pPr>
        <w:kinsoku/>
        <w:spacing w:line="360" w:lineRule="auto"/>
        <w:ind w:firstLine="480" w:firstLineChars="200"/>
        <w:rPr>
          <w:rFonts w:ascii="宋体" w:eastAsia="宋体" w:cs="宋体"/>
          <w:color w:val="auto"/>
          <w:sz w:val="24"/>
          <w:szCs w:val="24"/>
          <w:highlight w:val="none"/>
          <w:lang w:eastAsia="zh-CN"/>
        </w:rPr>
      </w:pPr>
    </w:p>
    <w:p w14:paraId="58A0A1E1">
      <w:pPr>
        <w:kinsoku/>
        <w:spacing w:line="360" w:lineRule="auto"/>
        <w:ind w:firstLine="480" w:firstLineChars="200"/>
        <w:rPr>
          <w:rFonts w:ascii="宋体" w:eastAsia="宋体" w:cs="宋体"/>
          <w:color w:val="auto"/>
          <w:sz w:val="24"/>
          <w:szCs w:val="24"/>
          <w:highlight w:val="none"/>
          <w:lang w:eastAsia="zh-CN"/>
        </w:rPr>
      </w:pPr>
    </w:p>
    <w:p w14:paraId="48398324">
      <w:pPr>
        <w:kinsoku/>
        <w:spacing w:line="360" w:lineRule="auto"/>
        <w:ind w:firstLine="480" w:firstLineChars="200"/>
        <w:rPr>
          <w:rFonts w:ascii="宋体" w:eastAsia="宋体" w:cs="宋体"/>
          <w:color w:val="auto"/>
          <w:sz w:val="24"/>
          <w:szCs w:val="24"/>
          <w:highlight w:val="none"/>
          <w:lang w:eastAsia="zh-CN"/>
        </w:rPr>
      </w:pPr>
    </w:p>
    <w:p w14:paraId="522911C6">
      <w:pPr>
        <w:kinsoku/>
        <w:spacing w:line="360" w:lineRule="auto"/>
        <w:ind w:firstLine="480" w:firstLineChars="200"/>
        <w:rPr>
          <w:rFonts w:ascii="宋体" w:eastAsia="宋体" w:cs="宋体"/>
          <w:color w:val="auto"/>
          <w:sz w:val="24"/>
          <w:szCs w:val="24"/>
          <w:highlight w:val="none"/>
          <w:lang w:eastAsia="zh-CN"/>
        </w:rPr>
      </w:pPr>
    </w:p>
    <w:p w14:paraId="5E8E3EB1">
      <w:pPr>
        <w:pStyle w:val="15"/>
        <w:rPr>
          <w:rFonts w:ascii="宋体" w:eastAsia="宋体" w:cs="宋体"/>
          <w:color w:val="auto"/>
          <w:sz w:val="24"/>
          <w:szCs w:val="24"/>
          <w:highlight w:val="none"/>
          <w:lang w:eastAsia="zh-CN"/>
        </w:rPr>
      </w:pPr>
    </w:p>
    <w:p w14:paraId="5129FA0B">
      <w:pPr>
        <w:rPr>
          <w:color w:val="auto"/>
          <w:highlight w:val="none"/>
          <w:lang w:eastAsia="zh-CN"/>
        </w:rPr>
      </w:pPr>
    </w:p>
    <w:p w14:paraId="5D4BFE17">
      <w:pPr>
        <w:pStyle w:val="15"/>
        <w:rPr>
          <w:color w:val="auto"/>
          <w:highlight w:val="none"/>
          <w:lang w:eastAsia="zh-CN"/>
        </w:rPr>
      </w:pPr>
    </w:p>
    <w:p w14:paraId="425F1AB0">
      <w:pPr>
        <w:rPr>
          <w:highlight w:val="none"/>
          <w:lang w:eastAsia="zh-CN"/>
        </w:rPr>
      </w:pPr>
    </w:p>
    <w:p w14:paraId="0E91B9BB">
      <w:pPr>
        <w:kinsoku/>
        <w:spacing w:line="360" w:lineRule="auto"/>
        <w:ind w:firstLine="480" w:firstLineChars="200"/>
        <w:rPr>
          <w:rFonts w:ascii="宋体" w:eastAsia="宋体" w:cs="宋体"/>
          <w:color w:val="auto"/>
          <w:sz w:val="24"/>
          <w:szCs w:val="24"/>
          <w:highlight w:val="none"/>
          <w:lang w:eastAsia="zh-CN"/>
        </w:rPr>
      </w:pPr>
    </w:p>
    <w:p w14:paraId="376882CF">
      <w:pPr>
        <w:kinsoku/>
        <w:spacing w:line="360" w:lineRule="auto"/>
        <w:ind w:firstLine="480" w:firstLineChars="200"/>
        <w:rPr>
          <w:rFonts w:ascii="宋体" w:eastAsia="宋体" w:cs="宋体"/>
          <w:color w:val="auto"/>
          <w:sz w:val="24"/>
          <w:szCs w:val="24"/>
          <w:highlight w:val="none"/>
          <w:lang w:eastAsia="zh-CN"/>
        </w:rPr>
      </w:pPr>
    </w:p>
    <w:p w14:paraId="2C8C0925">
      <w:pPr>
        <w:kinsoku/>
        <w:spacing w:line="360" w:lineRule="auto"/>
        <w:ind w:left="0" w:leftChars="0" w:right="0" w:rightChars="0" w:firstLine="0" w:firstLineChars="0"/>
        <w:jc w:val="center"/>
        <w:rPr>
          <w:rFonts w:ascii="宋体" w:eastAsia="宋体" w:cs="宋体"/>
          <w:color w:val="auto"/>
          <w:sz w:val="28"/>
          <w:szCs w:val="28"/>
          <w:highlight w:val="none"/>
          <w:lang w:eastAsia="zh-CN"/>
        </w:rPr>
      </w:pPr>
      <w:r>
        <w:rPr>
          <w:rFonts w:hint="eastAsia" w:ascii="宋体" w:eastAsia="宋体" w:cs="宋体"/>
          <w:color w:val="auto"/>
          <w:sz w:val="28"/>
          <w:szCs w:val="28"/>
          <w:highlight w:val="none"/>
          <w:lang w:eastAsia="zh-CN"/>
        </w:rPr>
        <w:t>采购单位名称：赤峰市生态环境局红山区分局</w:t>
      </w:r>
    </w:p>
    <w:p w14:paraId="1B6C7BC1">
      <w:pPr>
        <w:kinsoku/>
        <w:spacing w:line="360" w:lineRule="auto"/>
        <w:ind w:left="0" w:leftChars="0" w:right="0" w:rightChars="0" w:firstLine="0" w:firstLineChars="0"/>
        <w:jc w:val="center"/>
        <w:rPr>
          <w:rFonts w:ascii="宋体" w:eastAsia="宋体" w:cs="宋体"/>
          <w:color w:val="auto"/>
          <w:sz w:val="28"/>
          <w:szCs w:val="28"/>
          <w:highlight w:val="none"/>
          <w:lang w:eastAsia="zh-CN"/>
        </w:rPr>
      </w:pPr>
      <w:r>
        <w:rPr>
          <w:rFonts w:hint="eastAsia" w:ascii="宋体" w:eastAsia="宋体" w:cs="宋体"/>
          <w:color w:val="auto"/>
          <w:sz w:val="28"/>
          <w:szCs w:val="28"/>
          <w:highlight w:val="none"/>
          <w:lang w:eastAsia="zh-CN"/>
        </w:rPr>
        <w:t>代理机构名称：赤峰鸿途</w:t>
      </w:r>
      <w:r>
        <w:rPr>
          <w:rFonts w:hint="eastAsia" w:ascii="宋体" w:eastAsia="宋体" w:cs="宋体"/>
          <w:b w:val="0"/>
          <w:bCs w:val="0"/>
          <w:color w:val="auto"/>
          <w:sz w:val="28"/>
          <w:szCs w:val="28"/>
          <w:highlight w:val="none"/>
          <w:lang w:eastAsia="zh-CN"/>
        </w:rPr>
        <w:t>项目管理</w:t>
      </w:r>
      <w:r>
        <w:rPr>
          <w:rFonts w:hint="eastAsia" w:ascii="宋体" w:eastAsia="宋体" w:cs="宋体"/>
          <w:color w:val="auto"/>
          <w:sz w:val="28"/>
          <w:szCs w:val="28"/>
          <w:highlight w:val="none"/>
          <w:lang w:eastAsia="zh-CN"/>
        </w:rPr>
        <w:t>有限公司</w:t>
      </w:r>
    </w:p>
    <w:p w14:paraId="2E02566C">
      <w:pPr>
        <w:kinsoku/>
        <w:spacing w:line="360" w:lineRule="auto"/>
        <w:ind w:left="0" w:leftChars="0" w:right="0" w:rightChars="0" w:firstLine="0" w:firstLineChars="0"/>
        <w:jc w:val="center"/>
        <w:rPr>
          <w:rFonts w:ascii="宋体" w:eastAsia="宋体" w:cs="宋体"/>
          <w:color w:val="auto"/>
          <w:sz w:val="24"/>
          <w:szCs w:val="24"/>
          <w:highlight w:val="none"/>
          <w:lang w:eastAsia="zh-CN"/>
        </w:rPr>
      </w:pPr>
      <w:r>
        <w:rPr>
          <w:rFonts w:hint="eastAsia" w:ascii="宋体" w:eastAsia="宋体" w:cs="宋体"/>
          <w:b w:val="0"/>
          <w:bCs w:val="0"/>
          <w:color w:val="auto"/>
          <w:sz w:val="28"/>
          <w:szCs w:val="28"/>
          <w:highlight w:val="none"/>
          <w:lang w:eastAsia="zh-CN"/>
        </w:rPr>
        <w:t>二○二六年</w:t>
      </w:r>
      <w:r>
        <w:rPr>
          <w:rFonts w:hint="eastAsia" w:ascii="宋体" w:eastAsia="宋体" w:cs="宋体"/>
          <w:b w:val="0"/>
          <w:bCs w:val="0"/>
          <w:color w:val="auto"/>
          <w:sz w:val="28"/>
          <w:szCs w:val="28"/>
          <w:highlight w:val="none"/>
          <w:lang w:val="en-US" w:eastAsia="zh-CN"/>
        </w:rPr>
        <w:t>五</w:t>
      </w:r>
      <w:r>
        <w:rPr>
          <w:rFonts w:hint="eastAsia" w:ascii="宋体" w:eastAsia="宋体" w:cs="宋体"/>
          <w:b w:val="0"/>
          <w:bCs w:val="0"/>
          <w:color w:val="auto"/>
          <w:sz w:val="28"/>
          <w:szCs w:val="28"/>
          <w:highlight w:val="none"/>
          <w:lang w:eastAsia="zh-CN"/>
        </w:rPr>
        <w:t>月</w:t>
      </w:r>
    </w:p>
    <w:p w14:paraId="657CAFA3">
      <w:pPr>
        <w:kinsoku/>
        <w:spacing w:line="360" w:lineRule="auto"/>
        <w:ind w:firstLine="480" w:firstLineChars="200"/>
        <w:rPr>
          <w:rFonts w:ascii="宋体" w:eastAsia="宋体" w:cs="宋体"/>
          <w:color w:val="auto"/>
          <w:sz w:val="24"/>
          <w:szCs w:val="24"/>
          <w:highlight w:val="none"/>
          <w:lang w:eastAsia="zh-CN"/>
        </w:rPr>
        <w:sectPr>
          <w:headerReference r:id="rId3" w:type="default"/>
          <w:pgSz w:w="11906" w:h="16838"/>
          <w:pgMar w:top="1440" w:right="1080" w:bottom="1440" w:left="1080" w:header="0" w:footer="850" w:gutter="0"/>
          <w:cols w:space="0" w:num="1"/>
          <w:rtlGutter w:val="0"/>
          <w:docGrid w:linePitch="312" w:charSpace="0"/>
        </w:sectPr>
      </w:pPr>
    </w:p>
    <w:sdt>
      <w:sdtPr>
        <w:rPr>
          <w:rFonts w:ascii="宋体" w:hAnsi="宋体" w:eastAsia="宋体" w:cs="Arial"/>
          <w:b/>
          <w:bCs/>
          <w:color w:val="000000"/>
          <w:sz w:val="24"/>
          <w:szCs w:val="24"/>
          <w:highlight w:val="none"/>
          <w:lang w:val="en-US" w:eastAsia="en-US" w:bidi="ar-SA"/>
        </w:rPr>
        <w:id w:val="147454594"/>
        <w15:color w:val="DBDBDB"/>
        <w:docPartObj>
          <w:docPartGallery w:val="Table of Contents"/>
          <w:docPartUnique/>
        </w:docPartObj>
      </w:sdtPr>
      <w:sdtEndPr>
        <w:rPr>
          <w:rFonts w:ascii="宋体" w:hAnsi="宋体" w:eastAsia="宋体" w:cs="Arial"/>
          <w:b/>
          <w:bCs/>
          <w:color w:val="000000"/>
          <w:sz w:val="24"/>
          <w:szCs w:val="24"/>
          <w:highlight w:val="none"/>
          <w:lang w:val="en-US" w:eastAsia="en-US" w:bidi="ar-SA"/>
        </w:rPr>
      </w:sdtEndPr>
      <w:sdtContent>
        <w:p w14:paraId="4CE40FA5">
          <w:pPr>
            <w:spacing w:before="0" w:beforeLines="0" w:after="0" w:afterLines="0" w:line="240" w:lineRule="auto"/>
            <w:ind w:left="0" w:leftChars="0" w:right="0" w:rightChars="0" w:firstLine="0" w:firstLineChars="0"/>
            <w:jc w:val="center"/>
            <w:rPr>
              <w:b/>
              <w:bCs/>
              <w:sz w:val="24"/>
              <w:szCs w:val="24"/>
              <w:highlight w:val="none"/>
            </w:rPr>
          </w:pPr>
          <w:r>
            <w:rPr>
              <w:rFonts w:ascii="宋体" w:hAnsi="宋体" w:eastAsia="宋体"/>
              <w:b/>
              <w:bCs/>
              <w:sz w:val="24"/>
              <w:szCs w:val="24"/>
              <w:highlight w:val="none"/>
            </w:rPr>
            <w:t>目录</w:t>
          </w:r>
        </w:p>
        <w:p w14:paraId="7E118E85">
          <w:pPr>
            <w:pStyle w:val="15"/>
            <w:tabs>
              <w:tab w:val="right" w:leader="dot" w:pos="9746"/>
            </w:tabs>
            <w:rPr>
              <w:highlight w:val="none"/>
            </w:rPr>
          </w:pPr>
          <w:r>
            <w:rPr>
              <w:highlight w:val="none"/>
            </w:rPr>
            <w:fldChar w:fldCharType="begin"/>
          </w:r>
          <w:r>
            <w:rPr>
              <w:highlight w:val="none"/>
            </w:rPr>
            <w:instrText xml:space="preserve">TOC \o "1-2" \h \u </w:instrText>
          </w:r>
          <w:r>
            <w:rPr>
              <w:highlight w:val="none"/>
            </w:rPr>
            <w:fldChar w:fldCharType="separate"/>
          </w:r>
          <w:r>
            <w:rPr>
              <w:highlight w:val="none"/>
            </w:rPr>
            <w:fldChar w:fldCharType="begin"/>
          </w:r>
          <w:r>
            <w:rPr>
              <w:highlight w:val="none"/>
            </w:rPr>
            <w:instrText xml:space="preserve"> HYPERLINK \l _Toc18271 </w:instrText>
          </w:r>
          <w:r>
            <w:rPr>
              <w:highlight w:val="none"/>
            </w:rPr>
            <w:fldChar w:fldCharType="separate"/>
          </w:r>
          <w:r>
            <w:rPr>
              <w:rFonts w:hint="eastAsia" w:ascii="宋体" w:eastAsia="宋体" w:cs="宋体"/>
              <w:bCs/>
              <w:szCs w:val="28"/>
              <w:highlight w:val="none"/>
              <w:lang w:eastAsia="zh-CN"/>
            </w:rPr>
            <w:t>第一章  磋商邀请</w:t>
          </w:r>
          <w:r>
            <w:rPr>
              <w:highlight w:val="none"/>
            </w:rPr>
            <w:tab/>
          </w:r>
          <w:r>
            <w:rPr>
              <w:highlight w:val="none"/>
            </w:rPr>
            <w:fldChar w:fldCharType="begin"/>
          </w:r>
          <w:r>
            <w:rPr>
              <w:highlight w:val="none"/>
            </w:rPr>
            <w:instrText xml:space="preserve"> PAGEREF _Toc18271 \h </w:instrText>
          </w:r>
          <w:r>
            <w:rPr>
              <w:highlight w:val="none"/>
            </w:rPr>
            <w:fldChar w:fldCharType="separate"/>
          </w:r>
          <w:r>
            <w:rPr>
              <w:highlight w:val="none"/>
            </w:rPr>
            <w:t>1</w:t>
          </w:r>
          <w:r>
            <w:rPr>
              <w:highlight w:val="none"/>
            </w:rPr>
            <w:fldChar w:fldCharType="end"/>
          </w:r>
          <w:r>
            <w:rPr>
              <w:highlight w:val="none"/>
            </w:rPr>
            <w:fldChar w:fldCharType="end"/>
          </w:r>
        </w:p>
        <w:p w14:paraId="0FA376E6">
          <w:pPr>
            <w:pStyle w:val="16"/>
            <w:tabs>
              <w:tab w:val="right" w:leader="dot" w:pos="9746"/>
            </w:tabs>
            <w:rPr>
              <w:highlight w:val="none"/>
            </w:rPr>
          </w:pPr>
          <w:r>
            <w:rPr>
              <w:highlight w:val="none"/>
            </w:rPr>
            <w:fldChar w:fldCharType="begin"/>
          </w:r>
          <w:r>
            <w:rPr>
              <w:highlight w:val="none"/>
            </w:rPr>
            <w:instrText xml:space="preserve"> HYPERLINK \l _Toc24657 </w:instrText>
          </w:r>
          <w:r>
            <w:rPr>
              <w:highlight w:val="none"/>
            </w:rPr>
            <w:fldChar w:fldCharType="separate"/>
          </w:r>
          <w:r>
            <w:rPr>
              <w:rFonts w:hint="eastAsia" w:ascii="宋体" w:eastAsia="宋体" w:cs="宋体"/>
              <w:bCs/>
              <w:szCs w:val="24"/>
              <w:highlight w:val="none"/>
              <w:lang w:eastAsia="zh-CN"/>
            </w:rPr>
            <w:t>一、项目概述</w:t>
          </w:r>
          <w:r>
            <w:rPr>
              <w:highlight w:val="none"/>
            </w:rPr>
            <w:tab/>
          </w:r>
          <w:r>
            <w:rPr>
              <w:highlight w:val="none"/>
            </w:rPr>
            <w:fldChar w:fldCharType="begin"/>
          </w:r>
          <w:r>
            <w:rPr>
              <w:highlight w:val="none"/>
            </w:rPr>
            <w:instrText xml:space="preserve"> PAGEREF _Toc24657 \h </w:instrText>
          </w:r>
          <w:r>
            <w:rPr>
              <w:highlight w:val="none"/>
            </w:rPr>
            <w:fldChar w:fldCharType="separate"/>
          </w:r>
          <w:r>
            <w:rPr>
              <w:highlight w:val="none"/>
            </w:rPr>
            <w:t>1</w:t>
          </w:r>
          <w:r>
            <w:rPr>
              <w:highlight w:val="none"/>
            </w:rPr>
            <w:fldChar w:fldCharType="end"/>
          </w:r>
          <w:r>
            <w:rPr>
              <w:highlight w:val="none"/>
            </w:rPr>
            <w:fldChar w:fldCharType="end"/>
          </w:r>
        </w:p>
        <w:p w14:paraId="500B5F8C">
          <w:pPr>
            <w:pStyle w:val="16"/>
            <w:tabs>
              <w:tab w:val="right" w:leader="dot" w:pos="9746"/>
            </w:tabs>
            <w:rPr>
              <w:highlight w:val="none"/>
            </w:rPr>
          </w:pPr>
          <w:r>
            <w:rPr>
              <w:highlight w:val="none"/>
            </w:rPr>
            <w:fldChar w:fldCharType="begin"/>
          </w:r>
          <w:r>
            <w:rPr>
              <w:highlight w:val="none"/>
            </w:rPr>
            <w:instrText xml:space="preserve"> HYPERLINK \l _Toc1371 </w:instrText>
          </w:r>
          <w:r>
            <w:rPr>
              <w:highlight w:val="none"/>
            </w:rPr>
            <w:fldChar w:fldCharType="separate"/>
          </w:r>
          <w:r>
            <w:rPr>
              <w:rFonts w:hint="eastAsia" w:ascii="宋体" w:eastAsia="宋体" w:cs="宋体"/>
              <w:bCs/>
              <w:szCs w:val="24"/>
              <w:highlight w:val="none"/>
            </w:rPr>
            <w:t>二、供应商的资格要求</w:t>
          </w:r>
          <w:r>
            <w:rPr>
              <w:highlight w:val="none"/>
            </w:rPr>
            <w:tab/>
          </w:r>
          <w:r>
            <w:rPr>
              <w:highlight w:val="none"/>
            </w:rPr>
            <w:fldChar w:fldCharType="begin"/>
          </w:r>
          <w:r>
            <w:rPr>
              <w:highlight w:val="none"/>
            </w:rPr>
            <w:instrText xml:space="preserve"> PAGEREF _Toc1371 \h </w:instrText>
          </w:r>
          <w:r>
            <w:rPr>
              <w:highlight w:val="none"/>
            </w:rPr>
            <w:fldChar w:fldCharType="separate"/>
          </w:r>
          <w:r>
            <w:rPr>
              <w:highlight w:val="none"/>
            </w:rPr>
            <w:t>1</w:t>
          </w:r>
          <w:r>
            <w:rPr>
              <w:highlight w:val="none"/>
            </w:rPr>
            <w:fldChar w:fldCharType="end"/>
          </w:r>
          <w:r>
            <w:rPr>
              <w:highlight w:val="none"/>
            </w:rPr>
            <w:fldChar w:fldCharType="end"/>
          </w:r>
        </w:p>
        <w:p w14:paraId="63B7190F">
          <w:pPr>
            <w:pStyle w:val="16"/>
            <w:tabs>
              <w:tab w:val="right" w:leader="dot" w:pos="9746"/>
            </w:tabs>
            <w:rPr>
              <w:highlight w:val="none"/>
            </w:rPr>
          </w:pPr>
          <w:r>
            <w:rPr>
              <w:highlight w:val="none"/>
            </w:rPr>
            <w:fldChar w:fldCharType="begin"/>
          </w:r>
          <w:r>
            <w:rPr>
              <w:highlight w:val="none"/>
            </w:rPr>
            <w:instrText xml:space="preserve"> HYPERLINK \l _Toc18062 </w:instrText>
          </w:r>
          <w:r>
            <w:rPr>
              <w:highlight w:val="none"/>
            </w:rPr>
            <w:fldChar w:fldCharType="separate"/>
          </w:r>
          <w:r>
            <w:rPr>
              <w:rFonts w:hint="eastAsia" w:ascii="宋体" w:eastAsia="宋体" w:cs="宋体"/>
              <w:bCs/>
              <w:szCs w:val="24"/>
              <w:highlight w:val="none"/>
              <w:lang w:eastAsia="zh-CN"/>
            </w:rPr>
            <w:t>三、获取磋商文件的时间、地点、方式</w:t>
          </w:r>
          <w:r>
            <w:rPr>
              <w:highlight w:val="none"/>
            </w:rPr>
            <w:tab/>
          </w:r>
          <w:r>
            <w:rPr>
              <w:highlight w:val="none"/>
            </w:rPr>
            <w:fldChar w:fldCharType="begin"/>
          </w:r>
          <w:r>
            <w:rPr>
              <w:highlight w:val="none"/>
            </w:rPr>
            <w:instrText xml:space="preserve"> PAGEREF _Toc18062 \h </w:instrText>
          </w:r>
          <w:r>
            <w:rPr>
              <w:highlight w:val="none"/>
            </w:rPr>
            <w:fldChar w:fldCharType="separate"/>
          </w:r>
          <w:r>
            <w:rPr>
              <w:highlight w:val="none"/>
            </w:rPr>
            <w:t>1</w:t>
          </w:r>
          <w:r>
            <w:rPr>
              <w:highlight w:val="none"/>
            </w:rPr>
            <w:fldChar w:fldCharType="end"/>
          </w:r>
          <w:r>
            <w:rPr>
              <w:highlight w:val="none"/>
            </w:rPr>
            <w:fldChar w:fldCharType="end"/>
          </w:r>
        </w:p>
        <w:p w14:paraId="10BD65B2">
          <w:pPr>
            <w:pStyle w:val="16"/>
            <w:tabs>
              <w:tab w:val="right" w:leader="dot" w:pos="9746"/>
            </w:tabs>
            <w:rPr>
              <w:highlight w:val="none"/>
            </w:rPr>
          </w:pPr>
          <w:r>
            <w:rPr>
              <w:highlight w:val="none"/>
            </w:rPr>
            <w:fldChar w:fldCharType="begin"/>
          </w:r>
          <w:r>
            <w:rPr>
              <w:highlight w:val="none"/>
            </w:rPr>
            <w:instrText xml:space="preserve"> HYPERLINK \l _Toc12846 </w:instrText>
          </w:r>
          <w:r>
            <w:rPr>
              <w:highlight w:val="none"/>
            </w:rPr>
            <w:fldChar w:fldCharType="separate"/>
          </w:r>
          <w:r>
            <w:rPr>
              <w:rFonts w:hint="eastAsia" w:ascii="宋体" w:eastAsia="宋体" w:cs="宋体"/>
              <w:bCs/>
              <w:szCs w:val="24"/>
              <w:highlight w:val="none"/>
              <w:lang w:eastAsia="zh-CN"/>
            </w:rPr>
            <w:t>四、磋商文件售价</w:t>
          </w:r>
          <w:r>
            <w:rPr>
              <w:highlight w:val="none"/>
            </w:rPr>
            <w:tab/>
          </w:r>
          <w:r>
            <w:rPr>
              <w:highlight w:val="none"/>
            </w:rPr>
            <w:fldChar w:fldCharType="begin"/>
          </w:r>
          <w:r>
            <w:rPr>
              <w:highlight w:val="none"/>
            </w:rPr>
            <w:instrText xml:space="preserve"> PAGEREF _Toc12846 \h </w:instrText>
          </w:r>
          <w:r>
            <w:rPr>
              <w:highlight w:val="none"/>
            </w:rPr>
            <w:fldChar w:fldCharType="separate"/>
          </w:r>
          <w:r>
            <w:rPr>
              <w:highlight w:val="none"/>
            </w:rPr>
            <w:t>1</w:t>
          </w:r>
          <w:r>
            <w:rPr>
              <w:highlight w:val="none"/>
            </w:rPr>
            <w:fldChar w:fldCharType="end"/>
          </w:r>
          <w:r>
            <w:rPr>
              <w:highlight w:val="none"/>
            </w:rPr>
            <w:fldChar w:fldCharType="end"/>
          </w:r>
        </w:p>
        <w:p w14:paraId="1A4703CB">
          <w:pPr>
            <w:pStyle w:val="16"/>
            <w:tabs>
              <w:tab w:val="right" w:leader="dot" w:pos="9746"/>
            </w:tabs>
            <w:rPr>
              <w:highlight w:val="none"/>
            </w:rPr>
          </w:pPr>
          <w:r>
            <w:rPr>
              <w:highlight w:val="none"/>
            </w:rPr>
            <w:fldChar w:fldCharType="begin"/>
          </w:r>
          <w:r>
            <w:rPr>
              <w:highlight w:val="none"/>
            </w:rPr>
            <w:instrText xml:space="preserve"> HYPERLINK \l _Toc24850 </w:instrText>
          </w:r>
          <w:r>
            <w:rPr>
              <w:highlight w:val="none"/>
            </w:rPr>
            <w:fldChar w:fldCharType="separate"/>
          </w:r>
          <w:r>
            <w:rPr>
              <w:rFonts w:hint="eastAsia" w:ascii="宋体" w:eastAsia="宋体" w:cs="宋体"/>
              <w:bCs/>
              <w:szCs w:val="24"/>
              <w:highlight w:val="none"/>
              <w:lang w:eastAsia="zh-CN"/>
            </w:rPr>
            <w:t>五、响应文件提交的截止时间、开启时间和地点</w:t>
          </w:r>
          <w:r>
            <w:rPr>
              <w:highlight w:val="none"/>
            </w:rPr>
            <w:tab/>
          </w:r>
          <w:r>
            <w:rPr>
              <w:highlight w:val="none"/>
            </w:rPr>
            <w:fldChar w:fldCharType="begin"/>
          </w:r>
          <w:r>
            <w:rPr>
              <w:highlight w:val="none"/>
            </w:rPr>
            <w:instrText xml:space="preserve"> PAGEREF _Toc24850 \h </w:instrText>
          </w:r>
          <w:r>
            <w:rPr>
              <w:highlight w:val="none"/>
            </w:rPr>
            <w:fldChar w:fldCharType="separate"/>
          </w:r>
          <w:r>
            <w:rPr>
              <w:highlight w:val="none"/>
            </w:rPr>
            <w:t>2</w:t>
          </w:r>
          <w:r>
            <w:rPr>
              <w:highlight w:val="none"/>
            </w:rPr>
            <w:fldChar w:fldCharType="end"/>
          </w:r>
          <w:r>
            <w:rPr>
              <w:highlight w:val="none"/>
            </w:rPr>
            <w:fldChar w:fldCharType="end"/>
          </w:r>
        </w:p>
        <w:p w14:paraId="07126E7D">
          <w:pPr>
            <w:pStyle w:val="16"/>
            <w:tabs>
              <w:tab w:val="right" w:leader="dot" w:pos="9746"/>
            </w:tabs>
            <w:rPr>
              <w:highlight w:val="none"/>
            </w:rPr>
          </w:pPr>
          <w:r>
            <w:rPr>
              <w:highlight w:val="none"/>
            </w:rPr>
            <w:fldChar w:fldCharType="begin"/>
          </w:r>
          <w:r>
            <w:rPr>
              <w:highlight w:val="none"/>
            </w:rPr>
            <w:instrText xml:space="preserve"> HYPERLINK \l _Toc16586 </w:instrText>
          </w:r>
          <w:r>
            <w:rPr>
              <w:highlight w:val="none"/>
            </w:rPr>
            <w:fldChar w:fldCharType="separate"/>
          </w:r>
          <w:r>
            <w:rPr>
              <w:rFonts w:hint="eastAsia" w:ascii="宋体" w:eastAsia="宋体" w:cs="宋体"/>
              <w:bCs/>
              <w:szCs w:val="24"/>
              <w:highlight w:val="none"/>
              <w:lang w:eastAsia="zh-CN"/>
            </w:rPr>
            <w:t>六、联系方式</w:t>
          </w:r>
          <w:r>
            <w:rPr>
              <w:highlight w:val="none"/>
            </w:rPr>
            <w:tab/>
          </w:r>
          <w:r>
            <w:rPr>
              <w:highlight w:val="none"/>
            </w:rPr>
            <w:fldChar w:fldCharType="begin"/>
          </w:r>
          <w:r>
            <w:rPr>
              <w:highlight w:val="none"/>
            </w:rPr>
            <w:instrText xml:space="preserve"> PAGEREF _Toc16586 \h </w:instrText>
          </w:r>
          <w:r>
            <w:rPr>
              <w:highlight w:val="none"/>
            </w:rPr>
            <w:fldChar w:fldCharType="separate"/>
          </w:r>
          <w:r>
            <w:rPr>
              <w:highlight w:val="none"/>
            </w:rPr>
            <w:t>2</w:t>
          </w:r>
          <w:r>
            <w:rPr>
              <w:highlight w:val="none"/>
            </w:rPr>
            <w:fldChar w:fldCharType="end"/>
          </w:r>
          <w:r>
            <w:rPr>
              <w:highlight w:val="none"/>
            </w:rPr>
            <w:fldChar w:fldCharType="end"/>
          </w:r>
        </w:p>
        <w:p w14:paraId="279729F7">
          <w:pPr>
            <w:pStyle w:val="15"/>
            <w:tabs>
              <w:tab w:val="right" w:leader="dot" w:pos="9746"/>
            </w:tabs>
            <w:rPr>
              <w:highlight w:val="none"/>
            </w:rPr>
          </w:pPr>
          <w:r>
            <w:rPr>
              <w:highlight w:val="none"/>
            </w:rPr>
            <w:fldChar w:fldCharType="begin"/>
          </w:r>
          <w:r>
            <w:rPr>
              <w:highlight w:val="none"/>
            </w:rPr>
            <w:instrText xml:space="preserve"> HYPERLINK \l _Toc22380 </w:instrText>
          </w:r>
          <w:r>
            <w:rPr>
              <w:highlight w:val="none"/>
            </w:rPr>
            <w:fldChar w:fldCharType="separate"/>
          </w:r>
          <w:r>
            <w:rPr>
              <w:rFonts w:hint="eastAsia" w:ascii="宋体" w:eastAsia="宋体" w:cs="宋体"/>
              <w:bCs/>
              <w:szCs w:val="28"/>
              <w:highlight w:val="none"/>
              <w:lang w:eastAsia="zh-CN"/>
            </w:rPr>
            <w:t>第二章  供应商须知</w:t>
          </w:r>
          <w:r>
            <w:rPr>
              <w:highlight w:val="none"/>
            </w:rPr>
            <w:tab/>
          </w:r>
          <w:r>
            <w:rPr>
              <w:highlight w:val="none"/>
            </w:rPr>
            <w:fldChar w:fldCharType="begin"/>
          </w:r>
          <w:r>
            <w:rPr>
              <w:highlight w:val="none"/>
            </w:rPr>
            <w:instrText xml:space="preserve"> PAGEREF _Toc22380 \h </w:instrText>
          </w:r>
          <w:r>
            <w:rPr>
              <w:highlight w:val="none"/>
            </w:rPr>
            <w:fldChar w:fldCharType="separate"/>
          </w:r>
          <w:r>
            <w:rPr>
              <w:highlight w:val="none"/>
            </w:rPr>
            <w:t>3</w:t>
          </w:r>
          <w:r>
            <w:rPr>
              <w:highlight w:val="none"/>
            </w:rPr>
            <w:fldChar w:fldCharType="end"/>
          </w:r>
          <w:r>
            <w:rPr>
              <w:highlight w:val="none"/>
            </w:rPr>
            <w:fldChar w:fldCharType="end"/>
          </w:r>
        </w:p>
        <w:p w14:paraId="5755345A">
          <w:pPr>
            <w:pStyle w:val="16"/>
            <w:tabs>
              <w:tab w:val="right" w:leader="dot" w:pos="9746"/>
            </w:tabs>
            <w:rPr>
              <w:highlight w:val="none"/>
            </w:rPr>
          </w:pPr>
          <w:r>
            <w:rPr>
              <w:highlight w:val="none"/>
            </w:rPr>
            <w:fldChar w:fldCharType="begin"/>
          </w:r>
          <w:r>
            <w:rPr>
              <w:highlight w:val="none"/>
            </w:rPr>
            <w:instrText xml:space="preserve"> HYPERLINK \l _Toc16727 </w:instrText>
          </w:r>
          <w:r>
            <w:rPr>
              <w:highlight w:val="none"/>
            </w:rPr>
            <w:fldChar w:fldCharType="separate"/>
          </w:r>
          <w:r>
            <w:rPr>
              <w:rFonts w:hint="eastAsia" w:ascii="宋体" w:eastAsia="宋体" w:cs="宋体"/>
              <w:bCs/>
              <w:szCs w:val="24"/>
              <w:highlight w:val="none"/>
            </w:rPr>
            <w:t>一、前附表</w:t>
          </w:r>
          <w:r>
            <w:rPr>
              <w:highlight w:val="none"/>
            </w:rPr>
            <w:tab/>
          </w:r>
          <w:r>
            <w:rPr>
              <w:highlight w:val="none"/>
            </w:rPr>
            <w:fldChar w:fldCharType="begin"/>
          </w:r>
          <w:r>
            <w:rPr>
              <w:highlight w:val="none"/>
            </w:rPr>
            <w:instrText xml:space="preserve"> PAGEREF _Toc16727 \h </w:instrText>
          </w:r>
          <w:r>
            <w:rPr>
              <w:highlight w:val="none"/>
            </w:rPr>
            <w:fldChar w:fldCharType="separate"/>
          </w:r>
          <w:r>
            <w:rPr>
              <w:highlight w:val="none"/>
            </w:rPr>
            <w:t>3</w:t>
          </w:r>
          <w:r>
            <w:rPr>
              <w:highlight w:val="none"/>
            </w:rPr>
            <w:fldChar w:fldCharType="end"/>
          </w:r>
          <w:r>
            <w:rPr>
              <w:highlight w:val="none"/>
            </w:rPr>
            <w:fldChar w:fldCharType="end"/>
          </w:r>
        </w:p>
        <w:p w14:paraId="6F1F4BE8">
          <w:pPr>
            <w:pStyle w:val="16"/>
            <w:tabs>
              <w:tab w:val="right" w:leader="dot" w:pos="9746"/>
            </w:tabs>
            <w:rPr>
              <w:highlight w:val="none"/>
            </w:rPr>
          </w:pPr>
          <w:r>
            <w:rPr>
              <w:highlight w:val="none"/>
            </w:rPr>
            <w:fldChar w:fldCharType="begin"/>
          </w:r>
          <w:r>
            <w:rPr>
              <w:highlight w:val="none"/>
            </w:rPr>
            <w:instrText xml:space="preserve"> HYPERLINK \l _Toc19600 </w:instrText>
          </w:r>
          <w:r>
            <w:rPr>
              <w:highlight w:val="none"/>
            </w:rPr>
            <w:fldChar w:fldCharType="separate"/>
          </w:r>
          <w:r>
            <w:rPr>
              <w:rFonts w:hint="eastAsia" w:ascii="宋体" w:eastAsia="宋体" w:cs="宋体"/>
              <w:bCs/>
              <w:szCs w:val="24"/>
              <w:highlight w:val="none"/>
            </w:rPr>
            <w:t>二、磋商须知</w:t>
          </w:r>
          <w:r>
            <w:rPr>
              <w:highlight w:val="none"/>
            </w:rPr>
            <w:tab/>
          </w:r>
          <w:r>
            <w:rPr>
              <w:highlight w:val="none"/>
            </w:rPr>
            <w:fldChar w:fldCharType="begin"/>
          </w:r>
          <w:r>
            <w:rPr>
              <w:highlight w:val="none"/>
            </w:rPr>
            <w:instrText xml:space="preserve"> PAGEREF _Toc19600 \h </w:instrText>
          </w:r>
          <w:r>
            <w:rPr>
              <w:highlight w:val="none"/>
            </w:rPr>
            <w:fldChar w:fldCharType="separate"/>
          </w:r>
          <w:r>
            <w:rPr>
              <w:highlight w:val="none"/>
            </w:rPr>
            <w:t>3</w:t>
          </w:r>
          <w:r>
            <w:rPr>
              <w:highlight w:val="none"/>
            </w:rPr>
            <w:fldChar w:fldCharType="end"/>
          </w:r>
          <w:r>
            <w:rPr>
              <w:highlight w:val="none"/>
            </w:rPr>
            <w:fldChar w:fldCharType="end"/>
          </w:r>
        </w:p>
        <w:p w14:paraId="7C34CF50">
          <w:pPr>
            <w:pStyle w:val="16"/>
            <w:tabs>
              <w:tab w:val="right" w:leader="dot" w:pos="9746"/>
            </w:tabs>
            <w:rPr>
              <w:highlight w:val="none"/>
            </w:rPr>
          </w:pPr>
          <w:r>
            <w:rPr>
              <w:highlight w:val="none"/>
            </w:rPr>
            <w:fldChar w:fldCharType="begin"/>
          </w:r>
          <w:r>
            <w:rPr>
              <w:highlight w:val="none"/>
            </w:rPr>
            <w:instrText xml:space="preserve"> HYPERLINK \l _Toc6311 </w:instrText>
          </w:r>
          <w:r>
            <w:rPr>
              <w:highlight w:val="none"/>
            </w:rPr>
            <w:fldChar w:fldCharType="separate"/>
          </w:r>
          <w:r>
            <w:rPr>
              <w:rFonts w:hint="eastAsia" w:ascii="宋体" w:eastAsia="宋体" w:cs="宋体"/>
              <w:bCs/>
              <w:szCs w:val="24"/>
              <w:highlight w:val="none"/>
              <w:lang w:eastAsia="zh-CN"/>
            </w:rPr>
            <w:t>三、说明</w:t>
          </w:r>
          <w:r>
            <w:rPr>
              <w:highlight w:val="none"/>
            </w:rPr>
            <w:tab/>
          </w:r>
          <w:r>
            <w:rPr>
              <w:highlight w:val="none"/>
            </w:rPr>
            <w:fldChar w:fldCharType="begin"/>
          </w:r>
          <w:r>
            <w:rPr>
              <w:highlight w:val="none"/>
            </w:rPr>
            <w:instrText xml:space="preserve"> PAGEREF _Toc6311 \h </w:instrText>
          </w:r>
          <w:r>
            <w:rPr>
              <w:highlight w:val="none"/>
            </w:rPr>
            <w:fldChar w:fldCharType="separate"/>
          </w:r>
          <w:r>
            <w:rPr>
              <w:highlight w:val="none"/>
            </w:rPr>
            <w:t>5</w:t>
          </w:r>
          <w:r>
            <w:rPr>
              <w:highlight w:val="none"/>
            </w:rPr>
            <w:fldChar w:fldCharType="end"/>
          </w:r>
          <w:r>
            <w:rPr>
              <w:highlight w:val="none"/>
            </w:rPr>
            <w:fldChar w:fldCharType="end"/>
          </w:r>
        </w:p>
        <w:p w14:paraId="7A1C82A3">
          <w:pPr>
            <w:pStyle w:val="16"/>
            <w:tabs>
              <w:tab w:val="right" w:leader="dot" w:pos="9746"/>
            </w:tabs>
            <w:rPr>
              <w:highlight w:val="none"/>
            </w:rPr>
          </w:pPr>
          <w:r>
            <w:rPr>
              <w:highlight w:val="none"/>
            </w:rPr>
            <w:fldChar w:fldCharType="begin"/>
          </w:r>
          <w:r>
            <w:rPr>
              <w:highlight w:val="none"/>
            </w:rPr>
            <w:instrText xml:space="preserve"> HYPERLINK \l _Toc20752 </w:instrText>
          </w:r>
          <w:r>
            <w:rPr>
              <w:highlight w:val="none"/>
            </w:rPr>
            <w:fldChar w:fldCharType="separate"/>
          </w:r>
          <w:r>
            <w:rPr>
              <w:rFonts w:hint="eastAsia" w:ascii="宋体" w:eastAsia="宋体" w:cs="宋体"/>
              <w:bCs/>
              <w:szCs w:val="24"/>
              <w:highlight w:val="none"/>
            </w:rPr>
            <w:t>四、磋商文件的澄清或者修改</w:t>
          </w:r>
          <w:r>
            <w:rPr>
              <w:highlight w:val="none"/>
            </w:rPr>
            <w:tab/>
          </w:r>
          <w:r>
            <w:rPr>
              <w:highlight w:val="none"/>
            </w:rPr>
            <w:fldChar w:fldCharType="begin"/>
          </w:r>
          <w:r>
            <w:rPr>
              <w:highlight w:val="none"/>
            </w:rPr>
            <w:instrText xml:space="preserve"> PAGEREF _Toc20752 \h </w:instrText>
          </w:r>
          <w:r>
            <w:rPr>
              <w:highlight w:val="none"/>
            </w:rPr>
            <w:fldChar w:fldCharType="separate"/>
          </w:r>
          <w:r>
            <w:rPr>
              <w:highlight w:val="none"/>
            </w:rPr>
            <w:t>7</w:t>
          </w:r>
          <w:r>
            <w:rPr>
              <w:highlight w:val="none"/>
            </w:rPr>
            <w:fldChar w:fldCharType="end"/>
          </w:r>
          <w:r>
            <w:rPr>
              <w:highlight w:val="none"/>
            </w:rPr>
            <w:fldChar w:fldCharType="end"/>
          </w:r>
        </w:p>
        <w:p w14:paraId="7C8DB810">
          <w:pPr>
            <w:pStyle w:val="16"/>
            <w:tabs>
              <w:tab w:val="right" w:leader="dot" w:pos="9746"/>
            </w:tabs>
            <w:rPr>
              <w:highlight w:val="none"/>
            </w:rPr>
          </w:pPr>
          <w:r>
            <w:rPr>
              <w:highlight w:val="none"/>
            </w:rPr>
            <w:fldChar w:fldCharType="begin"/>
          </w:r>
          <w:r>
            <w:rPr>
              <w:highlight w:val="none"/>
            </w:rPr>
            <w:instrText xml:space="preserve"> HYPERLINK \l _Toc24571 </w:instrText>
          </w:r>
          <w:r>
            <w:rPr>
              <w:highlight w:val="none"/>
            </w:rPr>
            <w:fldChar w:fldCharType="separate"/>
          </w:r>
          <w:r>
            <w:rPr>
              <w:rFonts w:hint="eastAsia" w:ascii="宋体" w:eastAsia="宋体" w:cs="宋体"/>
              <w:bCs/>
              <w:szCs w:val="24"/>
              <w:highlight w:val="none"/>
              <w:lang w:eastAsia="zh-CN"/>
            </w:rPr>
            <w:t>五、响应文件</w:t>
          </w:r>
          <w:r>
            <w:rPr>
              <w:highlight w:val="none"/>
            </w:rPr>
            <w:tab/>
          </w:r>
          <w:r>
            <w:rPr>
              <w:highlight w:val="none"/>
            </w:rPr>
            <w:fldChar w:fldCharType="begin"/>
          </w:r>
          <w:r>
            <w:rPr>
              <w:highlight w:val="none"/>
            </w:rPr>
            <w:instrText xml:space="preserve"> PAGEREF _Toc24571 \h </w:instrText>
          </w:r>
          <w:r>
            <w:rPr>
              <w:highlight w:val="none"/>
            </w:rPr>
            <w:fldChar w:fldCharType="separate"/>
          </w:r>
          <w:r>
            <w:rPr>
              <w:highlight w:val="none"/>
            </w:rPr>
            <w:t>7</w:t>
          </w:r>
          <w:r>
            <w:rPr>
              <w:highlight w:val="none"/>
            </w:rPr>
            <w:fldChar w:fldCharType="end"/>
          </w:r>
          <w:r>
            <w:rPr>
              <w:highlight w:val="none"/>
            </w:rPr>
            <w:fldChar w:fldCharType="end"/>
          </w:r>
        </w:p>
        <w:p w14:paraId="090D338C">
          <w:pPr>
            <w:pStyle w:val="16"/>
            <w:tabs>
              <w:tab w:val="right" w:leader="dot" w:pos="9746"/>
            </w:tabs>
            <w:rPr>
              <w:highlight w:val="none"/>
            </w:rPr>
          </w:pPr>
          <w:r>
            <w:rPr>
              <w:highlight w:val="none"/>
            </w:rPr>
            <w:fldChar w:fldCharType="begin"/>
          </w:r>
          <w:r>
            <w:rPr>
              <w:highlight w:val="none"/>
            </w:rPr>
            <w:instrText xml:space="preserve"> HYPERLINK \l _Toc8246 </w:instrText>
          </w:r>
          <w:r>
            <w:rPr>
              <w:highlight w:val="none"/>
            </w:rPr>
            <w:fldChar w:fldCharType="separate"/>
          </w:r>
          <w:r>
            <w:rPr>
              <w:rFonts w:hint="eastAsia" w:ascii="宋体" w:eastAsia="宋体" w:cs="宋体"/>
              <w:bCs/>
              <w:szCs w:val="24"/>
              <w:highlight w:val="none"/>
              <w:lang w:eastAsia="zh-CN"/>
            </w:rPr>
            <w:t>六、开启、评审、结果公告、成交通知书</w:t>
          </w:r>
          <w:r>
            <w:rPr>
              <w:highlight w:val="none"/>
            </w:rPr>
            <w:tab/>
          </w:r>
          <w:r>
            <w:rPr>
              <w:highlight w:val="none"/>
            </w:rPr>
            <w:fldChar w:fldCharType="begin"/>
          </w:r>
          <w:r>
            <w:rPr>
              <w:highlight w:val="none"/>
            </w:rPr>
            <w:instrText xml:space="preserve"> PAGEREF _Toc8246 \h </w:instrText>
          </w:r>
          <w:r>
            <w:rPr>
              <w:highlight w:val="none"/>
            </w:rPr>
            <w:fldChar w:fldCharType="separate"/>
          </w:r>
          <w:r>
            <w:rPr>
              <w:highlight w:val="none"/>
            </w:rPr>
            <w:t>9</w:t>
          </w:r>
          <w:r>
            <w:rPr>
              <w:highlight w:val="none"/>
            </w:rPr>
            <w:fldChar w:fldCharType="end"/>
          </w:r>
          <w:r>
            <w:rPr>
              <w:highlight w:val="none"/>
            </w:rPr>
            <w:fldChar w:fldCharType="end"/>
          </w:r>
        </w:p>
        <w:p w14:paraId="582368AE">
          <w:pPr>
            <w:pStyle w:val="16"/>
            <w:tabs>
              <w:tab w:val="right" w:leader="dot" w:pos="9746"/>
            </w:tabs>
            <w:rPr>
              <w:highlight w:val="none"/>
            </w:rPr>
          </w:pPr>
          <w:r>
            <w:rPr>
              <w:highlight w:val="none"/>
            </w:rPr>
            <w:fldChar w:fldCharType="begin"/>
          </w:r>
          <w:r>
            <w:rPr>
              <w:highlight w:val="none"/>
            </w:rPr>
            <w:instrText xml:space="preserve"> HYPERLINK \l _Toc6207 </w:instrText>
          </w:r>
          <w:r>
            <w:rPr>
              <w:highlight w:val="none"/>
            </w:rPr>
            <w:fldChar w:fldCharType="separate"/>
          </w:r>
          <w:r>
            <w:rPr>
              <w:rFonts w:hint="eastAsia" w:ascii="宋体" w:eastAsia="宋体" w:cs="宋体"/>
              <w:bCs/>
              <w:szCs w:val="24"/>
              <w:highlight w:val="none"/>
            </w:rPr>
            <w:t>七、询问、质疑与</w:t>
          </w:r>
          <w:r>
            <w:rPr>
              <w:rFonts w:hint="eastAsia" w:ascii="宋体" w:eastAsia="宋体" w:cs="宋体"/>
              <w:bCs/>
              <w:szCs w:val="24"/>
              <w:highlight w:val="none"/>
              <w:lang w:eastAsia="zh-CN"/>
            </w:rPr>
            <w:t>举报</w:t>
          </w:r>
          <w:r>
            <w:rPr>
              <w:highlight w:val="none"/>
            </w:rPr>
            <w:tab/>
          </w:r>
          <w:r>
            <w:rPr>
              <w:highlight w:val="none"/>
            </w:rPr>
            <w:fldChar w:fldCharType="begin"/>
          </w:r>
          <w:r>
            <w:rPr>
              <w:highlight w:val="none"/>
            </w:rPr>
            <w:instrText xml:space="preserve"> PAGEREF _Toc6207 \h </w:instrText>
          </w:r>
          <w:r>
            <w:rPr>
              <w:highlight w:val="none"/>
            </w:rPr>
            <w:fldChar w:fldCharType="separate"/>
          </w:r>
          <w:r>
            <w:rPr>
              <w:highlight w:val="none"/>
            </w:rPr>
            <w:t>9</w:t>
          </w:r>
          <w:r>
            <w:rPr>
              <w:highlight w:val="none"/>
            </w:rPr>
            <w:fldChar w:fldCharType="end"/>
          </w:r>
          <w:r>
            <w:rPr>
              <w:highlight w:val="none"/>
            </w:rPr>
            <w:fldChar w:fldCharType="end"/>
          </w:r>
        </w:p>
        <w:p w14:paraId="04D20FC4">
          <w:pPr>
            <w:pStyle w:val="15"/>
            <w:tabs>
              <w:tab w:val="right" w:leader="dot" w:pos="9746"/>
            </w:tabs>
            <w:rPr>
              <w:highlight w:val="none"/>
            </w:rPr>
          </w:pPr>
          <w:r>
            <w:rPr>
              <w:highlight w:val="none"/>
            </w:rPr>
            <w:fldChar w:fldCharType="begin"/>
          </w:r>
          <w:r>
            <w:rPr>
              <w:highlight w:val="none"/>
            </w:rPr>
            <w:instrText xml:space="preserve"> HYPERLINK \l _Toc18147 </w:instrText>
          </w:r>
          <w:r>
            <w:rPr>
              <w:highlight w:val="none"/>
            </w:rPr>
            <w:fldChar w:fldCharType="separate"/>
          </w:r>
          <w:r>
            <w:rPr>
              <w:rFonts w:hint="eastAsia" w:ascii="宋体" w:eastAsia="宋体" w:cs="宋体"/>
              <w:bCs/>
              <w:szCs w:val="28"/>
              <w:highlight w:val="none"/>
              <w:lang w:eastAsia="zh-CN"/>
            </w:rPr>
            <w:t>第三章  采购内容与技术要求</w:t>
          </w:r>
          <w:r>
            <w:rPr>
              <w:highlight w:val="none"/>
            </w:rPr>
            <w:tab/>
          </w:r>
          <w:r>
            <w:rPr>
              <w:highlight w:val="none"/>
            </w:rPr>
            <w:fldChar w:fldCharType="begin"/>
          </w:r>
          <w:r>
            <w:rPr>
              <w:highlight w:val="none"/>
            </w:rPr>
            <w:instrText xml:space="preserve"> PAGEREF _Toc18147 \h </w:instrText>
          </w:r>
          <w:r>
            <w:rPr>
              <w:highlight w:val="none"/>
            </w:rPr>
            <w:fldChar w:fldCharType="separate"/>
          </w:r>
          <w:r>
            <w:rPr>
              <w:highlight w:val="none"/>
            </w:rPr>
            <w:t>12</w:t>
          </w:r>
          <w:r>
            <w:rPr>
              <w:highlight w:val="none"/>
            </w:rPr>
            <w:fldChar w:fldCharType="end"/>
          </w:r>
          <w:r>
            <w:rPr>
              <w:highlight w:val="none"/>
            </w:rPr>
            <w:fldChar w:fldCharType="end"/>
          </w:r>
        </w:p>
        <w:p w14:paraId="53A42DBE">
          <w:pPr>
            <w:pStyle w:val="16"/>
            <w:tabs>
              <w:tab w:val="right" w:leader="dot" w:pos="9746"/>
            </w:tabs>
            <w:rPr>
              <w:highlight w:val="none"/>
            </w:rPr>
          </w:pPr>
          <w:r>
            <w:rPr>
              <w:highlight w:val="none"/>
            </w:rPr>
            <w:fldChar w:fldCharType="begin"/>
          </w:r>
          <w:r>
            <w:rPr>
              <w:highlight w:val="none"/>
            </w:rPr>
            <w:instrText xml:space="preserve"> HYPERLINK \l _Toc29679 </w:instrText>
          </w:r>
          <w:r>
            <w:rPr>
              <w:highlight w:val="none"/>
            </w:rPr>
            <w:fldChar w:fldCharType="separate"/>
          </w:r>
          <w:r>
            <w:rPr>
              <w:rFonts w:hint="eastAsia" w:ascii="宋体" w:eastAsia="宋体" w:cs="宋体"/>
              <w:bCs/>
              <w:szCs w:val="24"/>
              <w:highlight w:val="none"/>
              <w:lang w:eastAsia="zh-CN"/>
            </w:rPr>
            <w:t>一、项目概况</w:t>
          </w:r>
          <w:r>
            <w:rPr>
              <w:highlight w:val="none"/>
            </w:rPr>
            <w:tab/>
          </w:r>
          <w:r>
            <w:rPr>
              <w:highlight w:val="none"/>
            </w:rPr>
            <w:fldChar w:fldCharType="begin"/>
          </w:r>
          <w:r>
            <w:rPr>
              <w:highlight w:val="none"/>
            </w:rPr>
            <w:instrText xml:space="preserve"> PAGEREF _Toc29679 \h </w:instrText>
          </w:r>
          <w:r>
            <w:rPr>
              <w:highlight w:val="none"/>
            </w:rPr>
            <w:fldChar w:fldCharType="separate"/>
          </w:r>
          <w:r>
            <w:rPr>
              <w:highlight w:val="none"/>
            </w:rPr>
            <w:t>12</w:t>
          </w:r>
          <w:r>
            <w:rPr>
              <w:highlight w:val="none"/>
            </w:rPr>
            <w:fldChar w:fldCharType="end"/>
          </w:r>
          <w:r>
            <w:rPr>
              <w:highlight w:val="none"/>
            </w:rPr>
            <w:fldChar w:fldCharType="end"/>
          </w:r>
        </w:p>
        <w:p w14:paraId="68A44191">
          <w:pPr>
            <w:pStyle w:val="16"/>
            <w:tabs>
              <w:tab w:val="right" w:leader="dot" w:pos="9746"/>
            </w:tabs>
            <w:rPr>
              <w:highlight w:val="none"/>
            </w:rPr>
          </w:pPr>
          <w:r>
            <w:rPr>
              <w:highlight w:val="none"/>
            </w:rPr>
            <w:fldChar w:fldCharType="begin"/>
          </w:r>
          <w:r>
            <w:rPr>
              <w:highlight w:val="none"/>
            </w:rPr>
            <w:instrText xml:space="preserve"> HYPERLINK \l _Toc2644 </w:instrText>
          </w:r>
          <w:r>
            <w:rPr>
              <w:highlight w:val="none"/>
            </w:rPr>
            <w:fldChar w:fldCharType="separate"/>
          </w:r>
          <w:r>
            <w:rPr>
              <w:rFonts w:hint="eastAsia" w:ascii="宋体" w:eastAsia="宋体" w:cs="宋体"/>
              <w:bCs/>
              <w:szCs w:val="24"/>
              <w:highlight w:val="none"/>
              <w:lang w:eastAsia="zh-CN"/>
            </w:rPr>
            <w:t>二、主要商务要求、技术要求</w:t>
          </w:r>
          <w:r>
            <w:rPr>
              <w:highlight w:val="none"/>
            </w:rPr>
            <w:tab/>
          </w:r>
          <w:r>
            <w:rPr>
              <w:highlight w:val="none"/>
            </w:rPr>
            <w:fldChar w:fldCharType="begin"/>
          </w:r>
          <w:r>
            <w:rPr>
              <w:highlight w:val="none"/>
            </w:rPr>
            <w:instrText xml:space="preserve"> PAGEREF _Toc2644 \h </w:instrText>
          </w:r>
          <w:r>
            <w:rPr>
              <w:highlight w:val="none"/>
            </w:rPr>
            <w:fldChar w:fldCharType="separate"/>
          </w:r>
          <w:r>
            <w:rPr>
              <w:highlight w:val="none"/>
            </w:rPr>
            <w:t>12</w:t>
          </w:r>
          <w:r>
            <w:rPr>
              <w:highlight w:val="none"/>
            </w:rPr>
            <w:fldChar w:fldCharType="end"/>
          </w:r>
          <w:r>
            <w:rPr>
              <w:highlight w:val="none"/>
            </w:rPr>
            <w:fldChar w:fldCharType="end"/>
          </w:r>
        </w:p>
        <w:p w14:paraId="474EC640">
          <w:pPr>
            <w:pStyle w:val="15"/>
            <w:tabs>
              <w:tab w:val="right" w:leader="dot" w:pos="9746"/>
            </w:tabs>
            <w:rPr>
              <w:highlight w:val="none"/>
            </w:rPr>
          </w:pPr>
          <w:r>
            <w:rPr>
              <w:highlight w:val="none"/>
            </w:rPr>
            <w:fldChar w:fldCharType="begin"/>
          </w:r>
          <w:r>
            <w:rPr>
              <w:highlight w:val="none"/>
            </w:rPr>
            <w:instrText xml:space="preserve"> HYPERLINK \l _Toc21814 </w:instrText>
          </w:r>
          <w:r>
            <w:rPr>
              <w:highlight w:val="none"/>
            </w:rPr>
            <w:fldChar w:fldCharType="separate"/>
          </w:r>
          <w:r>
            <w:rPr>
              <w:rFonts w:hint="eastAsia" w:ascii="宋体" w:eastAsia="宋体" w:cs="宋体"/>
              <w:bCs/>
              <w:szCs w:val="28"/>
              <w:highlight w:val="none"/>
              <w:lang w:eastAsia="zh-CN"/>
            </w:rPr>
            <w:t>第四章  供应商应当提交的资格、资信证明文件</w:t>
          </w:r>
          <w:r>
            <w:rPr>
              <w:highlight w:val="none"/>
            </w:rPr>
            <w:tab/>
          </w:r>
          <w:r>
            <w:rPr>
              <w:highlight w:val="none"/>
            </w:rPr>
            <w:fldChar w:fldCharType="begin"/>
          </w:r>
          <w:r>
            <w:rPr>
              <w:highlight w:val="none"/>
            </w:rPr>
            <w:instrText xml:space="preserve"> PAGEREF _Toc21814 \h </w:instrText>
          </w:r>
          <w:r>
            <w:rPr>
              <w:highlight w:val="none"/>
            </w:rPr>
            <w:fldChar w:fldCharType="separate"/>
          </w:r>
          <w:r>
            <w:rPr>
              <w:highlight w:val="none"/>
            </w:rPr>
            <w:t>15</w:t>
          </w:r>
          <w:r>
            <w:rPr>
              <w:highlight w:val="none"/>
            </w:rPr>
            <w:fldChar w:fldCharType="end"/>
          </w:r>
          <w:r>
            <w:rPr>
              <w:highlight w:val="none"/>
            </w:rPr>
            <w:fldChar w:fldCharType="end"/>
          </w:r>
        </w:p>
        <w:p w14:paraId="0E7FA52E">
          <w:pPr>
            <w:pStyle w:val="15"/>
            <w:tabs>
              <w:tab w:val="right" w:leader="dot" w:pos="9746"/>
            </w:tabs>
            <w:rPr>
              <w:highlight w:val="none"/>
            </w:rPr>
          </w:pPr>
          <w:r>
            <w:rPr>
              <w:highlight w:val="none"/>
            </w:rPr>
            <w:fldChar w:fldCharType="begin"/>
          </w:r>
          <w:r>
            <w:rPr>
              <w:highlight w:val="none"/>
            </w:rPr>
            <w:instrText xml:space="preserve"> HYPERLINK \l _Toc22090 </w:instrText>
          </w:r>
          <w:r>
            <w:rPr>
              <w:highlight w:val="none"/>
            </w:rPr>
            <w:fldChar w:fldCharType="separate"/>
          </w:r>
          <w:r>
            <w:rPr>
              <w:rFonts w:hint="eastAsia" w:ascii="宋体" w:eastAsia="宋体" w:cs="宋体"/>
              <w:bCs/>
              <w:szCs w:val="28"/>
              <w:highlight w:val="none"/>
              <w:lang w:eastAsia="zh-CN"/>
            </w:rPr>
            <w:t>第五章  评审</w:t>
          </w:r>
          <w:r>
            <w:rPr>
              <w:highlight w:val="none"/>
            </w:rPr>
            <w:tab/>
          </w:r>
          <w:r>
            <w:rPr>
              <w:highlight w:val="none"/>
            </w:rPr>
            <w:fldChar w:fldCharType="begin"/>
          </w:r>
          <w:r>
            <w:rPr>
              <w:highlight w:val="none"/>
            </w:rPr>
            <w:instrText xml:space="preserve"> PAGEREF _Toc22090 \h </w:instrText>
          </w:r>
          <w:r>
            <w:rPr>
              <w:highlight w:val="none"/>
            </w:rPr>
            <w:fldChar w:fldCharType="separate"/>
          </w:r>
          <w:r>
            <w:rPr>
              <w:highlight w:val="none"/>
            </w:rPr>
            <w:t>16</w:t>
          </w:r>
          <w:r>
            <w:rPr>
              <w:highlight w:val="none"/>
            </w:rPr>
            <w:fldChar w:fldCharType="end"/>
          </w:r>
          <w:r>
            <w:rPr>
              <w:highlight w:val="none"/>
            </w:rPr>
            <w:fldChar w:fldCharType="end"/>
          </w:r>
        </w:p>
        <w:p w14:paraId="24E969C4">
          <w:pPr>
            <w:pStyle w:val="16"/>
            <w:tabs>
              <w:tab w:val="right" w:leader="dot" w:pos="9746"/>
            </w:tabs>
            <w:rPr>
              <w:highlight w:val="none"/>
            </w:rPr>
          </w:pPr>
          <w:r>
            <w:rPr>
              <w:highlight w:val="none"/>
            </w:rPr>
            <w:fldChar w:fldCharType="begin"/>
          </w:r>
          <w:r>
            <w:rPr>
              <w:highlight w:val="none"/>
            </w:rPr>
            <w:instrText xml:space="preserve"> HYPERLINK \l _Toc18962 </w:instrText>
          </w:r>
          <w:r>
            <w:rPr>
              <w:highlight w:val="none"/>
            </w:rPr>
            <w:fldChar w:fldCharType="separate"/>
          </w:r>
          <w:r>
            <w:rPr>
              <w:rFonts w:hint="eastAsia" w:ascii="宋体" w:eastAsia="宋体" w:cs="宋体"/>
              <w:bCs/>
              <w:szCs w:val="24"/>
              <w:highlight w:val="none"/>
              <w:lang w:eastAsia="zh-CN"/>
            </w:rPr>
            <w:t>一、评审要求</w:t>
          </w:r>
          <w:r>
            <w:rPr>
              <w:highlight w:val="none"/>
            </w:rPr>
            <w:tab/>
          </w:r>
          <w:r>
            <w:rPr>
              <w:highlight w:val="none"/>
            </w:rPr>
            <w:fldChar w:fldCharType="begin"/>
          </w:r>
          <w:r>
            <w:rPr>
              <w:highlight w:val="none"/>
            </w:rPr>
            <w:instrText xml:space="preserve"> PAGEREF _Toc18962 \h </w:instrText>
          </w:r>
          <w:r>
            <w:rPr>
              <w:highlight w:val="none"/>
            </w:rPr>
            <w:fldChar w:fldCharType="separate"/>
          </w:r>
          <w:r>
            <w:rPr>
              <w:highlight w:val="none"/>
            </w:rPr>
            <w:t>16</w:t>
          </w:r>
          <w:r>
            <w:rPr>
              <w:highlight w:val="none"/>
            </w:rPr>
            <w:fldChar w:fldCharType="end"/>
          </w:r>
          <w:r>
            <w:rPr>
              <w:highlight w:val="none"/>
            </w:rPr>
            <w:fldChar w:fldCharType="end"/>
          </w:r>
        </w:p>
        <w:p w14:paraId="1082773D">
          <w:pPr>
            <w:pStyle w:val="16"/>
            <w:tabs>
              <w:tab w:val="right" w:leader="dot" w:pos="9746"/>
            </w:tabs>
            <w:rPr>
              <w:highlight w:val="none"/>
            </w:rPr>
          </w:pPr>
          <w:r>
            <w:rPr>
              <w:highlight w:val="none"/>
            </w:rPr>
            <w:fldChar w:fldCharType="begin"/>
          </w:r>
          <w:r>
            <w:rPr>
              <w:highlight w:val="none"/>
            </w:rPr>
            <w:instrText xml:space="preserve"> HYPERLINK \l _Toc29984 </w:instrText>
          </w:r>
          <w:r>
            <w:rPr>
              <w:highlight w:val="none"/>
            </w:rPr>
            <w:fldChar w:fldCharType="separate"/>
          </w:r>
          <w:r>
            <w:rPr>
              <w:rFonts w:hint="eastAsia" w:ascii="宋体" w:eastAsia="宋体" w:cs="宋体"/>
              <w:bCs/>
              <w:szCs w:val="24"/>
              <w:highlight w:val="none"/>
              <w:lang w:eastAsia="zh-CN"/>
            </w:rPr>
            <w:t>二、落实政府采购政策</w:t>
          </w:r>
          <w:r>
            <w:rPr>
              <w:highlight w:val="none"/>
            </w:rPr>
            <w:tab/>
          </w:r>
          <w:r>
            <w:rPr>
              <w:highlight w:val="none"/>
            </w:rPr>
            <w:fldChar w:fldCharType="begin"/>
          </w:r>
          <w:r>
            <w:rPr>
              <w:highlight w:val="none"/>
            </w:rPr>
            <w:instrText xml:space="preserve"> PAGEREF _Toc29984 \h </w:instrText>
          </w:r>
          <w:r>
            <w:rPr>
              <w:highlight w:val="none"/>
            </w:rPr>
            <w:fldChar w:fldCharType="separate"/>
          </w:r>
          <w:r>
            <w:rPr>
              <w:highlight w:val="none"/>
            </w:rPr>
            <w:t>18</w:t>
          </w:r>
          <w:r>
            <w:rPr>
              <w:highlight w:val="none"/>
            </w:rPr>
            <w:fldChar w:fldCharType="end"/>
          </w:r>
          <w:r>
            <w:rPr>
              <w:highlight w:val="none"/>
            </w:rPr>
            <w:fldChar w:fldCharType="end"/>
          </w:r>
        </w:p>
        <w:p w14:paraId="7E23CF6E">
          <w:pPr>
            <w:pStyle w:val="16"/>
            <w:tabs>
              <w:tab w:val="right" w:leader="dot" w:pos="9746"/>
            </w:tabs>
            <w:rPr>
              <w:highlight w:val="none"/>
            </w:rPr>
          </w:pPr>
          <w:r>
            <w:rPr>
              <w:highlight w:val="none"/>
            </w:rPr>
            <w:fldChar w:fldCharType="begin"/>
          </w:r>
          <w:r>
            <w:rPr>
              <w:highlight w:val="none"/>
            </w:rPr>
            <w:instrText xml:space="preserve"> HYPERLINK \l _Toc24185 </w:instrText>
          </w:r>
          <w:r>
            <w:rPr>
              <w:highlight w:val="none"/>
            </w:rPr>
            <w:fldChar w:fldCharType="separate"/>
          </w:r>
          <w:r>
            <w:rPr>
              <w:rFonts w:hint="eastAsia" w:ascii="宋体" w:eastAsia="宋体" w:cs="宋体"/>
              <w:bCs/>
              <w:szCs w:val="24"/>
              <w:highlight w:val="none"/>
              <w:lang w:eastAsia="zh-CN"/>
            </w:rPr>
            <w:t>三、评审程序</w:t>
          </w:r>
          <w:r>
            <w:rPr>
              <w:highlight w:val="none"/>
            </w:rPr>
            <w:tab/>
          </w:r>
          <w:r>
            <w:rPr>
              <w:highlight w:val="none"/>
            </w:rPr>
            <w:fldChar w:fldCharType="begin"/>
          </w:r>
          <w:r>
            <w:rPr>
              <w:highlight w:val="none"/>
            </w:rPr>
            <w:instrText xml:space="preserve"> PAGEREF _Toc24185 \h </w:instrText>
          </w:r>
          <w:r>
            <w:rPr>
              <w:highlight w:val="none"/>
            </w:rPr>
            <w:fldChar w:fldCharType="separate"/>
          </w:r>
          <w:r>
            <w:rPr>
              <w:highlight w:val="none"/>
            </w:rPr>
            <w:t>22</w:t>
          </w:r>
          <w:r>
            <w:rPr>
              <w:highlight w:val="none"/>
            </w:rPr>
            <w:fldChar w:fldCharType="end"/>
          </w:r>
          <w:r>
            <w:rPr>
              <w:highlight w:val="none"/>
            </w:rPr>
            <w:fldChar w:fldCharType="end"/>
          </w:r>
        </w:p>
        <w:p w14:paraId="2029B0C1">
          <w:pPr>
            <w:pStyle w:val="15"/>
            <w:tabs>
              <w:tab w:val="right" w:leader="dot" w:pos="9746"/>
            </w:tabs>
            <w:rPr>
              <w:highlight w:val="none"/>
            </w:rPr>
          </w:pPr>
          <w:r>
            <w:rPr>
              <w:highlight w:val="none"/>
            </w:rPr>
            <w:fldChar w:fldCharType="begin"/>
          </w:r>
          <w:r>
            <w:rPr>
              <w:highlight w:val="none"/>
            </w:rPr>
            <w:instrText xml:space="preserve"> HYPERLINK \l _Toc10702 </w:instrText>
          </w:r>
          <w:r>
            <w:rPr>
              <w:highlight w:val="none"/>
            </w:rPr>
            <w:fldChar w:fldCharType="separate"/>
          </w:r>
          <w:r>
            <w:rPr>
              <w:rFonts w:hint="eastAsia" w:ascii="宋体" w:hAnsi="宋体" w:eastAsia="宋体" w:cs="宋体"/>
              <w:bCs/>
              <w:szCs w:val="28"/>
              <w:highlight w:val="none"/>
            </w:rPr>
            <w:t>第六章  合同</w:t>
          </w:r>
          <w:r>
            <w:rPr>
              <w:highlight w:val="none"/>
            </w:rPr>
            <w:tab/>
          </w:r>
          <w:r>
            <w:rPr>
              <w:highlight w:val="none"/>
            </w:rPr>
            <w:fldChar w:fldCharType="begin"/>
          </w:r>
          <w:r>
            <w:rPr>
              <w:highlight w:val="none"/>
            </w:rPr>
            <w:instrText xml:space="preserve"> PAGEREF _Toc10702 \h </w:instrText>
          </w:r>
          <w:r>
            <w:rPr>
              <w:highlight w:val="none"/>
            </w:rPr>
            <w:fldChar w:fldCharType="separate"/>
          </w:r>
          <w:r>
            <w:rPr>
              <w:highlight w:val="none"/>
            </w:rPr>
            <w:t>29</w:t>
          </w:r>
          <w:r>
            <w:rPr>
              <w:highlight w:val="none"/>
            </w:rPr>
            <w:fldChar w:fldCharType="end"/>
          </w:r>
          <w:r>
            <w:rPr>
              <w:highlight w:val="none"/>
            </w:rPr>
            <w:fldChar w:fldCharType="end"/>
          </w:r>
        </w:p>
        <w:p w14:paraId="4C159F8F">
          <w:pPr>
            <w:pStyle w:val="16"/>
            <w:tabs>
              <w:tab w:val="right" w:leader="dot" w:pos="9746"/>
            </w:tabs>
            <w:rPr>
              <w:highlight w:val="none"/>
            </w:rPr>
          </w:pPr>
          <w:r>
            <w:rPr>
              <w:highlight w:val="none"/>
            </w:rPr>
            <w:fldChar w:fldCharType="begin"/>
          </w:r>
          <w:r>
            <w:rPr>
              <w:highlight w:val="none"/>
            </w:rPr>
            <w:instrText xml:space="preserve"> HYPERLINK \l _Toc7389 </w:instrText>
          </w:r>
          <w:r>
            <w:rPr>
              <w:highlight w:val="none"/>
            </w:rPr>
            <w:fldChar w:fldCharType="separate"/>
          </w:r>
          <w:r>
            <w:rPr>
              <w:rFonts w:hint="eastAsia" w:ascii="宋体" w:hAnsi="宋体" w:eastAsia="宋体" w:cs="宋体"/>
              <w:kern w:val="2"/>
              <w:szCs w:val="24"/>
              <w:highlight w:val="none"/>
              <w:lang w:val="en-US" w:eastAsia="zh-CN" w:bidi="ar-SA"/>
            </w:rPr>
            <w:t>一、合同要求</w:t>
          </w:r>
          <w:r>
            <w:rPr>
              <w:highlight w:val="none"/>
            </w:rPr>
            <w:tab/>
          </w:r>
          <w:r>
            <w:rPr>
              <w:highlight w:val="none"/>
            </w:rPr>
            <w:fldChar w:fldCharType="begin"/>
          </w:r>
          <w:r>
            <w:rPr>
              <w:highlight w:val="none"/>
            </w:rPr>
            <w:instrText xml:space="preserve"> PAGEREF _Toc7389 \h </w:instrText>
          </w:r>
          <w:r>
            <w:rPr>
              <w:highlight w:val="none"/>
            </w:rPr>
            <w:fldChar w:fldCharType="separate"/>
          </w:r>
          <w:r>
            <w:rPr>
              <w:highlight w:val="none"/>
            </w:rPr>
            <w:t>29</w:t>
          </w:r>
          <w:r>
            <w:rPr>
              <w:highlight w:val="none"/>
            </w:rPr>
            <w:fldChar w:fldCharType="end"/>
          </w:r>
          <w:r>
            <w:rPr>
              <w:highlight w:val="none"/>
            </w:rPr>
            <w:fldChar w:fldCharType="end"/>
          </w:r>
        </w:p>
        <w:p w14:paraId="76B48664">
          <w:pPr>
            <w:pStyle w:val="16"/>
            <w:tabs>
              <w:tab w:val="right" w:leader="dot" w:pos="9746"/>
            </w:tabs>
            <w:rPr>
              <w:highlight w:val="none"/>
            </w:rPr>
          </w:pPr>
          <w:r>
            <w:rPr>
              <w:highlight w:val="none"/>
            </w:rPr>
            <w:fldChar w:fldCharType="begin"/>
          </w:r>
          <w:r>
            <w:rPr>
              <w:highlight w:val="none"/>
            </w:rPr>
            <w:instrText xml:space="preserve"> HYPERLINK \l _Toc17147 </w:instrText>
          </w:r>
          <w:r>
            <w:rPr>
              <w:highlight w:val="none"/>
            </w:rPr>
            <w:fldChar w:fldCharType="separate"/>
          </w:r>
          <w:r>
            <w:rPr>
              <w:rFonts w:hint="eastAsia" w:ascii="宋体" w:hAnsi="宋体" w:eastAsia="宋体" w:cs="宋体"/>
              <w:spacing w:val="18"/>
              <w:szCs w:val="24"/>
              <w:highlight w:val="none"/>
            </w:rPr>
            <w:t>二</w:t>
          </w:r>
          <w:r>
            <w:rPr>
              <w:rFonts w:hint="eastAsia" w:ascii="宋体" w:hAnsi="宋体" w:eastAsia="宋体" w:cs="宋体"/>
              <w:spacing w:val="18"/>
              <w:szCs w:val="24"/>
              <w:highlight w:val="none"/>
              <w:lang w:eastAsia="zh-CN"/>
            </w:rPr>
            <w:t>、</w:t>
          </w:r>
          <w:r>
            <w:rPr>
              <w:rFonts w:hint="eastAsia" w:ascii="宋体" w:hAnsi="宋体" w:eastAsia="宋体" w:cs="宋体"/>
              <w:spacing w:val="6"/>
              <w:szCs w:val="24"/>
              <w:highlight w:val="none"/>
            </w:rPr>
            <w:t>验收</w:t>
          </w:r>
          <w:r>
            <w:rPr>
              <w:highlight w:val="none"/>
            </w:rPr>
            <w:tab/>
          </w:r>
          <w:r>
            <w:rPr>
              <w:highlight w:val="none"/>
            </w:rPr>
            <w:fldChar w:fldCharType="begin"/>
          </w:r>
          <w:r>
            <w:rPr>
              <w:highlight w:val="none"/>
            </w:rPr>
            <w:instrText xml:space="preserve"> PAGEREF _Toc17147 \h </w:instrText>
          </w:r>
          <w:r>
            <w:rPr>
              <w:highlight w:val="none"/>
            </w:rPr>
            <w:fldChar w:fldCharType="separate"/>
          </w:r>
          <w:r>
            <w:rPr>
              <w:highlight w:val="none"/>
            </w:rPr>
            <w:t>34</w:t>
          </w:r>
          <w:r>
            <w:rPr>
              <w:highlight w:val="none"/>
            </w:rPr>
            <w:fldChar w:fldCharType="end"/>
          </w:r>
          <w:r>
            <w:rPr>
              <w:highlight w:val="none"/>
            </w:rPr>
            <w:fldChar w:fldCharType="end"/>
          </w:r>
        </w:p>
        <w:p w14:paraId="0A18869D">
          <w:pPr>
            <w:pStyle w:val="15"/>
            <w:tabs>
              <w:tab w:val="right" w:leader="dot" w:pos="9746"/>
            </w:tabs>
            <w:rPr>
              <w:highlight w:val="none"/>
            </w:rPr>
          </w:pPr>
          <w:r>
            <w:rPr>
              <w:highlight w:val="none"/>
            </w:rPr>
            <w:fldChar w:fldCharType="begin"/>
          </w:r>
          <w:r>
            <w:rPr>
              <w:highlight w:val="none"/>
            </w:rPr>
            <w:instrText xml:space="preserve"> HYPERLINK \l _Toc6005 </w:instrText>
          </w:r>
          <w:r>
            <w:rPr>
              <w:highlight w:val="none"/>
            </w:rPr>
            <w:fldChar w:fldCharType="separate"/>
          </w:r>
          <w:r>
            <w:rPr>
              <w:rFonts w:hint="eastAsia" w:ascii="宋体" w:eastAsia="宋体" w:cs="宋体"/>
              <w:bCs/>
              <w:szCs w:val="28"/>
              <w:highlight w:val="none"/>
              <w:lang w:eastAsia="zh-CN"/>
            </w:rPr>
            <w:t>第七章  响应文件格式与要求</w:t>
          </w:r>
          <w:r>
            <w:rPr>
              <w:highlight w:val="none"/>
            </w:rPr>
            <w:tab/>
          </w:r>
          <w:r>
            <w:rPr>
              <w:highlight w:val="none"/>
            </w:rPr>
            <w:fldChar w:fldCharType="begin"/>
          </w:r>
          <w:r>
            <w:rPr>
              <w:highlight w:val="none"/>
            </w:rPr>
            <w:instrText xml:space="preserve"> PAGEREF _Toc6005 \h </w:instrText>
          </w:r>
          <w:r>
            <w:rPr>
              <w:highlight w:val="none"/>
            </w:rPr>
            <w:fldChar w:fldCharType="separate"/>
          </w:r>
          <w:r>
            <w:rPr>
              <w:highlight w:val="none"/>
            </w:rPr>
            <w:t>36</w:t>
          </w:r>
          <w:r>
            <w:rPr>
              <w:highlight w:val="none"/>
            </w:rPr>
            <w:fldChar w:fldCharType="end"/>
          </w:r>
          <w:r>
            <w:rPr>
              <w:highlight w:val="none"/>
            </w:rPr>
            <w:fldChar w:fldCharType="end"/>
          </w:r>
        </w:p>
        <w:p w14:paraId="6ACF8DB9">
          <w:pPr>
            <w:pStyle w:val="16"/>
            <w:tabs>
              <w:tab w:val="right" w:leader="dot" w:pos="9746"/>
            </w:tabs>
            <w:rPr>
              <w:highlight w:val="none"/>
            </w:rPr>
          </w:pPr>
          <w:r>
            <w:rPr>
              <w:highlight w:val="none"/>
            </w:rPr>
            <w:fldChar w:fldCharType="begin"/>
          </w:r>
          <w:r>
            <w:rPr>
              <w:highlight w:val="none"/>
            </w:rPr>
            <w:instrText xml:space="preserve"> HYPERLINK \l _Toc14203 </w:instrText>
          </w:r>
          <w:r>
            <w:rPr>
              <w:highlight w:val="none"/>
            </w:rPr>
            <w:fldChar w:fldCharType="separate"/>
          </w:r>
          <w:r>
            <w:rPr>
              <w:rFonts w:hint="eastAsia" w:ascii="宋体" w:eastAsia="宋体" w:cs="宋体"/>
              <w:bCs/>
              <w:szCs w:val="28"/>
              <w:highlight w:val="none"/>
              <w:lang w:eastAsia="zh-CN"/>
            </w:rPr>
            <w:t>一、响应承诺书</w:t>
          </w:r>
          <w:r>
            <w:rPr>
              <w:highlight w:val="none"/>
            </w:rPr>
            <w:tab/>
          </w:r>
          <w:r>
            <w:rPr>
              <w:highlight w:val="none"/>
            </w:rPr>
            <w:fldChar w:fldCharType="begin"/>
          </w:r>
          <w:r>
            <w:rPr>
              <w:highlight w:val="none"/>
            </w:rPr>
            <w:instrText xml:space="preserve"> PAGEREF _Toc14203 \h </w:instrText>
          </w:r>
          <w:r>
            <w:rPr>
              <w:highlight w:val="none"/>
            </w:rPr>
            <w:fldChar w:fldCharType="separate"/>
          </w:r>
          <w:r>
            <w:rPr>
              <w:highlight w:val="none"/>
            </w:rPr>
            <w:t>39</w:t>
          </w:r>
          <w:r>
            <w:rPr>
              <w:highlight w:val="none"/>
            </w:rPr>
            <w:fldChar w:fldCharType="end"/>
          </w:r>
          <w:r>
            <w:rPr>
              <w:highlight w:val="none"/>
            </w:rPr>
            <w:fldChar w:fldCharType="end"/>
          </w:r>
        </w:p>
        <w:p w14:paraId="02A6C398">
          <w:pPr>
            <w:pStyle w:val="16"/>
            <w:tabs>
              <w:tab w:val="right" w:leader="dot" w:pos="9746"/>
            </w:tabs>
            <w:rPr>
              <w:highlight w:val="none"/>
            </w:rPr>
          </w:pPr>
          <w:r>
            <w:rPr>
              <w:highlight w:val="none"/>
            </w:rPr>
            <w:fldChar w:fldCharType="begin"/>
          </w:r>
          <w:r>
            <w:rPr>
              <w:highlight w:val="none"/>
            </w:rPr>
            <w:instrText xml:space="preserve"> HYPERLINK \l _Toc26939 </w:instrText>
          </w:r>
          <w:r>
            <w:rPr>
              <w:highlight w:val="none"/>
            </w:rPr>
            <w:fldChar w:fldCharType="separate"/>
          </w:r>
          <w:r>
            <w:rPr>
              <w:rFonts w:hint="eastAsia" w:ascii="宋体" w:eastAsia="宋体" w:cs="宋体"/>
              <w:bCs/>
              <w:szCs w:val="28"/>
              <w:highlight w:val="none"/>
              <w:lang w:eastAsia="zh-CN"/>
            </w:rPr>
            <w:t>二、首轮报价表</w:t>
          </w:r>
          <w:r>
            <w:rPr>
              <w:highlight w:val="none"/>
            </w:rPr>
            <w:tab/>
          </w:r>
          <w:r>
            <w:rPr>
              <w:highlight w:val="none"/>
            </w:rPr>
            <w:fldChar w:fldCharType="begin"/>
          </w:r>
          <w:r>
            <w:rPr>
              <w:highlight w:val="none"/>
            </w:rPr>
            <w:instrText xml:space="preserve"> PAGEREF _Toc26939 \h </w:instrText>
          </w:r>
          <w:r>
            <w:rPr>
              <w:highlight w:val="none"/>
            </w:rPr>
            <w:fldChar w:fldCharType="separate"/>
          </w:r>
          <w:r>
            <w:rPr>
              <w:highlight w:val="none"/>
            </w:rPr>
            <w:t>40</w:t>
          </w:r>
          <w:r>
            <w:rPr>
              <w:highlight w:val="none"/>
            </w:rPr>
            <w:fldChar w:fldCharType="end"/>
          </w:r>
          <w:r>
            <w:rPr>
              <w:highlight w:val="none"/>
            </w:rPr>
            <w:fldChar w:fldCharType="end"/>
          </w:r>
        </w:p>
        <w:p w14:paraId="2A77F0CA">
          <w:pPr>
            <w:pStyle w:val="16"/>
            <w:tabs>
              <w:tab w:val="right" w:leader="dot" w:pos="9746"/>
            </w:tabs>
            <w:rPr>
              <w:highlight w:val="none"/>
            </w:rPr>
          </w:pPr>
          <w:r>
            <w:rPr>
              <w:highlight w:val="none"/>
            </w:rPr>
            <w:fldChar w:fldCharType="begin"/>
          </w:r>
          <w:r>
            <w:rPr>
              <w:highlight w:val="none"/>
            </w:rPr>
            <w:instrText xml:space="preserve"> HYPERLINK \l _Toc8181 </w:instrText>
          </w:r>
          <w:r>
            <w:rPr>
              <w:highlight w:val="none"/>
            </w:rPr>
            <w:fldChar w:fldCharType="separate"/>
          </w:r>
          <w:r>
            <w:rPr>
              <w:rFonts w:hint="eastAsia" w:ascii="宋体" w:eastAsia="宋体" w:cs="宋体"/>
              <w:bCs/>
              <w:szCs w:val="28"/>
              <w:highlight w:val="none"/>
              <w:lang w:eastAsia="zh-CN"/>
            </w:rPr>
            <w:t>三、</w:t>
          </w:r>
          <w:r>
            <w:rPr>
              <w:rFonts w:hint="eastAsia" w:ascii="宋体" w:eastAsia="宋体" w:cs="宋体"/>
              <w:bCs/>
              <w:szCs w:val="28"/>
              <w:highlight w:val="none"/>
            </w:rPr>
            <w:t>分项报价表</w:t>
          </w:r>
          <w:r>
            <w:rPr>
              <w:highlight w:val="none"/>
            </w:rPr>
            <w:tab/>
          </w:r>
          <w:r>
            <w:rPr>
              <w:highlight w:val="none"/>
            </w:rPr>
            <w:fldChar w:fldCharType="begin"/>
          </w:r>
          <w:r>
            <w:rPr>
              <w:highlight w:val="none"/>
            </w:rPr>
            <w:instrText xml:space="preserve"> PAGEREF _Toc8181 \h </w:instrText>
          </w:r>
          <w:r>
            <w:rPr>
              <w:highlight w:val="none"/>
            </w:rPr>
            <w:fldChar w:fldCharType="separate"/>
          </w:r>
          <w:r>
            <w:rPr>
              <w:highlight w:val="none"/>
            </w:rPr>
            <w:t>41</w:t>
          </w:r>
          <w:r>
            <w:rPr>
              <w:highlight w:val="none"/>
            </w:rPr>
            <w:fldChar w:fldCharType="end"/>
          </w:r>
          <w:r>
            <w:rPr>
              <w:highlight w:val="none"/>
            </w:rPr>
            <w:fldChar w:fldCharType="end"/>
          </w:r>
        </w:p>
        <w:p w14:paraId="2212DDF5">
          <w:pPr>
            <w:pStyle w:val="16"/>
            <w:tabs>
              <w:tab w:val="right" w:leader="dot" w:pos="9746"/>
            </w:tabs>
            <w:rPr>
              <w:highlight w:val="none"/>
            </w:rPr>
          </w:pPr>
          <w:r>
            <w:rPr>
              <w:highlight w:val="none"/>
            </w:rPr>
            <w:fldChar w:fldCharType="begin"/>
          </w:r>
          <w:r>
            <w:rPr>
              <w:highlight w:val="none"/>
            </w:rPr>
            <w:instrText xml:space="preserve"> HYPERLINK \l _Toc21383 </w:instrText>
          </w:r>
          <w:r>
            <w:rPr>
              <w:highlight w:val="none"/>
            </w:rPr>
            <w:fldChar w:fldCharType="separate"/>
          </w:r>
          <w:r>
            <w:rPr>
              <w:rFonts w:hint="eastAsia" w:ascii="宋体" w:eastAsia="宋体" w:cs="宋体"/>
              <w:bCs/>
              <w:szCs w:val="28"/>
              <w:highlight w:val="none"/>
              <w:lang w:eastAsia="zh-CN"/>
            </w:rPr>
            <w:t>四、授权委托书</w:t>
          </w:r>
          <w:r>
            <w:rPr>
              <w:highlight w:val="none"/>
            </w:rPr>
            <w:tab/>
          </w:r>
          <w:r>
            <w:rPr>
              <w:highlight w:val="none"/>
            </w:rPr>
            <w:fldChar w:fldCharType="begin"/>
          </w:r>
          <w:r>
            <w:rPr>
              <w:highlight w:val="none"/>
            </w:rPr>
            <w:instrText xml:space="preserve"> PAGEREF _Toc21383 \h </w:instrText>
          </w:r>
          <w:r>
            <w:rPr>
              <w:highlight w:val="none"/>
            </w:rPr>
            <w:fldChar w:fldCharType="separate"/>
          </w:r>
          <w:r>
            <w:rPr>
              <w:highlight w:val="none"/>
            </w:rPr>
            <w:t>42</w:t>
          </w:r>
          <w:r>
            <w:rPr>
              <w:highlight w:val="none"/>
            </w:rPr>
            <w:fldChar w:fldCharType="end"/>
          </w:r>
          <w:r>
            <w:rPr>
              <w:highlight w:val="none"/>
            </w:rPr>
            <w:fldChar w:fldCharType="end"/>
          </w:r>
        </w:p>
        <w:p w14:paraId="65BA4D53">
          <w:pPr>
            <w:pStyle w:val="16"/>
            <w:tabs>
              <w:tab w:val="right" w:leader="dot" w:pos="9746"/>
            </w:tabs>
            <w:rPr>
              <w:highlight w:val="none"/>
            </w:rPr>
          </w:pPr>
          <w:r>
            <w:rPr>
              <w:highlight w:val="none"/>
            </w:rPr>
            <w:fldChar w:fldCharType="begin"/>
          </w:r>
          <w:r>
            <w:rPr>
              <w:highlight w:val="none"/>
            </w:rPr>
            <w:instrText xml:space="preserve"> HYPERLINK \l _Toc16005 </w:instrText>
          </w:r>
          <w:r>
            <w:rPr>
              <w:highlight w:val="none"/>
            </w:rPr>
            <w:fldChar w:fldCharType="separate"/>
          </w:r>
          <w:r>
            <w:rPr>
              <w:rFonts w:hint="eastAsia" w:ascii="宋体" w:eastAsia="宋体" w:cs="宋体"/>
              <w:bCs/>
              <w:szCs w:val="28"/>
              <w:highlight w:val="none"/>
              <w:lang w:eastAsia="zh-CN"/>
            </w:rPr>
            <w:t>五、缴纳磋商保证金证明材料</w:t>
          </w:r>
          <w:r>
            <w:rPr>
              <w:highlight w:val="none"/>
            </w:rPr>
            <w:tab/>
          </w:r>
          <w:r>
            <w:rPr>
              <w:highlight w:val="none"/>
            </w:rPr>
            <w:fldChar w:fldCharType="begin"/>
          </w:r>
          <w:r>
            <w:rPr>
              <w:highlight w:val="none"/>
            </w:rPr>
            <w:instrText xml:space="preserve"> PAGEREF _Toc16005 \h </w:instrText>
          </w:r>
          <w:r>
            <w:rPr>
              <w:highlight w:val="none"/>
            </w:rPr>
            <w:fldChar w:fldCharType="separate"/>
          </w:r>
          <w:r>
            <w:rPr>
              <w:highlight w:val="none"/>
            </w:rPr>
            <w:t>43</w:t>
          </w:r>
          <w:r>
            <w:rPr>
              <w:highlight w:val="none"/>
            </w:rPr>
            <w:fldChar w:fldCharType="end"/>
          </w:r>
          <w:r>
            <w:rPr>
              <w:highlight w:val="none"/>
            </w:rPr>
            <w:fldChar w:fldCharType="end"/>
          </w:r>
        </w:p>
        <w:p w14:paraId="3429092E">
          <w:pPr>
            <w:pStyle w:val="16"/>
            <w:tabs>
              <w:tab w:val="right" w:leader="dot" w:pos="9746"/>
            </w:tabs>
            <w:rPr>
              <w:highlight w:val="none"/>
            </w:rPr>
          </w:pPr>
          <w:r>
            <w:rPr>
              <w:highlight w:val="none"/>
            </w:rPr>
            <w:fldChar w:fldCharType="begin"/>
          </w:r>
          <w:r>
            <w:rPr>
              <w:highlight w:val="none"/>
            </w:rPr>
            <w:instrText xml:space="preserve"> HYPERLINK \l _Toc1435 </w:instrText>
          </w:r>
          <w:r>
            <w:rPr>
              <w:highlight w:val="none"/>
            </w:rPr>
            <w:fldChar w:fldCharType="separate"/>
          </w:r>
          <w:r>
            <w:rPr>
              <w:rFonts w:hint="eastAsia" w:ascii="宋体" w:eastAsia="宋体" w:cs="宋体"/>
              <w:bCs/>
              <w:szCs w:val="28"/>
              <w:highlight w:val="none"/>
            </w:rPr>
            <w:t>六、供应商基本情况表</w:t>
          </w:r>
          <w:r>
            <w:rPr>
              <w:highlight w:val="none"/>
            </w:rPr>
            <w:tab/>
          </w:r>
          <w:r>
            <w:rPr>
              <w:highlight w:val="none"/>
            </w:rPr>
            <w:fldChar w:fldCharType="begin"/>
          </w:r>
          <w:r>
            <w:rPr>
              <w:highlight w:val="none"/>
            </w:rPr>
            <w:instrText xml:space="preserve"> PAGEREF _Toc1435 \h </w:instrText>
          </w:r>
          <w:r>
            <w:rPr>
              <w:highlight w:val="none"/>
            </w:rPr>
            <w:fldChar w:fldCharType="separate"/>
          </w:r>
          <w:r>
            <w:rPr>
              <w:highlight w:val="none"/>
            </w:rPr>
            <w:t>44</w:t>
          </w:r>
          <w:r>
            <w:rPr>
              <w:highlight w:val="none"/>
            </w:rPr>
            <w:fldChar w:fldCharType="end"/>
          </w:r>
          <w:r>
            <w:rPr>
              <w:highlight w:val="none"/>
            </w:rPr>
            <w:fldChar w:fldCharType="end"/>
          </w:r>
        </w:p>
        <w:p w14:paraId="39775DB7">
          <w:pPr>
            <w:pStyle w:val="16"/>
            <w:tabs>
              <w:tab w:val="right" w:leader="dot" w:pos="9746"/>
            </w:tabs>
            <w:rPr>
              <w:highlight w:val="none"/>
            </w:rPr>
          </w:pPr>
          <w:r>
            <w:rPr>
              <w:highlight w:val="none"/>
            </w:rPr>
            <w:fldChar w:fldCharType="begin"/>
          </w:r>
          <w:r>
            <w:rPr>
              <w:highlight w:val="none"/>
            </w:rPr>
            <w:instrText xml:space="preserve"> HYPERLINK \l _Toc3218 </w:instrText>
          </w:r>
          <w:r>
            <w:rPr>
              <w:highlight w:val="none"/>
            </w:rPr>
            <w:fldChar w:fldCharType="separate"/>
          </w:r>
          <w:r>
            <w:rPr>
              <w:rFonts w:hint="eastAsia" w:ascii="宋体" w:eastAsia="宋体" w:cs="宋体"/>
              <w:bCs/>
              <w:szCs w:val="28"/>
              <w:highlight w:val="none"/>
              <w:lang w:eastAsia="zh-CN"/>
            </w:rPr>
            <w:t>七、具有独立承担民事责任的能力的证明材料</w:t>
          </w:r>
          <w:r>
            <w:rPr>
              <w:highlight w:val="none"/>
            </w:rPr>
            <w:tab/>
          </w:r>
          <w:r>
            <w:rPr>
              <w:highlight w:val="none"/>
            </w:rPr>
            <w:fldChar w:fldCharType="begin"/>
          </w:r>
          <w:r>
            <w:rPr>
              <w:highlight w:val="none"/>
            </w:rPr>
            <w:instrText xml:space="preserve"> PAGEREF _Toc3218 \h </w:instrText>
          </w:r>
          <w:r>
            <w:rPr>
              <w:highlight w:val="none"/>
            </w:rPr>
            <w:fldChar w:fldCharType="separate"/>
          </w:r>
          <w:r>
            <w:rPr>
              <w:highlight w:val="none"/>
            </w:rPr>
            <w:t>45</w:t>
          </w:r>
          <w:r>
            <w:rPr>
              <w:highlight w:val="none"/>
            </w:rPr>
            <w:fldChar w:fldCharType="end"/>
          </w:r>
          <w:r>
            <w:rPr>
              <w:highlight w:val="none"/>
            </w:rPr>
            <w:fldChar w:fldCharType="end"/>
          </w:r>
        </w:p>
        <w:p w14:paraId="3BF90719">
          <w:pPr>
            <w:pStyle w:val="16"/>
            <w:tabs>
              <w:tab w:val="right" w:leader="dot" w:pos="9746"/>
            </w:tabs>
            <w:rPr>
              <w:highlight w:val="none"/>
            </w:rPr>
          </w:pPr>
          <w:r>
            <w:rPr>
              <w:highlight w:val="none"/>
            </w:rPr>
            <w:fldChar w:fldCharType="begin"/>
          </w:r>
          <w:r>
            <w:rPr>
              <w:highlight w:val="none"/>
            </w:rPr>
            <w:instrText xml:space="preserve"> HYPERLINK \l _Toc17843 </w:instrText>
          </w:r>
          <w:r>
            <w:rPr>
              <w:highlight w:val="none"/>
            </w:rPr>
            <w:fldChar w:fldCharType="separate"/>
          </w:r>
          <w:r>
            <w:rPr>
              <w:rFonts w:hint="eastAsia" w:ascii="宋体" w:eastAsia="宋体" w:cs="宋体"/>
              <w:bCs/>
              <w:szCs w:val="28"/>
              <w:highlight w:val="none"/>
              <w:lang w:eastAsia="zh-CN"/>
            </w:rPr>
            <w:t>八、具有良好的商业信誉和健全的财务会计制度的相关材料</w:t>
          </w:r>
          <w:r>
            <w:rPr>
              <w:highlight w:val="none"/>
            </w:rPr>
            <w:tab/>
          </w:r>
          <w:r>
            <w:rPr>
              <w:highlight w:val="none"/>
            </w:rPr>
            <w:fldChar w:fldCharType="begin"/>
          </w:r>
          <w:r>
            <w:rPr>
              <w:highlight w:val="none"/>
            </w:rPr>
            <w:instrText xml:space="preserve"> PAGEREF _Toc17843 \h </w:instrText>
          </w:r>
          <w:r>
            <w:rPr>
              <w:highlight w:val="none"/>
            </w:rPr>
            <w:fldChar w:fldCharType="separate"/>
          </w:r>
          <w:r>
            <w:rPr>
              <w:highlight w:val="none"/>
            </w:rPr>
            <w:t>46</w:t>
          </w:r>
          <w:r>
            <w:rPr>
              <w:highlight w:val="none"/>
            </w:rPr>
            <w:fldChar w:fldCharType="end"/>
          </w:r>
          <w:r>
            <w:rPr>
              <w:highlight w:val="none"/>
            </w:rPr>
            <w:fldChar w:fldCharType="end"/>
          </w:r>
        </w:p>
        <w:p w14:paraId="1E728F21">
          <w:pPr>
            <w:pStyle w:val="16"/>
            <w:tabs>
              <w:tab w:val="right" w:leader="dot" w:pos="9746"/>
            </w:tabs>
            <w:rPr>
              <w:highlight w:val="none"/>
            </w:rPr>
          </w:pPr>
          <w:r>
            <w:rPr>
              <w:highlight w:val="none"/>
            </w:rPr>
            <w:fldChar w:fldCharType="begin"/>
          </w:r>
          <w:r>
            <w:rPr>
              <w:highlight w:val="none"/>
            </w:rPr>
            <w:instrText xml:space="preserve"> HYPERLINK \l _Toc18482 </w:instrText>
          </w:r>
          <w:r>
            <w:rPr>
              <w:highlight w:val="none"/>
            </w:rPr>
            <w:fldChar w:fldCharType="separate"/>
          </w:r>
          <w:r>
            <w:rPr>
              <w:rFonts w:hint="eastAsia" w:ascii="宋体" w:eastAsia="宋体" w:cs="宋体"/>
              <w:bCs/>
              <w:szCs w:val="28"/>
              <w:highlight w:val="none"/>
              <w:lang w:eastAsia="zh-CN"/>
            </w:rPr>
            <w:t>九、依法缴纳税收和社会保障资金的良好记录的相关材料</w:t>
          </w:r>
          <w:r>
            <w:rPr>
              <w:highlight w:val="none"/>
            </w:rPr>
            <w:tab/>
          </w:r>
          <w:r>
            <w:rPr>
              <w:highlight w:val="none"/>
            </w:rPr>
            <w:fldChar w:fldCharType="begin"/>
          </w:r>
          <w:r>
            <w:rPr>
              <w:highlight w:val="none"/>
            </w:rPr>
            <w:instrText xml:space="preserve"> PAGEREF _Toc18482 \h </w:instrText>
          </w:r>
          <w:r>
            <w:rPr>
              <w:highlight w:val="none"/>
            </w:rPr>
            <w:fldChar w:fldCharType="separate"/>
          </w:r>
          <w:r>
            <w:rPr>
              <w:highlight w:val="none"/>
            </w:rPr>
            <w:t>47</w:t>
          </w:r>
          <w:r>
            <w:rPr>
              <w:highlight w:val="none"/>
            </w:rPr>
            <w:fldChar w:fldCharType="end"/>
          </w:r>
          <w:r>
            <w:rPr>
              <w:highlight w:val="none"/>
            </w:rPr>
            <w:fldChar w:fldCharType="end"/>
          </w:r>
        </w:p>
        <w:p w14:paraId="45400EE6">
          <w:pPr>
            <w:pStyle w:val="16"/>
            <w:tabs>
              <w:tab w:val="right" w:leader="dot" w:pos="9746"/>
            </w:tabs>
            <w:rPr>
              <w:highlight w:val="none"/>
            </w:rPr>
          </w:pPr>
          <w:r>
            <w:rPr>
              <w:highlight w:val="none"/>
            </w:rPr>
            <w:fldChar w:fldCharType="begin"/>
          </w:r>
          <w:r>
            <w:rPr>
              <w:highlight w:val="none"/>
            </w:rPr>
            <w:instrText xml:space="preserve"> HYPERLINK \l _Toc12100 </w:instrText>
          </w:r>
          <w:r>
            <w:rPr>
              <w:highlight w:val="none"/>
            </w:rPr>
            <w:fldChar w:fldCharType="separate"/>
          </w:r>
          <w:r>
            <w:rPr>
              <w:rFonts w:hint="eastAsia" w:ascii="宋体" w:eastAsia="宋体" w:cs="宋体"/>
              <w:bCs/>
              <w:szCs w:val="28"/>
              <w:highlight w:val="none"/>
              <w:lang w:eastAsia="zh-CN"/>
            </w:rPr>
            <w:t>十、具有履行合同所必需的设备和专业技术能力的相关材料</w:t>
          </w:r>
          <w:r>
            <w:rPr>
              <w:highlight w:val="none"/>
            </w:rPr>
            <w:tab/>
          </w:r>
          <w:r>
            <w:rPr>
              <w:highlight w:val="none"/>
            </w:rPr>
            <w:fldChar w:fldCharType="begin"/>
          </w:r>
          <w:r>
            <w:rPr>
              <w:highlight w:val="none"/>
            </w:rPr>
            <w:instrText xml:space="preserve"> PAGEREF _Toc12100 \h </w:instrText>
          </w:r>
          <w:r>
            <w:rPr>
              <w:highlight w:val="none"/>
            </w:rPr>
            <w:fldChar w:fldCharType="separate"/>
          </w:r>
          <w:r>
            <w:rPr>
              <w:highlight w:val="none"/>
            </w:rPr>
            <w:t>48</w:t>
          </w:r>
          <w:r>
            <w:rPr>
              <w:highlight w:val="none"/>
            </w:rPr>
            <w:fldChar w:fldCharType="end"/>
          </w:r>
          <w:r>
            <w:rPr>
              <w:highlight w:val="none"/>
            </w:rPr>
            <w:fldChar w:fldCharType="end"/>
          </w:r>
        </w:p>
        <w:p w14:paraId="3B07FB16">
          <w:pPr>
            <w:pStyle w:val="16"/>
            <w:tabs>
              <w:tab w:val="right" w:leader="dot" w:pos="9746"/>
            </w:tabs>
            <w:rPr>
              <w:highlight w:val="none"/>
            </w:rPr>
          </w:pPr>
          <w:r>
            <w:rPr>
              <w:highlight w:val="none"/>
            </w:rPr>
            <w:fldChar w:fldCharType="begin"/>
          </w:r>
          <w:r>
            <w:rPr>
              <w:highlight w:val="none"/>
            </w:rPr>
            <w:instrText xml:space="preserve"> HYPERLINK \l _Toc1487 </w:instrText>
          </w:r>
          <w:r>
            <w:rPr>
              <w:highlight w:val="none"/>
            </w:rPr>
            <w:fldChar w:fldCharType="separate"/>
          </w:r>
          <w:r>
            <w:rPr>
              <w:rFonts w:hint="eastAsia" w:ascii="宋体" w:eastAsia="宋体" w:cs="宋体"/>
              <w:bCs/>
              <w:szCs w:val="28"/>
              <w:highlight w:val="none"/>
              <w:lang w:eastAsia="zh-CN"/>
            </w:rPr>
            <w:t>十一、参加政府采购活动前三年内在经营活动中没有重大违法记录的书面声明</w:t>
          </w:r>
          <w:r>
            <w:rPr>
              <w:highlight w:val="none"/>
            </w:rPr>
            <w:tab/>
          </w:r>
          <w:r>
            <w:rPr>
              <w:highlight w:val="none"/>
            </w:rPr>
            <w:fldChar w:fldCharType="begin"/>
          </w:r>
          <w:r>
            <w:rPr>
              <w:highlight w:val="none"/>
            </w:rPr>
            <w:instrText xml:space="preserve"> PAGEREF _Toc1487 \h </w:instrText>
          </w:r>
          <w:r>
            <w:rPr>
              <w:highlight w:val="none"/>
            </w:rPr>
            <w:fldChar w:fldCharType="separate"/>
          </w:r>
          <w:r>
            <w:rPr>
              <w:highlight w:val="none"/>
            </w:rPr>
            <w:t>49</w:t>
          </w:r>
          <w:r>
            <w:rPr>
              <w:highlight w:val="none"/>
            </w:rPr>
            <w:fldChar w:fldCharType="end"/>
          </w:r>
          <w:r>
            <w:rPr>
              <w:highlight w:val="none"/>
            </w:rPr>
            <w:fldChar w:fldCharType="end"/>
          </w:r>
        </w:p>
        <w:p w14:paraId="19829E11">
          <w:pPr>
            <w:pStyle w:val="16"/>
            <w:tabs>
              <w:tab w:val="right" w:leader="dot" w:pos="9746"/>
            </w:tabs>
            <w:rPr>
              <w:highlight w:val="none"/>
            </w:rPr>
          </w:pPr>
          <w:r>
            <w:rPr>
              <w:highlight w:val="none"/>
            </w:rPr>
            <w:fldChar w:fldCharType="begin"/>
          </w:r>
          <w:r>
            <w:rPr>
              <w:highlight w:val="none"/>
            </w:rPr>
            <w:instrText xml:space="preserve"> HYPERLINK \l _Toc6296 </w:instrText>
          </w:r>
          <w:r>
            <w:rPr>
              <w:highlight w:val="none"/>
            </w:rPr>
            <w:fldChar w:fldCharType="separate"/>
          </w:r>
          <w:r>
            <w:rPr>
              <w:rFonts w:hint="eastAsia" w:ascii="宋体" w:eastAsia="宋体" w:cs="宋体"/>
              <w:bCs/>
              <w:szCs w:val="28"/>
              <w:highlight w:val="none"/>
              <w:lang w:eastAsia="zh-CN"/>
            </w:rPr>
            <w:t>十二、联合体协议书</w:t>
          </w:r>
          <w:r>
            <w:rPr>
              <w:highlight w:val="none"/>
            </w:rPr>
            <w:tab/>
          </w:r>
          <w:r>
            <w:rPr>
              <w:highlight w:val="none"/>
            </w:rPr>
            <w:fldChar w:fldCharType="begin"/>
          </w:r>
          <w:r>
            <w:rPr>
              <w:highlight w:val="none"/>
            </w:rPr>
            <w:instrText xml:space="preserve"> PAGEREF _Toc6296 \h </w:instrText>
          </w:r>
          <w:r>
            <w:rPr>
              <w:highlight w:val="none"/>
            </w:rPr>
            <w:fldChar w:fldCharType="separate"/>
          </w:r>
          <w:r>
            <w:rPr>
              <w:highlight w:val="none"/>
            </w:rPr>
            <w:t>50</w:t>
          </w:r>
          <w:r>
            <w:rPr>
              <w:highlight w:val="none"/>
            </w:rPr>
            <w:fldChar w:fldCharType="end"/>
          </w:r>
          <w:r>
            <w:rPr>
              <w:highlight w:val="none"/>
            </w:rPr>
            <w:fldChar w:fldCharType="end"/>
          </w:r>
        </w:p>
        <w:p w14:paraId="10EEBF40">
          <w:pPr>
            <w:pStyle w:val="16"/>
            <w:tabs>
              <w:tab w:val="right" w:leader="dot" w:pos="9746"/>
            </w:tabs>
            <w:rPr>
              <w:highlight w:val="none"/>
            </w:rPr>
          </w:pPr>
          <w:r>
            <w:rPr>
              <w:highlight w:val="none"/>
            </w:rPr>
            <w:fldChar w:fldCharType="begin"/>
          </w:r>
          <w:r>
            <w:rPr>
              <w:highlight w:val="none"/>
            </w:rPr>
            <w:instrText xml:space="preserve"> HYPERLINK \l _Toc12275 </w:instrText>
          </w:r>
          <w:r>
            <w:rPr>
              <w:highlight w:val="none"/>
            </w:rPr>
            <w:fldChar w:fldCharType="separate"/>
          </w:r>
          <w:r>
            <w:rPr>
              <w:rFonts w:hint="eastAsia" w:ascii="宋体" w:eastAsia="宋体" w:cs="宋体"/>
              <w:bCs/>
              <w:szCs w:val="28"/>
              <w:highlight w:val="none"/>
              <w:lang w:eastAsia="zh-CN"/>
            </w:rPr>
            <w:t>十三、</w:t>
          </w:r>
          <w:r>
            <w:rPr>
              <w:rFonts w:hint="eastAsia" w:ascii="宋体" w:eastAsia="宋体" w:cs="宋体"/>
              <w:bCs/>
              <w:szCs w:val="28"/>
              <w:highlight w:val="none"/>
            </w:rPr>
            <w:t>中小企业声明函（工程、服务）</w:t>
          </w:r>
          <w:r>
            <w:rPr>
              <w:highlight w:val="none"/>
            </w:rPr>
            <w:tab/>
          </w:r>
          <w:r>
            <w:rPr>
              <w:highlight w:val="none"/>
            </w:rPr>
            <w:fldChar w:fldCharType="begin"/>
          </w:r>
          <w:r>
            <w:rPr>
              <w:highlight w:val="none"/>
            </w:rPr>
            <w:instrText xml:space="preserve"> PAGEREF _Toc12275 \h </w:instrText>
          </w:r>
          <w:r>
            <w:rPr>
              <w:highlight w:val="none"/>
            </w:rPr>
            <w:fldChar w:fldCharType="separate"/>
          </w:r>
          <w:r>
            <w:rPr>
              <w:highlight w:val="none"/>
            </w:rPr>
            <w:t>51</w:t>
          </w:r>
          <w:r>
            <w:rPr>
              <w:highlight w:val="none"/>
            </w:rPr>
            <w:fldChar w:fldCharType="end"/>
          </w:r>
          <w:r>
            <w:rPr>
              <w:highlight w:val="none"/>
            </w:rPr>
            <w:fldChar w:fldCharType="end"/>
          </w:r>
        </w:p>
        <w:p w14:paraId="0B62F75C">
          <w:pPr>
            <w:pStyle w:val="16"/>
            <w:tabs>
              <w:tab w:val="right" w:leader="dot" w:pos="9746"/>
            </w:tabs>
            <w:rPr>
              <w:highlight w:val="none"/>
            </w:rPr>
          </w:pPr>
          <w:r>
            <w:rPr>
              <w:highlight w:val="none"/>
            </w:rPr>
            <w:fldChar w:fldCharType="begin"/>
          </w:r>
          <w:r>
            <w:rPr>
              <w:highlight w:val="none"/>
            </w:rPr>
            <w:instrText xml:space="preserve"> HYPERLINK \l _Toc489 </w:instrText>
          </w:r>
          <w:r>
            <w:rPr>
              <w:highlight w:val="none"/>
            </w:rPr>
            <w:fldChar w:fldCharType="separate"/>
          </w:r>
          <w:r>
            <w:rPr>
              <w:rFonts w:hint="eastAsia" w:ascii="宋体" w:eastAsia="宋体" w:cs="宋体"/>
              <w:bCs/>
              <w:szCs w:val="28"/>
              <w:highlight w:val="none"/>
              <w:lang w:eastAsia="zh-CN"/>
            </w:rPr>
            <w:t>十四、监狱企业证明文件</w:t>
          </w:r>
          <w:r>
            <w:rPr>
              <w:highlight w:val="none"/>
            </w:rPr>
            <w:tab/>
          </w:r>
          <w:r>
            <w:rPr>
              <w:highlight w:val="none"/>
            </w:rPr>
            <w:fldChar w:fldCharType="begin"/>
          </w:r>
          <w:r>
            <w:rPr>
              <w:highlight w:val="none"/>
            </w:rPr>
            <w:instrText xml:space="preserve"> PAGEREF _Toc489 \h </w:instrText>
          </w:r>
          <w:r>
            <w:rPr>
              <w:highlight w:val="none"/>
            </w:rPr>
            <w:fldChar w:fldCharType="separate"/>
          </w:r>
          <w:r>
            <w:rPr>
              <w:highlight w:val="none"/>
            </w:rPr>
            <w:t>52</w:t>
          </w:r>
          <w:r>
            <w:rPr>
              <w:highlight w:val="none"/>
            </w:rPr>
            <w:fldChar w:fldCharType="end"/>
          </w:r>
          <w:r>
            <w:rPr>
              <w:highlight w:val="none"/>
            </w:rPr>
            <w:fldChar w:fldCharType="end"/>
          </w:r>
        </w:p>
        <w:p w14:paraId="20379390">
          <w:pPr>
            <w:pStyle w:val="16"/>
            <w:tabs>
              <w:tab w:val="right" w:leader="dot" w:pos="9746"/>
            </w:tabs>
            <w:rPr>
              <w:highlight w:val="none"/>
            </w:rPr>
          </w:pPr>
          <w:r>
            <w:rPr>
              <w:highlight w:val="none"/>
            </w:rPr>
            <w:fldChar w:fldCharType="begin"/>
          </w:r>
          <w:r>
            <w:rPr>
              <w:highlight w:val="none"/>
            </w:rPr>
            <w:instrText xml:space="preserve"> HYPERLINK \l _Toc28256 </w:instrText>
          </w:r>
          <w:r>
            <w:rPr>
              <w:highlight w:val="none"/>
            </w:rPr>
            <w:fldChar w:fldCharType="separate"/>
          </w:r>
          <w:r>
            <w:rPr>
              <w:rFonts w:hint="eastAsia" w:ascii="宋体" w:hAnsi="宋体" w:eastAsia="宋体" w:cs="宋体"/>
              <w:bCs/>
              <w:kern w:val="0"/>
              <w:szCs w:val="28"/>
              <w:highlight w:val="none"/>
            </w:rPr>
            <w:t>十五、残疾人福利性单位声明函</w:t>
          </w:r>
          <w:r>
            <w:rPr>
              <w:highlight w:val="none"/>
            </w:rPr>
            <w:tab/>
          </w:r>
          <w:r>
            <w:rPr>
              <w:highlight w:val="none"/>
            </w:rPr>
            <w:fldChar w:fldCharType="begin"/>
          </w:r>
          <w:r>
            <w:rPr>
              <w:highlight w:val="none"/>
            </w:rPr>
            <w:instrText xml:space="preserve"> PAGEREF _Toc28256 \h </w:instrText>
          </w:r>
          <w:r>
            <w:rPr>
              <w:highlight w:val="none"/>
            </w:rPr>
            <w:fldChar w:fldCharType="separate"/>
          </w:r>
          <w:r>
            <w:rPr>
              <w:highlight w:val="none"/>
            </w:rPr>
            <w:t>53</w:t>
          </w:r>
          <w:r>
            <w:rPr>
              <w:highlight w:val="none"/>
            </w:rPr>
            <w:fldChar w:fldCharType="end"/>
          </w:r>
          <w:r>
            <w:rPr>
              <w:highlight w:val="none"/>
            </w:rPr>
            <w:fldChar w:fldCharType="end"/>
          </w:r>
        </w:p>
        <w:p w14:paraId="7C030748">
          <w:pPr>
            <w:pStyle w:val="16"/>
            <w:tabs>
              <w:tab w:val="right" w:leader="dot" w:pos="9746"/>
            </w:tabs>
            <w:rPr>
              <w:highlight w:val="none"/>
            </w:rPr>
          </w:pPr>
          <w:r>
            <w:rPr>
              <w:highlight w:val="none"/>
            </w:rPr>
            <w:fldChar w:fldCharType="begin"/>
          </w:r>
          <w:r>
            <w:rPr>
              <w:highlight w:val="none"/>
            </w:rPr>
            <w:instrText xml:space="preserve"> HYPERLINK \l _Toc17059 </w:instrText>
          </w:r>
          <w:r>
            <w:rPr>
              <w:highlight w:val="none"/>
            </w:rPr>
            <w:fldChar w:fldCharType="separate"/>
          </w:r>
          <w:r>
            <w:rPr>
              <w:rFonts w:hint="eastAsia" w:ascii="宋体" w:eastAsia="宋体" w:cs="宋体"/>
              <w:bCs/>
              <w:szCs w:val="28"/>
              <w:highlight w:val="none"/>
              <w:lang w:eastAsia="zh-CN"/>
            </w:rPr>
            <w:t>十六、主要商务要求承诺书</w:t>
          </w:r>
          <w:r>
            <w:rPr>
              <w:highlight w:val="none"/>
            </w:rPr>
            <w:tab/>
          </w:r>
          <w:r>
            <w:rPr>
              <w:highlight w:val="none"/>
            </w:rPr>
            <w:fldChar w:fldCharType="begin"/>
          </w:r>
          <w:r>
            <w:rPr>
              <w:highlight w:val="none"/>
            </w:rPr>
            <w:instrText xml:space="preserve"> PAGEREF _Toc17059 \h </w:instrText>
          </w:r>
          <w:r>
            <w:rPr>
              <w:highlight w:val="none"/>
            </w:rPr>
            <w:fldChar w:fldCharType="separate"/>
          </w:r>
          <w:r>
            <w:rPr>
              <w:highlight w:val="none"/>
            </w:rPr>
            <w:t>54</w:t>
          </w:r>
          <w:r>
            <w:rPr>
              <w:highlight w:val="none"/>
            </w:rPr>
            <w:fldChar w:fldCharType="end"/>
          </w:r>
          <w:r>
            <w:rPr>
              <w:highlight w:val="none"/>
            </w:rPr>
            <w:fldChar w:fldCharType="end"/>
          </w:r>
        </w:p>
        <w:p w14:paraId="74F9BB4D">
          <w:pPr>
            <w:pStyle w:val="16"/>
            <w:tabs>
              <w:tab w:val="right" w:leader="dot" w:pos="9746"/>
            </w:tabs>
            <w:rPr>
              <w:highlight w:val="none"/>
            </w:rPr>
          </w:pPr>
          <w:r>
            <w:rPr>
              <w:highlight w:val="none"/>
            </w:rPr>
            <w:fldChar w:fldCharType="begin"/>
          </w:r>
          <w:r>
            <w:rPr>
              <w:highlight w:val="none"/>
            </w:rPr>
            <w:instrText xml:space="preserve"> HYPERLINK \l _Toc30420 </w:instrText>
          </w:r>
          <w:r>
            <w:rPr>
              <w:highlight w:val="none"/>
            </w:rPr>
            <w:fldChar w:fldCharType="separate"/>
          </w:r>
          <w:r>
            <w:rPr>
              <w:rFonts w:hint="eastAsia" w:ascii="宋体" w:eastAsia="宋体" w:cs="宋体"/>
              <w:bCs/>
              <w:szCs w:val="28"/>
              <w:highlight w:val="none"/>
              <w:lang w:eastAsia="zh-CN"/>
            </w:rPr>
            <w:t>十七、技术偏离表</w:t>
          </w:r>
          <w:r>
            <w:rPr>
              <w:highlight w:val="none"/>
            </w:rPr>
            <w:tab/>
          </w:r>
          <w:r>
            <w:rPr>
              <w:highlight w:val="none"/>
            </w:rPr>
            <w:fldChar w:fldCharType="begin"/>
          </w:r>
          <w:r>
            <w:rPr>
              <w:highlight w:val="none"/>
            </w:rPr>
            <w:instrText xml:space="preserve"> PAGEREF _Toc30420 \h </w:instrText>
          </w:r>
          <w:r>
            <w:rPr>
              <w:highlight w:val="none"/>
            </w:rPr>
            <w:fldChar w:fldCharType="separate"/>
          </w:r>
          <w:r>
            <w:rPr>
              <w:highlight w:val="none"/>
            </w:rPr>
            <w:t>55</w:t>
          </w:r>
          <w:r>
            <w:rPr>
              <w:highlight w:val="none"/>
            </w:rPr>
            <w:fldChar w:fldCharType="end"/>
          </w:r>
          <w:r>
            <w:rPr>
              <w:highlight w:val="none"/>
            </w:rPr>
            <w:fldChar w:fldCharType="end"/>
          </w:r>
        </w:p>
        <w:p w14:paraId="51C42C21">
          <w:pPr>
            <w:pStyle w:val="16"/>
            <w:tabs>
              <w:tab w:val="right" w:leader="dot" w:pos="9746"/>
            </w:tabs>
            <w:rPr>
              <w:highlight w:val="none"/>
            </w:rPr>
          </w:pPr>
          <w:r>
            <w:rPr>
              <w:highlight w:val="none"/>
            </w:rPr>
            <w:fldChar w:fldCharType="begin"/>
          </w:r>
          <w:r>
            <w:rPr>
              <w:highlight w:val="none"/>
            </w:rPr>
            <w:instrText xml:space="preserve"> HYPERLINK \l _Toc3454 </w:instrText>
          </w:r>
          <w:r>
            <w:rPr>
              <w:highlight w:val="none"/>
            </w:rPr>
            <w:fldChar w:fldCharType="separate"/>
          </w:r>
          <w:r>
            <w:rPr>
              <w:rFonts w:hint="eastAsia" w:ascii="宋体" w:eastAsia="宋体" w:cs="宋体"/>
              <w:bCs/>
              <w:szCs w:val="28"/>
              <w:highlight w:val="none"/>
              <w:lang w:eastAsia="zh-CN"/>
            </w:rPr>
            <w:t>十八、项目组成人员一览表</w:t>
          </w:r>
          <w:r>
            <w:rPr>
              <w:highlight w:val="none"/>
            </w:rPr>
            <w:tab/>
          </w:r>
          <w:r>
            <w:rPr>
              <w:highlight w:val="none"/>
            </w:rPr>
            <w:fldChar w:fldCharType="begin"/>
          </w:r>
          <w:r>
            <w:rPr>
              <w:highlight w:val="none"/>
            </w:rPr>
            <w:instrText xml:space="preserve"> PAGEREF _Toc3454 \h </w:instrText>
          </w:r>
          <w:r>
            <w:rPr>
              <w:highlight w:val="none"/>
            </w:rPr>
            <w:fldChar w:fldCharType="separate"/>
          </w:r>
          <w:r>
            <w:rPr>
              <w:highlight w:val="none"/>
            </w:rPr>
            <w:t>56</w:t>
          </w:r>
          <w:r>
            <w:rPr>
              <w:highlight w:val="none"/>
            </w:rPr>
            <w:fldChar w:fldCharType="end"/>
          </w:r>
          <w:r>
            <w:rPr>
              <w:highlight w:val="none"/>
            </w:rPr>
            <w:fldChar w:fldCharType="end"/>
          </w:r>
        </w:p>
        <w:p w14:paraId="2B9CA768">
          <w:pPr>
            <w:pStyle w:val="16"/>
            <w:tabs>
              <w:tab w:val="right" w:leader="dot" w:pos="9746"/>
            </w:tabs>
            <w:rPr>
              <w:highlight w:val="none"/>
            </w:rPr>
          </w:pPr>
          <w:r>
            <w:rPr>
              <w:highlight w:val="none"/>
            </w:rPr>
            <w:fldChar w:fldCharType="begin"/>
          </w:r>
          <w:r>
            <w:rPr>
              <w:highlight w:val="none"/>
            </w:rPr>
            <w:instrText xml:space="preserve"> HYPERLINK \l _Toc7484 </w:instrText>
          </w:r>
          <w:r>
            <w:rPr>
              <w:highlight w:val="none"/>
            </w:rPr>
            <w:fldChar w:fldCharType="separate"/>
          </w:r>
          <w:r>
            <w:rPr>
              <w:rFonts w:hint="eastAsia" w:ascii="宋体" w:eastAsia="宋体" w:cs="宋体"/>
              <w:bCs/>
              <w:szCs w:val="28"/>
              <w:highlight w:val="none"/>
              <w:lang w:eastAsia="zh-CN"/>
            </w:rPr>
            <w:t>十九、项目实施方案、质量保证及售后服务承诺等</w:t>
          </w:r>
          <w:r>
            <w:rPr>
              <w:highlight w:val="none"/>
            </w:rPr>
            <w:tab/>
          </w:r>
          <w:r>
            <w:rPr>
              <w:highlight w:val="none"/>
            </w:rPr>
            <w:fldChar w:fldCharType="begin"/>
          </w:r>
          <w:r>
            <w:rPr>
              <w:highlight w:val="none"/>
            </w:rPr>
            <w:instrText xml:space="preserve"> PAGEREF _Toc7484 \h </w:instrText>
          </w:r>
          <w:r>
            <w:rPr>
              <w:highlight w:val="none"/>
            </w:rPr>
            <w:fldChar w:fldCharType="separate"/>
          </w:r>
          <w:r>
            <w:rPr>
              <w:highlight w:val="none"/>
            </w:rPr>
            <w:t>57</w:t>
          </w:r>
          <w:r>
            <w:rPr>
              <w:highlight w:val="none"/>
            </w:rPr>
            <w:fldChar w:fldCharType="end"/>
          </w:r>
          <w:r>
            <w:rPr>
              <w:highlight w:val="none"/>
            </w:rPr>
            <w:fldChar w:fldCharType="end"/>
          </w:r>
        </w:p>
        <w:p w14:paraId="21B80EC9">
          <w:pPr>
            <w:pStyle w:val="16"/>
            <w:tabs>
              <w:tab w:val="right" w:leader="dot" w:pos="9746"/>
            </w:tabs>
            <w:rPr>
              <w:highlight w:val="none"/>
            </w:rPr>
          </w:pPr>
          <w:r>
            <w:rPr>
              <w:highlight w:val="none"/>
            </w:rPr>
            <w:fldChar w:fldCharType="begin"/>
          </w:r>
          <w:r>
            <w:rPr>
              <w:highlight w:val="none"/>
            </w:rPr>
            <w:instrText xml:space="preserve"> HYPERLINK \l _Toc27268 </w:instrText>
          </w:r>
          <w:r>
            <w:rPr>
              <w:highlight w:val="none"/>
            </w:rPr>
            <w:fldChar w:fldCharType="separate"/>
          </w:r>
          <w:r>
            <w:rPr>
              <w:rFonts w:hint="eastAsia" w:ascii="宋体" w:eastAsia="宋体" w:cs="宋体"/>
              <w:bCs/>
              <w:szCs w:val="28"/>
              <w:highlight w:val="none"/>
              <w:lang w:eastAsia="zh-CN"/>
            </w:rPr>
            <w:t>二十、供应商业绩情况表</w:t>
          </w:r>
          <w:r>
            <w:rPr>
              <w:highlight w:val="none"/>
            </w:rPr>
            <w:tab/>
          </w:r>
          <w:r>
            <w:rPr>
              <w:highlight w:val="none"/>
            </w:rPr>
            <w:fldChar w:fldCharType="begin"/>
          </w:r>
          <w:r>
            <w:rPr>
              <w:highlight w:val="none"/>
            </w:rPr>
            <w:instrText xml:space="preserve"> PAGEREF _Toc27268 \h </w:instrText>
          </w:r>
          <w:r>
            <w:rPr>
              <w:highlight w:val="none"/>
            </w:rPr>
            <w:fldChar w:fldCharType="separate"/>
          </w:r>
          <w:r>
            <w:rPr>
              <w:highlight w:val="none"/>
            </w:rPr>
            <w:t>58</w:t>
          </w:r>
          <w:r>
            <w:rPr>
              <w:highlight w:val="none"/>
            </w:rPr>
            <w:fldChar w:fldCharType="end"/>
          </w:r>
          <w:r>
            <w:rPr>
              <w:highlight w:val="none"/>
            </w:rPr>
            <w:fldChar w:fldCharType="end"/>
          </w:r>
        </w:p>
        <w:p w14:paraId="3F2C3716">
          <w:pPr>
            <w:pStyle w:val="16"/>
            <w:tabs>
              <w:tab w:val="right" w:leader="dot" w:pos="9746"/>
            </w:tabs>
            <w:rPr>
              <w:highlight w:val="none"/>
            </w:rPr>
          </w:pPr>
          <w:r>
            <w:rPr>
              <w:highlight w:val="none"/>
            </w:rPr>
            <w:fldChar w:fldCharType="begin"/>
          </w:r>
          <w:r>
            <w:rPr>
              <w:highlight w:val="none"/>
            </w:rPr>
            <w:instrText xml:space="preserve"> HYPERLINK \l _Toc26135 </w:instrText>
          </w:r>
          <w:r>
            <w:rPr>
              <w:highlight w:val="none"/>
            </w:rPr>
            <w:fldChar w:fldCharType="separate"/>
          </w:r>
          <w:r>
            <w:rPr>
              <w:rFonts w:hint="eastAsia" w:ascii="宋体" w:eastAsia="宋体" w:cs="宋体"/>
              <w:bCs/>
              <w:szCs w:val="28"/>
              <w:highlight w:val="none"/>
              <w:lang w:eastAsia="zh-CN"/>
            </w:rPr>
            <w:t>二十一、其他证明材料</w:t>
          </w:r>
          <w:r>
            <w:rPr>
              <w:highlight w:val="none"/>
            </w:rPr>
            <w:tab/>
          </w:r>
          <w:r>
            <w:rPr>
              <w:highlight w:val="none"/>
            </w:rPr>
            <w:fldChar w:fldCharType="begin"/>
          </w:r>
          <w:r>
            <w:rPr>
              <w:highlight w:val="none"/>
            </w:rPr>
            <w:instrText xml:space="preserve"> PAGEREF _Toc26135 \h </w:instrText>
          </w:r>
          <w:r>
            <w:rPr>
              <w:highlight w:val="none"/>
            </w:rPr>
            <w:fldChar w:fldCharType="separate"/>
          </w:r>
          <w:r>
            <w:rPr>
              <w:highlight w:val="none"/>
            </w:rPr>
            <w:t>59</w:t>
          </w:r>
          <w:r>
            <w:rPr>
              <w:highlight w:val="none"/>
            </w:rPr>
            <w:fldChar w:fldCharType="end"/>
          </w:r>
          <w:r>
            <w:rPr>
              <w:highlight w:val="none"/>
            </w:rPr>
            <w:fldChar w:fldCharType="end"/>
          </w:r>
        </w:p>
        <w:p w14:paraId="3F68AE36">
          <w:pPr>
            <w:rPr>
              <w:highlight w:val="none"/>
            </w:rPr>
          </w:pPr>
          <w:r>
            <w:rPr>
              <w:highlight w:val="none"/>
            </w:rPr>
            <w:fldChar w:fldCharType="end"/>
          </w:r>
        </w:p>
      </w:sdtContent>
    </w:sdt>
    <w:p w14:paraId="43A7B3CB">
      <w:pPr>
        <w:rPr>
          <w:highlight w:val="none"/>
        </w:rPr>
      </w:pPr>
    </w:p>
    <w:p w14:paraId="24938602">
      <w:pPr>
        <w:kinsoku/>
        <w:spacing w:line="360" w:lineRule="auto"/>
        <w:ind w:firstLine="562" w:firstLineChars="200"/>
        <w:jc w:val="center"/>
        <w:outlineLvl w:val="0"/>
        <w:rPr>
          <w:rFonts w:hint="eastAsia" w:ascii="宋体" w:eastAsia="宋体" w:cs="宋体"/>
          <w:b/>
          <w:bCs/>
          <w:color w:val="auto"/>
          <w:sz w:val="28"/>
          <w:szCs w:val="28"/>
          <w:highlight w:val="none"/>
          <w:lang w:eastAsia="zh-CN"/>
        </w:rPr>
        <w:sectPr>
          <w:headerReference r:id="rId4" w:type="default"/>
          <w:footerReference r:id="rId5" w:type="default"/>
          <w:pgSz w:w="11906" w:h="16838"/>
          <w:pgMar w:top="1440" w:right="1080" w:bottom="1440" w:left="1080" w:header="0" w:footer="850" w:gutter="0"/>
          <w:pgNumType w:fmt="decimal" w:start="1"/>
          <w:cols w:space="0" w:num="1"/>
          <w:rtlGutter w:val="0"/>
          <w:docGrid w:linePitch="312" w:charSpace="0"/>
        </w:sectPr>
      </w:pPr>
    </w:p>
    <w:p w14:paraId="0FFCD45A">
      <w:pPr>
        <w:kinsoku/>
        <w:spacing w:line="360" w:lineRule="auto"/>
        <w:ind w:firstLine="562" w:firstLineChars="200"/>
        <w:jc w:val="center"/>
        <w:outlineLvl w:val="0"/>
        <w:rPr>
          <w:rFonts w:ascii="宋体" w:eastAsia="宋体" w:cs="宋体"/>
          <w:color w:val="auto"/>
          <w:sz w:val="24"/>
          <w:szCs w:val="24"/>
          <w:highlight w:val="none"/>
          <w:lang w:eastAsia="zh-CN"/>
        </w:rPr>
      </w:pPr>
      <w:bookmarkStart w:id="0" w:name="_Toc18271"/>
      <w:r>
        <w:rPr>
          <w:rFonts w:hint="eastAsia" w:ascii="宋体" w:eastAsia="宋体" w:cs="宋体"/>
          <w:b/>
          <w:bCs/>
          <w:color w:val="auto"/>
          <w:sz w:val="28"/>
          <w:szCs w:val="28"/>
          <w:highlight w:val="none"/>
          <w:lang w:eastAsia="zh-CN"/>
        </w:rPr>
        <w:t>第一章  磋商邀请</w:t>
      </w:r>
      <w:bookmarkEnd w:id="0"/>
    </w:p>
    <w:p w14:paraId="38E7CA2D">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赤峰鸿途项目管理有限公司受赤峰市生态环境局红山区分局委托，采用竞争性磋商方式组织采购2026年赤峰市红山区乡镇及农村集中式饮用水水源地水质监测服务项目，欢迎符合资格条件的供应商前来参加。</w:t>
      </w:r>
    </w:p>
    <w:p w14:paraId="2456B081">
      <w:pPr>
        <w:kinsoku/>
        <w:spacing w:line="360" w:lineRule="auto"/>
        <w:ind w:firstLine="482" w:firstLineChars="200"/>
        <w:outlineLvl w:val="1"/>
        <w:rPr>
          <w:rFonts w:ascii="宋体" w:eastAsia="宋体" w:cs="宋体"/>
          <w:b/>
          <w:bCs/>
          <w:color w:val="auto"/>
          <w:sz w:val="24"/>
          <w:szCs w:val="24"/>
          <w:highlight w:val="none"/>
          <w:lang w:eastAsia="zh-CN"/>
        </w:rPr>
      </w:pPr>
      <w:bookmarkStart w:id="1" w:name="_Toc24657"/>
      <w:r>
        <w:rPr>
          <w:rFonts w:hint="eastAsia" w:ascii="宋体" w:eastAsia="宋体" w:cs="宋体"/>
          <w:b/>
          <w:bCs/>
          <w:color w:val="auto"/>
          <w:sz w:val="24"/>
          <w:szCs w:val="24"/>
          <w:highlight w:val="none"/>
          <w:lang w:eastAsia="zh-CN"/>
        </w:rPr>
        <w:t>一、项目概述</w:t>
      </w:r>
      <w:bookmarkEnd w:id="1"/>
    </w:p>
    <w:p w14:paraId="7A8A2D82">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1.名称与编号</w:t>
      </w:r>
    </w:p>
    <w:p w14:paraId="475BF448">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项目名称：2026年赤峰市红山区乡镇及农村集中式饮用水水源地水质监测服务项目</w:t>
      </w:r>
    </w:p>
    <w:p w14:paraId="65BE4D59">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项目编号：【2026】HT-CS-106</w:t>
      </w:r>
    </w:p>
    <w:p w14:paraId="3F08F168">
      <w:pPr>
        <w:numPr>
          <w:ilvl w:val="0"/>
          <w:numId w:val="0"/>
        </w:numPr>
        <w:kinsoku/>
        <w:spacing w:line="360" w:lineRule="auto"/>
        <w:ind w:firstLine="480" w:firstLineChars="200"/>
        <w:rPr>
          <w:rFonts w:hint="eastAsia" w:ascii="宋体" w:eastAsia="宋体" w:cs="宋体"/>
          <w:color w:val="auto"/>
          <w:sz w:val="24"/>
          <w:szCs w:val="24"/>
          <w:highlight w:val="none"/>
        </w:rPr>
      </w:pPr>
      <w:r>
        <w:rPr>
          <w:rFonts w:hint="eastAsia" w:ascii="宋体" w:hAnsi="Arial" w:eastAsia="宋体" w:cs="宋体"/>
          <w:color w:val="auto"/>
          <w:sz w:val="24"/>
          <w:szCs w:val="24"/>
          <w:highlight w:val="none"/>
          <w:lang w:val="en-US" w:eastAsia="en-US" w:bidi="ar-SA"/>
        </w:rPr>
        <w:t>2.</w:t>
      </w:r>
      <w:r>
        <w:rPr>
          <w:rFonts w:hint="eastAsia" w:ascii="宋体" w:eastAsia="宋体" w:cs="宋体"/>
          <w:color w:val="auto"/>
          <w:sz w:val="24"/>
          <w:szCs w:val="24"/>
          <w:highlight w:val="none"/>
        </w:rPr>
        <w:t>内容及划分采购包情况</w:t>
      </w:r>
    </w:p>
    <w:p w14:paraId="148CC3A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outlineLvl w:val="9"/>
        <w:rPr>
          <w:rFonts w:hint="eastAsia" w:ascii="宋体" w:hAnsi="宋体" w:eastAsia="宋体" w:cs="宋体"/>
          <w:color w:val="auto"/>
          <w:spacing w:val="0"/>
          <w:w w:val="100"/>
          <w:sz w:val="24"/>
          <w:szCs w:val="24"/>
          <w:highlight w:val="none"/>
          <w:lang w:eastAsia="zh-CN"/>
        </w:rPr>
      </w:pPr>
      <w:r>
        <w:rPr>
          <w:rFonts w:hint="eastAsia" w:ascii="宋体" w:hAnsi="宋体" w:eastAsia="宋体" w:cs="宋体"/>
          <w:color w:val="auto"/>
          <w:spacing w:val="0"/>
          <w:w w:val="100"/>
          <w:sz w:val="24"/>
          <w:szCs w:val="24"/>
          <w:highlight w:val="none"/>
          <w:lang w:eastAsia="zh-CN"/>
        </w:rPr>
        <w:t>采购包</w:t>
      </w:r>
      <w:r>
        <w:rPr>
          <w:rFonts w:hint="eastAsia" w:ascii="宋体" w:hAnsi="宋体" w:eastAsia="宋体" w:cs="宋体"/>
          <w:color w:val="auto"/>
          <w:spacing w:val="0"/>
          <w:w w:val="100"/>
          <w:sz w:val="24"/>
          <w:szCs w:val="24"/>
          <w:highlight w:val="none"/>
          <w:lang w:val="en-US" w:eastAsia="zh-CN"/>
        </w:rPr>
        <w:t>1：2026年赤峰市红山区乡镇及农村集中式饮用水水源地水质监测服务项目</w:t>
      </w:r>
    </w:p>
    <w:p w14:paraId="16023078">
      <w:pPr>
        <w:numPr>
          <w:ilvl w:val="0"/>
          <w:numId w:val="0"/>
        </w:numPr>
        <w:ind w:firstLine="480" w:firstLineChars="200"/>
        <w:outlineLvl w:val="9"/>
        <w:rPr>
          <w:rFonts w:hint="default"/>
          <w:color w:val="auto"/>
          <w:highlight w:val="none"/>
          <w:lang w:val="en-US"/>
        </w:rPr>
      </w:pPr>
      <w:r>
        <w:rPr>
          <w:rFonts w:hint="eastAsia" w:ascii="宋体" w:hAnsi="宋体" w:eastAsia="宋体" w:cs="宋体"/>
          <w:color w:val="auto"/>
          <w:spacing w:val="0"/>
          <w:w w:val="100"/>
          <w:sz w:val="24"/>
          <w:szCs w:val="24"/>
          <w:highlight w:val="none"/>
          <w:lang w:eastAsia="zh-CN"/>
        </w:rPr>
        <w:t>采购包预算金额（元）:</w:t>
      </w:r>
      <w:r>
        <w:rPr>
          <w:rFonts w:hint="eastAsia" w:ascii="宋体" w:hAnsi="宋体" w:eastAsia="宋体" w:cs="宋体"/>
          <w:color w:val="auto"/>
          <w:spacing w:val="0"/>
          <w:w w:val="100"/>
          <w:sz w:val="24"/>
          <w:szCs w:val="24"/>
          <w:highlight w:val="none"/>
          <w:lang w:val="en-US" w:eastAsia="zh-CN"/>
        </w:rPr>
        <w:t>132855.00</w:t>
      </w:r>
    </w:p>
    <w:tbl>
      <w:tblPr>
        <w:tblStyle w:val="21"/>
        <w:tblW w:w="915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71"/>
        <w:gridCol w:w="1883"/>
        <w:gridCol w:w="947"/>
        <w:gridCol w:w="882"/>
        <w:gridCol w:w="1960"/>
        <w:gridCol w:w="1477"/>
        <w:gridCol w:w="1436"/>
      </w:tblGrid>
      <w:tr w14:paraId="57DD5C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81" w:hRule="atLeast"/>
          <w:jc w:val="center"/>
        </w:trPr>
        <w:tc>
          <w:tcPr>
            <w:tcW w:w="571" w:type="dxa"/>
            <w:shd w:val="clear" w:color="auto" w:fill="auto"/>
            <w:vAlign w:val="center"/>
          </w:tcPr>
          <w:p w14:paraId="6B30EEC3">
            <w:pPr>
              <w:pStyle w:val="40"/>
              <w:ind w:left="0" w:leftChars="0" w:right="0" w:rightChars="0" w:firstLine="0" w:firstLineChars="0"/>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rPr>
              <w:t>序号</w:t>
            </w:r>
          </w:p>
        </w:tc>
        <w:tc>
          <w:tcPr>
            <w:tcW w:w="1883" w:type="dxa"/>
            <w:vAlign w:val="center"/>
          </w:tcPr>
          <w:p w14:paraId="3F738617">
            <w:pPr>
              <w:pStyle w:val="40"/>
              <w:ind w:left="0" w:leftChars="0" w:right="0" w:righ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标的名称</w:t>
            </w:r>
          </w:p>
        </w:tc>
        <w:tc>
          <w:tcPr>
            <w:tcW w:w="947" w:type="dxa"/>
            <w:vAlign w:val="center"/>
          </w:tcPr>
          <w:p w14:paraId="0BAD28ED">
            <w:pPr>
              <w:pStyle w:val="40"/>
              <w:ind w:left="0" w:leftChars="0" w:right="0" w:rightChars="0" w:firstLine="0" w:firstLineChars="0"/>
              <w:jc w:val="cente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数量</w:t>
            </w:r>
          </w:p>
        </w:tc>
        <w:tc>
          <w:tcPr>
            <w:tcW w:w="882" w:type="dxa"/>
            <w:shd w:val="clear" w:color="auto" w:fill="auto"/>
            <w:vAlign w:val="center"/>
          </w:tcPr>
          <w:p w14:paraId="7D68D268">
            <w:pPr>
              <w:pStyle w:val="40"/>
              <w:ind w:left="0" w:leftChars="0" w:right="0" w:rightChars="0" w:firstLine="0" w:firstLineChars="0"/>
              <w:jc w:val="cente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单位</w:t>
            </w:r>
          </w:p>
        </w:tc>
        <w:tc>
          <w:tcPr>
            <w:tcW w:w="1960" w:type="dxa"/>
            <w:shd w:val="clear" w:color="auto" w:fill="auto"/>
            <w:vAlign w:val="center"/>
          </w:tcPr>
          <w:p w14:paraId="0B74B651">
            <w:pPr>
              <w:pStyle w:val="40"/>
              <w:ind w:left="0" w:leftChars="0" w:right="0" w:righ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技术规格、参数及要求</w:t>
            </w:r>
          </w:p>
        </w:tc>
        <w:tc>
          <w:tcPr>
            <w:tcW w:w="1477" w:type="dxa"/>
            <w:shd w:val="clear" w:color="auto" w:fill="auto"/>
            <w:vAlign w:val="center"/>
          </w:tcPr>
          <w:p w14:paraId="0A026622">
            <w:pPr>
              <w:pStyle w:val="40"/>
              <w:ind w:left="0" w:leftChars="0" w:right="0" w:rightChars="0" w:firstLine="0" w:firstLineChars="0"/>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eastAsia="zh-CN"/>
              </w:rPr>
              <w:t>标的预算</w:t>
            </w:r>
            <w:r>
              <w:rPr>
                <w:rFonts w:hint="eastAsia" w:ascii="宋体" w:hAnsi="宋体" w:eastAsia="宋体" w:cs="宋体"/>
                <w:b/>
                <w:bCs/>
                <w:color w:val="auto"/>
                <w:highlight w:val="none"/>
              </w:rPr>
              <w:t>（元）</w:t>
            </w:r>
          </w:p>
        </w:tc>
        <w:tc>
          <w:tcPr>
            <w:tcW w:w="1436" w:type="dxa"/>
            <w:shd w:val="clear" w:color="auto" w:fill="auto"/>
            <w:vAlign w:val="center"/>
          </w:tcPr>
          <w:p w14:paraId="08933D08">
            <w:pPr>
              <w:pStyle w:val="40"/>
              <w:ind w:left="0" w:leftChars="0" w:right="0" w:righ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所属行业</w:t>
            </w:r>
          </w:p>
        </w:tc>
      </w:tr>
      <w:tr w14:paraId="084C89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6" w:hRule="atLeast"/>
          <w:jc w:val="center"/>
        </w:trPr>
        <w:tc>
          <w:tcPr>
            <w:tcW w:w="571" w:type="dxa"/>
            <w:shd w:val="clear" w:color="auto" w:fill="auto"/>
            <w:vAlign w:val="center"/>
          </w:tcPr>
          <w:p w14:paraId="576CB6E9">
            <w:pPr>
              <w:pStyle w:val="40"/>
              <w:ind w:left="0" w:leftChars="0" w:right="0" w:rightChars="0" w:firstLine="0" w:firstLineChars="0"/>
              <w:jc w:val="center"/>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rPr>
              <w:t>1</w:t>
            </w:r>
          </w:p>
        </w:tc>
        <w:tc>
          <w:tcPr>
            <w:tcW w:w="1883" w:type="dxa"/>
            <w:vAlign w:val="center"/>
          </w:tcPr>
          <w:p w14:paraId="288B6DA9">
            <w:pPr>
              <w:keepNext w:val="0"/>
              <w:keepLines w:val="0"/>
              <w:widowControl/>
              <w:suppressLineNumbers w:val="0"/>
              <w:jc w:val="center"/>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val="en-US" w:eastAsia="zh-CN"/>
              </w:rPr>
              <w:t>2026年赤峰市红山区乡镇及农村集中式饮用水水源地水质监测服务项目</w:t>
            </w:r>
          </w:p>
        </w:tc>
        <w:tc>
          <w:tcPr>
            <w:tcW w:w="947" w:type="dxa"/>
            <w:vAlign w:val="center"/>
          </w:tcPr>
          <w:p w14:paraId="2FE9C7C7">
            <w:pPr>
              <w:keepNext w:val="0"/>
              <w:keepLines w:val="0"/>
              <w:widowControl/>
              <w:suppressLineNumbers w:val="0"/>
              <w:jc w:val="center"/>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val="en-US" w:eastAsia="zh-CN"/>
              </w:rPr>
              <w:t>1</w:t>
            </w:r>
          </w:p>
        </w:tc>
        <w:tc>
          <w:tcPr>
            <w:tcW w:w="882" w:type="dxa"/>
            <w:shd w:val="clear" w:color="auto" w:fill="auto"/>
            <w:vAlign w:val="center"/>
          </w:tcPr>
          <w:p w14:paraId="2407F601">
            <w:pPr>
              <w:keepNext w:val="0"/>
              <w:keepLines w:val="0"/>
              <w:widowControl/>
              <w:suppressLineNumbers w:val="0"/>
              <w:jc w:val="center"/>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项</w:t>
            </w:r>
          </w:p>
        </w:tc>
        <w:tc>
          <w:tcPr>
            <w:tcW w:w="1960" w:type="dxa"/>
            <w:shd w:val="clear" w:color="auto" w:fill="auto"/>
            <w:vAlign w:val="center"/>
          </w:tcPr>
          <w:p w14:paraId="24664891">
            <w:pPr>
              <w:keepNext w:val="0"/>
              <w:keepLines w:val="0"/>
              <w:widowControl/>
              <w:suppressLineNumbers w:val="0"/>
              <w:jc w:val="center"/>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详见采购文件</w:t>
            </w:r>
          </w:p>
          <w:p w14:paraId="0D5F00B3">
            <w:pPr>
              <w:keepNext w:val="0"/>
              <w:keepLines w:val="0"/>
              <w:widowControl/>
              <w:suppressLineNumbers w:val="0"/>
              <w:jc w:val="center"/>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第三章</w:t>
            </w:r>
          </w:p>
        </w:tc>
        <w:tc>
          <w:tcPr>
            <w:tcW w:w="1477" w:type="dxa"/>
            <w:shd w:val="clear" w:color="auto" w:fill="auto"/>
            <w:vAlign w:val="center"/>
          </w:tcPr>
          <w:p w14:paraId="4D6D825D">
            <w:pPr>
              <w:keepNext w:val="0"/>
              <w:keepLines w:val="0"/>
              <w:widowControl/>
              <w:suppressLineNumbers w:val="0"/>
              <w:jc w:val="center"/>
              <w:rPr>
                <w:rFonts w:hint="default" w:ascii="宋体" w:hAnsi="宋体" w:eastAsia="宋体" w:cs="宋体"/>
                <w:b w:val="0"/>
                <w:bCs w:val="0"/>
                <w:color w:val="auto"/>
                <w:highlight w:val="none"/>
                <w:lang w:val="en-US" w:eastAsia="zh-CN"/>
              </w:rPr>
            </w:pPr>
            <w:r>
              <w:rPr>
                <w:rFonts w:hint="eastAsia" w:ascii="宋体" w:hAnsi="宋体" w:eastAsia="宋体" w:cs="宋体"/>
                <w:color w:val="auto"/>
                <w:spacing w:val="0"/>
                <w:w w:val="100"/>
                <w:sz w:val="24"/>
                <w:szCs w:val="24"/>
                <w:highlight w:val="none"/>
                <w:lang w:val="en-US" w:eastAsia="zh-CN"/>
              </w:rPr>
              <w:t>132855.00</w:t>
            </w:r>
          </w:p>
        </w:tc>
        <w:tc>
          <w:tcPr>
            <w:tcW w:w="1436" w:type="dxa"/>
            <w:shd w:val="clear" w:color="auto" w:fill="auto"/>
            <w:vAlign w:val="center"/>
          </w:tcPr>
          <w:p w14:paraId="2F503E06">
            <w:pPr>
              <w:pStyle w:val="40"/>
              <w:ind w:left="0" w:leftChars="0" w:right="0" w:rightChars="0" w:firstLine="0" w:firstLineChars="0"/>
              <w:jc w:val="center"/>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sz w:val="21"/>
                <w:szCs w:val="21"/>
                <w:highlight w:val="none"/>
                <w:lang w:eastAsia="zh-CN"/>
              </w:rPr>
              <w:t>其他未列明行业</w:t>
            </w:r>
          </w:p>
        </w:tc>
      </w:tr>
    </w:tbl>
    <w:p w14:paraId="503FC466">
      <w:pPr>
        <w:kinsoku/>
        <w:spacing w:before="240" w:beforeLines="100" w:line="360" w:lineRule="auto"/>
        <w:ind w:firstLine="482" w:firstLineChars="200"/>
        <w:outlineLvl w:val="1"/>
        <w:rPr>
          <w:rFonts w:ascii="宋体" w:eastAsia="宋体" w:cs="宋体"/>
          <w:color w:val="auto"/>
          <w:sz w:val="24"/>
          <w:szCs w:val="24"/>
          <w:highlight w:val="none"/>
        </w:rPr>
      </w:pPr>
      <w:bookmarkStart w:id="2" w:name="_Toc1371"/>
      <w:r>
        <w:rPr>
          <w:rFonts w:hint="eastAsia" w:ascii="宋体" w:eastAsia="宋体" w:cs="宋体"/>
          <w:b/>
          <w:bCs/>
          <w:color w:val="auto"/>
          <w:sz w:val="24"/>
          <w:szCs w:val="24"/>
          <w:highlight w:val="none"/>
        </w:rPr>
        <w:t>二、供应商的资格要求</w:t>
      </w:r>
      <w:bookmarkEnd w:id="2"/>
    </w:p>
    <w:p w14:paraId="2A8EB3EA">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1.供应商应符合《中华人民共和国政府采购法》第二十二条规定的条件。</w:t>
      </w:r>
    </w:p>
    <w:p w14:paraId="78821B39">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2.资格审查时，供应商未被列入失信被执行人、重大税收违法失信主体名单、政府采购严重违法失信行为记录名单，相关信用情况通过“信用中国”网站、中国政府采购网等渠道查询。</w:t>
      </w:r>
    </w:p>
    <w:p w14:paraId="708A657E">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3.落实政府采购政策需满足的资格要求：</w:t>
      </w:r>
      <w:r>
        <w:rPr>
          <w:rFonts w:hint="eastAsia" w:ascii="宋体" w:hAnsi="宋体" w:eastAsia="宋体" w:cs="宋体"/>
          <w:color w:val="auto"/>
          <w:spacing w:val="0"/>
          <w:w w:val="100"/>
          <w:sz w:val="24"/>
          <w:szCs w:val="24"/>
          <w:highlight w:val="none"/>
        </w:rPr>
        <w:t>本项目专门面向中小企业采购,</w:t>
      </w:r>
      <w:r>
        <w:rPr>
          <w:rFonts w:hint="eastAsia" w:ascii="宋体" w:hAnsi="宋体" w:eastAsia="宋体" w:cs="宋体"/>
          <w:color w:val="auto"/>
          <w:spacing w:val="0"/>
          <w:w w:val="100"/>
          <w:sz w:val="24"/>
          <w:szCs w:val="24"/>
          <w:highlight w:val="none"/>
          <w:lang w:eastAsia="zh-CN"/>
        </w:rPr>
        <w:t>供应商</w:t>
      </w:r>
      <w:r>
        <w:rPr>
          <w:rFonts w:hint="eastAsia" w:ascii="宋体" w:hAnsi="宋体" w:eastAsia="宋体" w:cs="宋体"/>
          <w:color w:val="auto"/>
          <w:spacing w:val="0"/>
          <w:w w:val="100"/>
          <w:sz w:val="24"/>
          <w:szCs w:val="24"/>
          <w:highlight w:val="none"/>
        </w:rPr>
        <w:t>应为符合政策要求的中小微企业、监狱企业或残疾人福利性单位。</w:t>
      </w:r>
    </w:p>
    <w:p w14:paraId="5093CB05">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4.本项目的特定资格要求：供应商须具备监督部门颁发的检验检测机构资质认定证书（CMA）（包含相应环境监测参数，详见第三章采购内容及技术要求）。提供资质证书及检测指标相关附件页复印件加盖公章。</w:t>
      </w:r>
    </w:p>
    <w:p w14:paraId="55F1B46E">
      <w:pPr>
        <w:kinsoku/>
        <w:spacing w:line="360" w:lineRule="auto"/>
        <w:ind w:firstLine="480" w:firstLineChars="200"/>
        <w:outlineLvl w:val="9"/>
        <w:rPr>
          <w:rFonts w:hint="eastAsia" w:ascii="宋体" w:eastAsia="宋体" w:cs="宋体"/>
          <w:b w:val="0"/>
          <w:bCs w:val="0"/>
          <w:color w:val="auto"/>
          <w:sz w:val="24"/>
          <w:szCs w:val="24"/>
          <w:lang w:eastAsia="zh-CN"/>
        </w:rPr>
      </w:pPr>
      <w:r>
        <w:rPr>
          <w:rFonts w:hint="eastAsia" w:ascii="宋体" w:eastAsia="宋体" w:cs="宋体"/>
          <w:b w:val="0"/>
          <w:bCs w:val="0"/>
          <w:color w:val="auto"/>
          <w:sz w:val="24"/>
          <w:szCs w:val="24"/>
          <w:highlight w:val="none"/>
          <w:lang w:eastAsia="zh-CN"/>
        </w:rPr>
        <w:t>5.</w:t>
      </w:r>
      <w:r>
        <w:rPr>
          <w:rFonts w:hint="eastAsia" w:ascii="宋体" w:eastAsia="宋体" w:cs="宋体"/>
          <w:b w:val="0"/>
          <w:bCs w:val="0"/>
          <w:color w:val="auto"/>
          <w:sz w:val="24"/>
          <w:szCs w:val="24"/>
          <w:lang w:eastAsia="zh-CN"/>
        </w:rPr>
        <w:t>本项目接受联合体投标：联合体成员不得超过两家</w:t>
      </w:r>
    </w:p>
    <w:p w14:paraId="728043EC">
      <w:pPr>
        <w:kinsoku/>
        <w:spacing w:line="360" w:lineRule="auto"/>
        <w:ind w:firstLine="480" w:firstLineChars="200"/>
        <w:rPr>
          <w:rFonts w:hint="eastAsia" w:ascii="宋体" w:eastAsia="宋体" w:cs="宋体"/>
          <w:color w:val="auto"/>
          <w:sz w:val="24"/>
          <w:szCs w:val="24"/>
          <w:lang w:eastAsia="zh-CN"/>
        </w:rPr>
      </w:pPr>
      <w:r>
        <w:rPr>
          <w:rFonts w:hint="eastAsia" w:ascii="宋体" w:eastAsia="宋体" w:cs="宋体"/>
          <w:color w:val="auto"/>
          <w:sz w:val="24"/>
          <w:szCs w:val="24"/>
          <w:lang w:eastAsia="zh-CN"/>
        </w:rPr>
        <w:t>（</w:t>
      </w:r>
      <w:r>
        <w:rPr>
          <w:rFonts w:hint="eastAsia" w:ascii="宋体" w:eastAsia="宋体" w:cs="宋体"/>
          <w:color w:val="auto"/>
          <w:sz w:val="24"/>
          <w:szCs w:val="24"/>
          <w:lang w:val="en-US" w:eastAsia="zh-CN"/>
        </w:rPr>
        <w:t>1</w:t>
      </w:r>
      <w:r>
        <w:rPr>
          <w:rFonts w:hint="eastAsia" w:ascii="宋体" w:eastAsia="宋体" w:cs="宋体"/>
          <w:color w:val="auto"/>
          <w:sz w:val="24"/>
          <w:szCs w:val="24"/>
          <w:lang w:eastAsia="zh-CN"/>
        </w:rPr>
        <w:t>）以联合体形式进行本项目采购活动的，参加联合体的各方供应商均应具备</w:t>
      </w:r>
      <w:r>
        <w:rPr>
          <w:rFonts w:hint="eastAsia" w:ascii="宋体" w:eastAsia="宋体" w:cs="宋体"/>
          <w:b w:val="0"/>
          <w:bCs w:val="0"/>
          <w:color w:val="auto"/>
          <w:sz w:val="24"/>
          <w:szCs w:val="24"/>
          <w:lang w:eastAsia="zh-CN"/>
        </w:rPr>
        <w:t>《中华人民共和国政府采购法》第二十二条规定的条件，</w:t>
      </w:r>
      <w:r>
        <w:rPr>
          <w:rFonts w:hint="eastAsia" w:ascii="宋体" w:eastAsia="宋体" w:cs="宋体"/>
          <w:color w:val="auto"/>
          <w:sz w:val="24"/>
          <w:szCs w:val="24"/>
          <w:lang w:eastAsia="zh-CN"/>
        </w:rPr>
        <w:t>资格审查时，未被列入失信被执行人、重大税收违法失信主体、政府采购严重违法失信行为记录名单，相关信用情况通过“信用中国”网站、中国政府采购网等渠道查询。</w:t>
      </w:r>
    </w:p>
    <w:p w14:paraId="45BDF9D7">
      <w:pPr>
        <w:kinsoku/>
        <w:spacing w:line="360" w:lineRule="auto"/>
        <w:ind w:firstLine="480" w:firstLineChars="200"/>
        <w:rPr>
          <w:rFonts w:hint="eastAsia" w:ascii="宋体" w:eastAsia="宋体" w:cs="宋体"/>
          <w:color w:val="auto"/>
          <w:sz w:val="24"/>
          <w:szCs w:val="24"/>
          <w:lang w:eastAsia="zh-CN"/>
        </w:rPr>
      </w:pPr>
      <w:r>
        <w:rPr>
          <w:rFonts w:hint="eastAsia" w:ascii="宋体" w:eastAsia="宋体" w:cs="宋体"/>
          <w:color w:val="auto"/>
          <w:sz w:val="24"/>
          <w:szCs w:val="24"/>
          <w:lang w:eastAsia="zh-CN"/>
        </w:rPr>
        <w:t>（</w:t>
      </w:r>
      <w:r>
        <w:rPr>
          <w:rFonts w:hint="eastAsia" w:ascii="宋体" w:eastAsia="宋体" w:cs="宋体"/>
          <w:color w:val="auto"/>
          <w:sz w:val="24"/>
          <w:szCs w:val="24"/>
          <w:lang w:val="en-US" w:eastAsia="zh-CN"/>
        </w:rPr>
        <w:t>2</w:t>
      </w:r>
      <w:r>
        <w:rPr>
          <w:rFonts w:hint="eastAsia" w:ascii="宋体" w:eastAsia="宋体" w:cs="宋体"/>
          <w:color w:val="auto"/>
          <w:sz w:val="24"/>
          <w:szCs w:val="24"/>
          <w:lang w:eastAsia="zh-CN"/>
        </w:rPr>
        <w:t>）以联合体形式进行本项目采购活动的，应当在响应文件中提交联合体协议书，载明联合体各方承担的工作和义务。</w:t>
      </w:r>
    </w:p>
    <w:p w14:paraId="6740A71B">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lang w:eastAsia="zh-CN"/>
        </w:rPr>
        <w:t>（</w:t>
      </w:r>
      <w:r>
        <w:rPr>
          <w:rFonts w:hint="eastAsia" w:ascii="宋体" w:eastAsia="宋体" w:cs="宋体"/>
          <w:color w:val="auto"/>
          <w:sz w:val="24"/>
          <w:szCs w:val="24"/>
          <w:lang w:val="en-US" w:eastAsia="zh-CN"/>
        </w:rPr>
        <w:t>3</w:t>
      </w:r>
      <w:r>
        <w:rPr>
          <w:rFonts w:hint="eastAsia" w:ascii="宋体" w:eastAsia="宋体" w:cs="宋体"/>
          <w:color w:val="auto"/>
          <w:sz w:val="24"/>
          <w:szCs w:val="24"/>
          <w:lang w:eastAsia="zh-CN"/>
        </w:rPr>
        <w:t>）此次联合体投标，应指定具备监督部门颁发的检验检测机构资质认定证书（CMA）的一方为联合体牵头人，并以牵头人的的名义办理报名。</w:t>
      </w:r>
    </w:p>
    <w:p w14:paraId="42438746">
      <w:pPr>
        <w:kinsoku/>
        <w:spacing w:line="360" w:lineRule="auto"/>
        <w:ind w:firstLine="482" w:firstLineChars="200"/>
        <w:outlineLvl w:val="1"/>
        <w:rPr>
          <w:rFonts w:ascii="宋体" w:eastAsia="宋体" w:cs="宋体"/>
          <w:color w:val="auto"/>
          <w:sz w:val="24"/>
          <w:szCs w:val="24"/>
          <w:highlight w:val="none"/>
          <w:lang w:eastAsia="zh-CN"/>
        </w:rPr>
      </w:pPr>
      <w:bookmarkStart w:id="3" w:name="_Toc18062"/>
      <w:r>
        <w:rPr>
          <w:rFonts w:hint="eastAsia" w:ascii="宋体" w:eastAsia="宋体" w:cs="宋体"/>
          <w:b/>
          <w:bCs/>
          <w:color w:val="auto"/>
          <w:sz w:val="24"/>
          <w:szCs w:val="24"/>
          <w:highlight w:val="none"/>
          <w:lang w:eastAsia="zh-CN"/>
        </w:rPr>
        <w:t>三、获取磋商文件的时间、地点、方式</w:t>
      </w:r>
      <w:bookmarkEnd w:id="3"/>
    </w:p>
    <w:p w14:paraId="74C771AC">
      <w:pPr>
        <w:kinsoku/>
        <w:spacing w:line="360" w:lineRule="auto"/>
        <w:ind w:firstLine="480" w:firstLineChars="200"/>
        <w:rPr>
          <w:rFonts w:ascii="宋体" w:eastAsia="宋体" w:cs="宋体"/>
          <w:b/>
          <w:bCs/>
          <w:color w:val="auto"/>
          <w:sz w:val="24"/>
          <w:szCs w:val="24"/>
          <w:highlight w:val="none"/>
          <w:lang w:eastAsia="zh-CN"/>
        </w:rPr>
      </w:pPr>
      <w:r>
        <w:rPr>
          <w:rFonts w:hint="eastAsia" w:ascii="宋体" w:eastAsia="宋体" w:cs="宋体"/>
          <w:color w:val="auto"/>
          <w:sz w:val="24"/>
          <w:szCs w:val="24"/>
          <w:highlight w:val="none"/>
          <w:lang w:eastAsia="zh-CN"/>
        </w:rPr>
        <w:t>详见竞争性磋商公告</w:t>
      </w:r>
    </w:p>
    <w:p w14:paraId="21893F7F">
      <w:pPr>
        <w:kinsoku/>
        <w:spacing w:line="360" w:lineRule="auto"/>
        <w:ind w:firstLine="482" w:firstLineChars="200"/>
        <w:outlineLvl w:val="1"/>
        <w:rPr>
          <w:rFonts w:ascii="宋体" w:eastAsia="宋体" w:cs="宋体"/>
          <w:color w:val="auto"/>
          <w:sz w:val="24"/>
          <w:szCs w:val="24"/>
          <w:highlight w:val="none"/>
          <w:lang w:eastAsia="zh-CN"/>
        </w:rPr>
      </w:pPr>
      <w:bookmarkStart w:id="4" w:name="_Toc12846"/>
      <w:r>
        <w:rPr>
          <w:rFonts w:hint="eastAsia" w:ascii="宋体" w:eastAsia="宋体" w:cs="宋体"/>
          <w:b/>
          <w:bCs/>
          <w:color w:val="auto"/>
          <w:sz w:val="24"/>
          <w:szCs w:val="24"/>
          <w:highlight w:val="none"/>
          <w:lang w:eastAsia="zh-CN"/>
        </w:rPr>
        <w:t>四、磋商文件售价</w:t>
      </w:r>
      <w:bookmarkEnd w:id="4"/>
    </w:p>
    <w:p w14:paraId="40F034DD">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本次磋商文件的售价为0元人民币。</w:t>
      </w:r>
    </w:p>
    <w:p w14:paraId="3DB135C3">
      <w:pPr>
        <w:kinsoku/>
        <w:spacing w:line="360" w:lineRule="auto"/>
        <w:ind w:firstLine="482" w:firstLineChars="200"/>
        <w:outlineLvl w:val="1"/>
        <w:rPr>
          <w:rFonts w:ascii="宋体" w:eastAsia="宋体" w:cs="宋体"/>
          <w:color w:val="auto"/>
          <w:sz w:val="24"/>
          <w:szCs w:val="24"/>
          <w:highlight w:val="none"/>
          <w:lang w:eastAsia="zh-CN"/>
        </w:rPr>
      </w:pPr>
      <w:bookmarkStart w:id="5" w:name="_Toc24850"/>
      <w:r>
        <w:rPr>
          <w:rFonts w:hint="eastAsia" w:ascii="宋体" w:eastAsia="宋体" w:cs="宋体"/>
          <w:b/>
          <w:bCs/>
          <w:color w:val="auto"/>
          <w:sz w:val="24"/>
          <w:szCs w:val="24"/>
          <w:highlight w:val="none"/>
          <w:lang w:eastAsia="zh-CN"/>
        </w:rPr>
        <w:t>五、响应文件提交的截止时间、开启时间和地点</w:t>
      </w:r>
      <w:bookmarkEnd w:id="5"/>
    </w:p>
    <w:p w14:paraId="265ECD67">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详见竞争性磋商公告</w:t>
      </w:r>
    </w:p>
    <w:p w14:paraId="0FD0973D">
      <w:pPr>
        <w:kinsoku/>
        <w:spacing w:line="360" w:lineRule="auto"/>
        <w:ind w:firstLine="482" w:firstLineChars="200"/>
        <w:outlineLvl w:val="1"/>
        <w:rPr>
          <w:rFonts w:ascii="宋体" w:eastAsia="宋体" w:cs="宋体"/>
          <w:color w:val="auto"/>
          <w:sz w:val="24"/>
          <w:szCs w:val="24"/>
          <w:highlight w:val="none"/>
          <w:lang w:eastAsia="zh-CN"/>
        </w:rPr>
      </w:pPr>
      <w:bookmarkStart w:id="6" w:name="_Toc16586"/>
      <w:r>
        <w:rPr>
          <w:rFonts w:hint="eastAsia" w:ascii="宋体" w:eastAsia="宋体" w:cs="宋体"/>
          <w:b/>
          <w:bCs/>
          <w:color w:val="auto"/>
          <w:sz w:val="24"/>
          <w:szCs w:val="24"/>
          <w:highlight w:val="none"/>
          <w:lang w:eastAsia="zh-CN"/>
        </w:rPr>
        <w:t>六、联系方式</w:t>
      </w:r>
      <w:bookmarkEnd w:id="6"/>
    </w:p>
    <w:p w14:paraId="07A8E1BC">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5D5AB4FE">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称：</w:t>
      </w:r>
      <w:r>
        <w:rPr>
          <w:rFonts w:hint="eastAsia" w:ascii="宋体" w:hAnsi="宋体" w:eastAsia="宋体" w:cs="宋体"/>
          <w:color w:val="auto"/>
          <w:sz w:val="24"/>
          <w:szCs w:val="24"/>
          <w:highlight w:val="none"/>
          <w:lang w:eastAsia="zh-CN"/>
        </w:rPr>
        <w:t>赤峰市生态环境局红山区分局</w:t>
      </w:r>
    </w:p>
    <w:p w14:paraId="2E7DB4D4">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址：</w:t>
      </w:r>
      <w:r>
        <w:rPr>
          <w:rFonts w:hint="eastAsia" w:ascii="宋体" w:hAnsi="宋体" w:eastAsia="宋体" w:cs="宋体"/>
          <w:color w:val="auto"/>
          <w:sz w:val="24"/>
          <w:szCs w:val="24"/>
          <w:highlight w:val="none"/>
          <w:lang w:eastAsia="zh-CN"/>
        </w:rPr>
        <w:t>赤峰市红山区长青街中段116号</w:t>
      </w:r>
    </w:p>
    <w:p w14:paraId="794F9852">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赵文琪 0476-5876663</w:t>
      </w:r>
    </w:p>
    <w:p w14:paraId="32C59DA7">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highlight w:val="none"/>
        </w:rPr>
      </w:pPr>
    </w:p>
    <w:p w14:paraId="46EC880E">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0A56F410">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称：</w:t>
      </w:r>
      <w:r>
        <w:rPr>
          <w:rFonts w:hint="eastAsia" w:ascii="宋体" w:hAnsi="宋体" w:eastAsia="宋体" w:cs="宋体"/>
          <w:color w:val="auto"/>
          <w:sz w:val="24"/>
          <w:szCs w:val="24"/>
          <w:highlight w:val="none"/>
          <w:lang w:eastAsia="zh-CN"/>
        </w:rPr>
        <w:t>赤峰鸿途项目管理有限公司</w:t>
      </w:r>
    </w:p>
    <w:p w14:paraId="48B76C53">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址：内蒙古自治区赤峰市松山区上海城1-7-07018</w:t>
      </w:r>
    </w:p>
    <w:p w14:paraId="6F587A1D">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姜工</w:t>
      </w:r>
      <w:r>
        <w:rPr>
          <w:rFonts w:hint="eastAsia" w:ascii="宋体" w:hAnsi="宋体" w:eastAsia="宋体" w:cs="宋体"/>
          <w:color w:val="auto"/>
          <w:sz w:val="24"/>
          <w:szCs w:val="24"/>
          <w:highlight w:val="none"/>
        </w:rPr>
        <w:t xml:space="preserve"> 0476-</w:t>
      </w:r>
      <w:r>
        <w:rPr>
          <w:rFonts w:hint="eastAsia" w:ascii="宋体" w:hAnsi="宋体" w:eastAsia="宋体" w:cs="宋体"/>
          <w:color w:val="auto"/>
          <w:sz w:val="24"/>
          <w:szCs w:val="24"/>
          <w:highlight w:val="none"/>
          <w:lang w:eastAsia="zh-CN"/>
        </w:rPr>
        <w:t>5974147</w:t>
      </w:r>
    </w:p>
    <w:p w14:paraId="374FD869">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highlight w:val="none"/>
        </w:rPr>
      </w:pPr>
    </w:p>
    <w:p w14:paraId="2A478D3B">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3.项目联系方式</w:t>
      </w:r>
    </w:p>
    <w:p w14:paraId="6536B745">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val="en-US" w:eastAsia="zh-CN"/>
        </w:rPr>
        <w:t>姜工</w:t>
      </w:r>
    </w:p>
    <w:p w14:paraId="3E1E4E18">
      <w:pPr>
        <w:keepNext w:val="0"/>
        <w:keepLines w:val="0"/>
        <w:pageBreakBefore w:val="0"/>
        <w:widowControl w:val="0"/>
        <w:kinsoku/>
        <w:wordWrap/>
        <w:overflowPunct/>
        <w:topLinePunct w:val="0"/>
        <w:autoSpaceDE/>
        <w:autoSpaceDN/>
        <w:bidi w:val="0"/>
        <w:adjustRightInd/>
        <w:snapToGrid/>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话：</w:t>
      </w:r>
      <w:r>
        <w:rPr>
          <w:rFonts w:hint="eastAsia" w:ascii="宋体" w:hAnsi="宋体" w:eastAsia="宋体" w:cs="宋体"/>
          <w:color w:val="auto"/>
          <w:sz w:val="24"/>
          <w:szCs w:val="24"/>
          <w:highlight w:val="none"/>
          <w:lang w:val="en-US" w:eastAsia="zh-CN"/>
        </w:rPr>
        <w:t>0476-5974147</w:t>
      </w:r>
    </w:p>
    <w:p w14:paraId="11963DBB">
      <w:pPr>
        <w:kinsoku/>
        <w:spacing w:line="360" w:lineRule="auto"/>
        <w:rPr>
          <w:rFonts w:ascii="宋体" w:eastAsia="宋体" w:cs="宋体"/>
          <w:color w:val="auto"/>
          <w:sz w:val="24"/>
          <w:szCs w:val="24"/>
          <w:highlight w:val="none"/>
          <w:lang w:eastAsia="zh-CN"/>
        </w:rPr>
      </w:pPr>
    </w:p>
    <w:p w14:paraId="3C8A3D5C">
      <w:pPr>
        <w:pStyle w:val="8"/>
        <w:rPr>
          <w:rFonts w:ascii="宋体" w:eastAsia="宋体" w:cs="宋体"/>
          <w:color w:val="auto"/>
          <w:sz w:val="24"/>
          <w:szCs w:val="24"/>
          <w:highlight w:val="none"/>
          <w:lang w:eastAsia="zh-CN"/>
        </w:rPr>
      </w:pPr>
    </w:p>
    <w:p w14:paraId="7F9486B0">
      <w:pPr>
        <w:pStyle w:val="13"/>
        <w:rPr>
          <w:rFonts w:ascii="宋体" w:eastAsia="宋体" w:cs="宋体"/>
          <w:color w:val="auto"/>
          <w:sz w:val="24"/>
          <w:szCs w:val="24"/>
          <w:highlight w:val="none"/>
          <w:lang w:eastAsia="zh-CN"/>
        </w:rPr>
      </w:pPr>
    </w:p>
    <w:p w14:paraId="1DE604D6">
      <w:pPr>
        <w:keepNext w:val="0"/>
        <w:keepLines w:val="0"/>
        <w:pageBreakBefore w:val="0"/>
        <w:widowControl w:val="0"/>
        <w:kinsoku/>
        <w:wordWrap/>
        <w:overflowPunct/>
        <w:topLinePunct w:val="0"/>
        <w:autoSpaceDE/>
        <w:autoSpaceDN/>
        <w:bidi w:val="0"/>
        <w:adjustRightInd/>
        <w:snapToGrid/>
        <w:spacing w:line="360" w:lineRule="auto"/>
        <w:ind w:firstLine="4515" w:firstLineChars="2150"/>
        <w:textAlignment w:val="auto"/>
        <w:rPr>
          <w:rFonts w:hint="eastAsia" w:eastAsia="宋体" w:cs="Times New Roman"/>
          <w:color w:val="auto"/>
          <w:highlight w:val="none"/>
        </w:rPr>
      </w:pPr>
      <w:r>
        <w:rPr>
          <w:rFonts w:hint="eastAsia" w:eastAsia="宋体" w:cs="Times New Roman"/>
          <w:color w:val="auto"/>
          <w:highlight w:val="none"/>
        </w:rPr>
        <w:t>赤峰鸿途项目管理有限公司</w:t>
      </w:r>
    </w:p>
    <w:p w14:paraId="6461EBE0">
      <w:pPr>
        <w:pStyle w:val="15"/>
        <w:rPr>
          <w:rFonts w:hint="default" w:ascii="Arial" w:hAnsi="Arial" w:eastAsia="宋体" w:cs="Times New Roman"/>
          <w:color w:val="auto"/>
          <w:sz w:val="21"/>
          <w:szCs w:val="21"/>
          <w:highlight w:val="none"/>
          <w:lang w:val="en-US" w:eastAsia="zh-CN" w:bidi="ar-SA"/>
        </w:rPr>
      </w:pPr>
      <w:r>
        <w:rPr>
          <w:rFonts w:hint="default" w:cs="Times New Roman"/>
          <w:color w:val="auto"/>
          <w:highlight w:val="none"/>
          <w:lang w:val="en"/>
        </w:rPr>
        <w:t xml:space="preserve">                                          </w:t>
      </w:r>
      <w:r>
        <w:rPr>
          <w:rFonts w:hint="eastAsia" w:eastAsia="宋体" w:cs="Times New Roman"/>
          <w:color w:val="auto"/>
          <w:highlight w:val="none"/>
          <w:lang w:val="en-US" w:eastAsia="zh-CN"/>
        </w:rPr>
        <w:t xml:space="preserve">                                   </w:t>
      </w:r>
      <w:r>
        <w:rPr>
          <w:rFonts w:hint="default" w:cs="Times New Roman"/>
          <w:color w:val="auto"/>
          <w:highlight w:val="none"/>
          <w:lang w:val="en"/>
        </w:rPr>
        <w:t xml:space="preserve">  </w:t>
      </w:r>
      <w:r>
        <w:rPr>
          <w:rFonts w:hint="default" w:ascii="Arial" w:hAnsi="Arial" w:eastAsia="宋体" w:cs="Times New Roman"/>
          <w:color w:val="auto"/>
          <w:sz w:val="21"/>
          <w:szCs w:val="21"/>
          <w:highlight w:val="none"/>
          <w:lang w:val="en" w:eastAsia="en-US" w:bidi="ar-SA"/>
        </w:rPr>
        <w:t xml:space="preserve">  2026</w:t>
      </w:r>
      <w:r>
        <w:rPr>
          <w:rFonts w:hint="eastAsia" w:ascii="Arial" w:hAnsi="Arial" w:eastAsia="宋体" w:cs="Times New Roman"/>
          <w:color w:val="auto"/>
          <w:sz w:val="21"/>
          <w:szCs w:val="21"/>
          <w:highlight w:val="none"/>
          <w:lang w:val="en" w:eastAsia="zh-CN" w:bidi="ar-SA"/>
        </w:rPr>
        <w:t>年</w:t>
      </w:r>
      <w:r>
        <w:rPr>
          <w:rFonts w:hint="eastAsia" w:eastAsia="宋体" w:cs="Times New Roman"/>
          <w:color w:val="auto"/>
          <w:sz w:val="21"/>
          <w:szCs w:val="21"/>
          <w:highlight w:val="none"/>
          <w:lang w:val="en-US" w:eastAsia="zh-CN" w:bidi="ar-SA"/>
        </w:rPr>
        <w:t>5</w:t>
      </w:r>
      <w:r>
        <w:rPr>
          <w:rFonts w:hint="eastAsia" w:ascii="Arial" w:hAnsi="Arial" w:eastAsia="宋体" w:cs="Times New Roman"/>
          <w:color w:val="auto"/>
          <w:sz w:val="21"/>
          <w:szCs w:val="21"/>
          <w:highlight w:val="none"/>
          <w:lang w:val="en-US" w:eastAsia="zh-CN" w:bidi="ar-SA"/>
        </w:rPr>
        <w:t>月</w:t>
      </w:r>
      <w:r>
        <w:rPr>
          <w:rFonts w:hint="eastAsia" w:eastAsia="宋体" w:cs="Times New Roman"/>
          <w:color w:val="auto"/>
          <w:sz w:val="21"/>
          <w:szCs w:val="21"/>
          <w:highlight w:val="none"/>
          <w:lang w:val="en-US" w:eastAsia="zh-CN" w:bidi="ar-SA"/>
        </w:rPr>
        <w:t>11</w:t>
      </w:r>
      <w:r>
        <w:rPr>
          <w:rFonts w:hint="eastAsia" w:ascii="Arial" w:hAnsi="Arial" w:eastAsia="宋体" w:cs="Times New Roman"/>
          <w:color w:val="auto"/>
          <w:sz w:val="21"/>
          <w:szCs w:val="21"/>
          <w:highlight w:val="none"/>
          <w:lang w:val="en-US" w:eastAsia="zh-CN" w:bidi="ar-SA"/>
        </w:rPr>
        <w:t>日</w:t>
      </w:r>
    </w:p>
    <w:p w14:paraId="43615EE1">
      <w:pPr>
        <w:pStyle w:val="28"/>
        <w:rPr>
          <w:highlight w:val="none"/>
          <w:lang w:eastAsia="zh-CN"/>
        </w:rPr>
        <w:sectPr>
          <w:footerReference r:id="rId6" w:type="default"/>
          <w:pgSz w:w="11906" w:h="16838"/>
          <w:pgMar w:top="1440" w:right="1080" w:bottom="1440" w:left="1080" w:header="0" w:footer="850" w:gutter="0"/>
          <w:pgNumType w:fmt="decimal" w:start="1"/>
          <w:cols w:space="0" w:num="1"/>
          <w:rtlGutter w:val="0"/>
          <w:docGrid w:linePitch="312" w:charSpace="0"/>
        </w:sectPr>
      </w:pPr>
    </w:p>
    <w:p w14:paraId="6EF91BC7">
      <w:pPr>
        <w:kinsoku/>
        <w:spacing w:line="360" w:lineRule="auto"/>
        <w:ind w:firstLine="562" w:firstLineChars="200"/>
        <w:jc w:val="center"/>
        <w:outlineLvl w:val="0"/>
        <w:rPr>
          <w:rFonts w:ascii="宋体" w:eastAsia="宋体" w:cs="宋体"/>
          <w:color w:val="auto"/>
          <w:sz w:val="24"/>
          <w:szCs w:val="24"/>
          <w:highlight w:val="none"/>
          <w:lang w:eastAsia="zh-CN"/>
        </w:rPr>
      </w:pPr>
      <w:bookmarkStart w:id="7" w:name="_Toc22380"/>
      <w:r>
        <w:rPr>
          <w:rFonts w:hint="eastAsia" w:ascii="宋体" w:eastAsia="宋体" w:cs="宋体"/>
          <w:b/>
          <w:bCs/>
          <w:color w:val="auto"/>
          <w:sz w:val="28"/>
          <w:szCs w:val="28"/>
          <w:highlight w:val="none"/>
          <w:lang w:eastAsia="zh-CN"/>
        </w:rPr>
        <w:t>第二章  供应商须知</w:t>
      </w:r>
      <w:bookmarkEnd w:id="7"/>
    </w:p>
    <w:p w14:paraId="2EE6B410">
      <w:pPr>
        <w:kinsoku/>
        <w:spacing w:line="360" w:lineRule="auto"/>
        <w:ind w:firstLine="482" w:firstLineChars="200"/>
        <w:outlineLvl w:val="1"/>
        <w:rPr>
          <w:rFonts w:ascii="宋体" w:eastAsia="宋体" w:cs="宋体"/>
          <w:color w:val="auto"/>
          <w:sz w:val="24"/>
          <w:szCs w:val="24"/>
          <w:highlight w:val="none"/>
        </w:rPr>
      </w:pPr>
      <w:bookmarkStart w:id="8" w:name="_Toc16727"/>
      <w:r>
        <w:rPr>
          <w:rFonts w:hint="eastAsia" w:ascii="宋体" w:eastAsia="宋体" w:cs="宋体"/>
          <w:b/>
          <w:bCs/>
          <w:color w:val="auto"/>
          <w:sz w:val="24"/>
          <w:szCs w:val="24"/>
          <w:highlight w:val="none"/>
        </w:rPr>
        <w:t>一、前附表</w:t>
      </w:r>
      <w:bookmarkEnd w:id="8"/>
    </w:p>
    <w:tbl>
      <w:tblPr>
        <w:tblStyle w:val="21"/>
        <w:tblW w:w="95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1"/>
        <w:gridCol w:w="3657"/>
        <w:gridCol w:w="5051"/>
      </w:tblGrid>
      <w:tr w14:paraId="69091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71" w:type="dxa"/>
            <w:tcBorders>
              <w:tl2br w:val="nil"/>
              <w:tr2bl w:val="nil"/>
            </w:tcBorders>
            <w:shd w:val="clear" w:color="auto" w:fill="auto"/>
            <w:vAlign w:val="center"/>
          </w:tcPr>
          <w:p w14:paraId="3858798D">
            <w:pPr>
              <w:kinsoku/>
              <w:spacing w:line="360" w:lineRule="auto"/>
              <w:jc w:val="center"/>
              <w:rPr>
                <w:rFonts w:ascii="宋体" w:eastAsia="宋体" w:cs="宋体"/>
                <w:color w:val="auto"/>
                <w:sz w:val="24"/>
                <w:szCs w:val="24"/>
                <w:highlight w:val="none"/>
              </w:rPr>
            </w:pPr>
            <w:bookmarkStart w:id="9" w:name="_Toc19600"/>
            <w:r>
              <w:rPr>
                <w:rFonts w:hint="eastAsia" w:ascii="宋体" w:eastAsia="宋体" w:cs="宋体"/>
                <w:color w:val="auto"/>
                <w:sz w:val="24"/>
                <w:szCs w:val="24"/>
                <w:highlight w:val="none"/>
              </w:rPr>
              <w:t>序号</w:t>
            </w:r>
          </w:p>
        </w:tc>
        <w:tc>
          <w:tcPr>
            <w:tcW w:w="3657" w:type="dxa"/>
            <w:tcBorders>
              <w:tl2br w:val="nil"/>
              <w:tr2bl w:val="nil"/>
            </w:tcBorders>
            <w:shd w:val="clear" w:color="auto" w:fill="auto"/>
            <w:vAlign w:val="center"/>
          </w:tcPr>
          <w:p w14:paraId="4523BE2E">
            <w:pPr>
              <w:kinsoku/>
              <w:spacing w:line="360" w:lineRule="auto"/>
              <w:jc w:val="center"/>
              <w:rPr>
                <w:rFonts w:ascii="宋体" w:eastAsia="宋体" w:cs="宋体"/>
                <w:color w:val="auto"/>
                <w:sz w:val="24"/>
                <w:szCs w:val="24"/>
                <w:highlight w:val="none"/>
              </w:rPr>
            </w:pPr>
            <w:r>
              <w:rPr>
                <w:rFonts w:hint="eastAsia" w:ascii="宋体" w:eastAsia="宋体" w:cs="宋体"/>
                <w:color w:val="auto"/>
                <w:sz w:val="24"/>
                <w:szCs w:val="24"/>
                <w:highlight w:val="none"/>
              </w:rPr>
              <w:t>事项</w:t>
            </w:r>
          </w:p>
        </w:tc>
        <w:tc>
          <w:tcPr>
            <w:tcW w:w="5051" w:type="dxa"/>
            <w:tcBorders>
              <w:tl2br w:val="nil"/>
              <w:tr2bl w:val="nil"/>
            </w:tcBorders>
            <w:shd w:val="clear" w:color="auto" w:fill="auto"/>
            <w:vAlign w:val="center"/>
          </w:tcPr>
          <w:p w14:paraId="35FF4388">
            <w:pPr>
              <w:kinsoku/>
              <w:spacing w:line="360" w:lineRule="auto"/>
              <w:jc w:val="center"/>
              <w:rPr>
                <w:rFonts w:ascii="宋体" w:eastAsia="宋体" w:cs="宋体"/>
                <w:color w:val="auto"/>
                <w:sz w:val="24"/>
                <w:szCs w:val="24"/>
                <w:highlight w:val="none"/>
              </w:rPr>
            </w:pPr>
            <w:r>
              <w:rPr>
                <w:rFonts w:hint="eastAsia" w:ascii="宋体" w:eastAsia="宋体" w:cs="宋体"/>
                <w:color w:val="auto"/>
                <w:sz w:val="24"/>
                <w:szCs w:val="24"/>
                <w:highlight w:val="none"/>
              </w:rPr>
              <w:t>内容及要求</w:t>
            </w:r>
          </w:p>
        </w:tc>
      </w:tr>
      <w:tr w14:paraId="768C2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71" w:type="dxa"/>
            <w:tcBorders>
              <w:tl2br w:val="nil"/>
              <w:tr2bl w:val="nil"/>
            </w:tcBorders>
            <w:shd w:val="clear" w:color="auto" w:fill="auto"/>
            <w:vAlign w:val="center"/>
          </w:tcPr>
          <w:p w14:paraId="1B45AE1F">
            <w:pPr>
              <w:kinsoku/>
              <w:spacing w:line="360" w:lineRule="auto"/>
              <w:jc w:val="center"/>
              <w:rPr>
                <w:rFonts w:ascii="宋体" w:eastAsia="宋体" w:cs="宋体"/>
                <w:color w:val="auto"/>
                <w:sz w:val="24"/>
                <w:szCs w:val="24"/>
                <w:highlight w:val="none"/>
              </w:rPr>
            </w:pPr>
            <w:r>
              <w:rPr>
                <w:rFonts w:hint="eastAsia" w:ascii="宋体" w:eastAsia="宋体" w:cs="宋体"/>
                <w:color w:val="auto"/>
                <w:sz w:val="24"/>
                <w:szCs w:val="24"/>
                <w:highlight w:val="none"/>
              </w:rPr>
              <w:t>1</w:t>
            </w:r>
          </w:p>
        </w:tc>
        <w:tc>
          <w:tcPr>
            <w:tcW w:w="3657" w:type="dxa"/>
            <w:tcBorders>
              <w:tl2br w:val="nil"/>
              <w:tr2bl w:val="nil"/>
            </w:tcBorders>
            <w:shd w:val="clear" w:color="auto" w:fill="auto"/>
            <w:vAlign w:val="center"/>
          </w:tcPr>
          <w:p w14:paraId="36262EB6">
            <w:pPr>
              <w:kinsoku/>
              <w:spacing w:line="360" w:lineRule="auto"/>
              <w:jc w:val="center"/>
              <w:rPr>
                <w:rFonts w:ascii="宋体" w:eastAsia="宋体" w:cs="宋体"/>
                <w:color w:val="auto"/>
                <w:sz w:val="24"/>
                <w:szCs w:val="24"/>
                <w:highlight w:val="none"/>
              </w:rPr>
            </w:pPr>
            <w:r>
              <w:rPr>
                <w:rFonts w:hint="eastAsia" w:ascii="宋体" w:eastAsia="宋体" w:cs="宋体"/>
                <w:color w:val="auto"/>
                <w:sz w:val="24"/>
                <w:szCs w:val="24"/>
                <w:highlight w:val="none"/>
              </w:rPr>
              <w:t>划分采购包情况</w:t>
            </w:r>
          </w:p>
        </w:tc>
        <w:tc>
          <w:tcPr>
            <w:tcW w:w="5051" w:type="dxa"/>
            <w:tcBorders>
              <w:tl2br w:val="nil"/>
              <w:tr2bl w:val="nil"/>
            </w:tcBorders>
            <w:shd w:val="clear" w:color="auto" w:fill="auto"/>
            <w:vAlign w:val="center"/>
          </w:tcPr>
          <w:p w14:paraId="26E75B64">
            <w:pPr>
              <w:kinsoku/>
              <w:spacing w:line="360" w:lineRule="auto"/>
              <w:jc w:val="both"/>
              <w:rPr>
                <w:rFonts w:ascii="宋体" w:eastAsia="宋体" w:cs="宋体"/>
                <w:color w:val="auto"/>
                <w:sz w:val="24"/>
                <w:szCs w:val="24"/>
                <w:highlight w:val="none"/>
              </w:rPr>
            </w:pPr>
            <w:r>
              <w:rPr>
                <w:rFonts w:hint="eastAsia" w:ascii="宋体" w:eastAsia="宋体" w:cs="宋体"/>
                <w:color w:val="auto"/>
                <w:sz w:val="24"/>
                <w:szCs w:val="24"/>
                <w:highlight w:val="none"/>
              </w:rPr>
              <w:t>共</w:t>
            </w:r>
            <w:r>
              <w:rPr>
                <w:rFonts w:hint="eastAsia" w:ascii="宋体" w:eastAsia="宋体" w:cs="宋体"/>
                <w:color w:val="auto"/>
                <w:sz w:val="24"/>
                <w:szCs w:val="24"/>
                <w:highlight w:val="none"/>
                <w:lang w:val="en-US" w:eastAsia="zh-CN"/>
              </w:rPr>
              <w:t xml:space="preserve"> 1 </w:t>
            </w:r>
            <w:r>
              <w:rPr>
                <w:rFonts w:hint="eastAsia" w:ascii="宋体" w:eastAsia="宋体" w:cs="宋体"/>
                <w:color w:val="auto"/>
                <w:sz w:val="24"/>
                <w:szCs w:val="24"/>
                <w:highlight w:val="none"/>
              </w:rPr>
              <w:t>包</w:t>
            </w:r>
          </w:p>
        </w:tc>
      </w:tr>
      <w:tr w14:paraId="16560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71" w:type="dxa"/>
            <w:tcBorders>
              <w:tl2br w:val="nil"/>
              <w:tr2bl w:val="nil"/>
            </w:tcBorders>
            <w:shd w:val="clear" w:color="auto" w:fill="auto"/>
            <w:vAlign w:val="center"/>
          </w:tcPr>
          <w:p w14:paraId="02364A4F">
            <w:pPr>
              <w:kinsoku/>
              <w:spacing w:line="360" w:lineRule="auto"/>
              <w:jc w:val="center"/>
              <w:rPr>
                <w:rFonts w:ascii="宋体" w:eastAsia="宋体" w:cs="宋体"/>
                <w:color w:val="auto"/>
                <w:sz w:val="24"/>
                <w:szCs w:val="24"/>
                <w:highlight w:val="none"/>
              </w:rPr>
            </w:pPr>
            <w:r>
              <w:rPr>
                <w:rFonts w:hint="eastAsia" w:ascii="宋体" w:eastAsia="宋体" w:cs="宋体"/>
                <w:color w:val="auto"/>
                <w:sz w:val="24"/>
                <w:szCs w:val="24"/>
                <w:highlight w:val="none"/>
              </w:rPr>
              <w:t>2</w:t>
            </w:r>
          </w:p>
        </w:tc>
        <w:tc>
          <w:tcPr>
            <w:tcW w:w="3657" w:type="dxa"/>
            <w:tcBorders>
              <w:tl2br w:val="nil"/>
              <w:tr2bl w:val="nil"/>
            </w:tcBorders>
            <w:shd w:val="clear" w:color="auto" w:fill="auto"/>
            <w:vAlign w:val="center"/>
          </w:tcPr>
          <w:p w14:paraId="5CE7A136">
            <w:pPr>
              <w:kinsoku/>
              <w:spacing w:line="360" w:lineRule="auto"/>
              <w:jc w:val="center"/>
              <w:rPr>
                <w:rFonts w:ascii="宋体" w:eastAsia="宋体" w:cs="宋体"/>
                <w:color w:val="auto"/>
                <w:sz w:val="24"/>
                <w:szCs w:val="24"/>
                <w:highlight w:val="none"/>
              </w:rPr>
            </w:pPr>
            <w:r>
              <w:rPr>
                <w:rFonts w:hint="eastAsia" w:ascii="宋体" w:eastAsia="宋体" w:cs="宋体"/>
                <w:color w:val="auto"/>
                <w:sz w:val="24"/>
                <w:szCs w:val="24"/>
                <w:highlight w:val="none"/>
              </w:rPr>
              <w:t>采购方式</w:t>
            </w:r>
          </w:p>
        </w:tc>
        <w:tc>
          <w:tcPr>
            <w:tcW w:w="5051" w:type="dxa"/>
            <w:tcBorders>
              <w:tl2br w:val="nil"/>
              <w:tr2bl w:val="nil"/>
            </w:tcBorders>
            <w:shd w:val="clear" w:color="auto" w:fill="auto"/>
            <w:vAlign w:val="center"/>
          </w:tcPr>
          <w:p w14:paraId="140DA2CD">
            <w:pPr>
              <w:kinsoku/>
              <w:spacing w:line="360" w:lineRule="auto"/>
              <w:jc w:val="both"/>
              <w:rPr>
                <w:rFonts w:ascii="宋体" w:eastAsia="宋体" w:cs="宋体"/>
                <w:color w:val="auto"/>
                <w:sz w:val="24"/>
                <w:szCs w:val="24"/>
                <w:highlight w:val="none"/>
              </w:rPr>
            </w:pPr>
            <w:r>
              <w:rPr>
                <w:rFonts w:hint="eastAsia" w:ascii="宋体" w:eastAsia="宋体" w:cs="宋体"/>
                <w:color w:val="auto"/>
                <w:sz w:val="24"/>
                <w:szCs w:val="24"/>
                <w:highlight w:val="none"/>
              </w:rPr>
              <w:t>竞争性磋商</w:t>
            </w:r>
          </w:p>
        </w:tc>
      </w:tr>
      <w:tr w14:paraId="4A9C2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71" w:type="dxa"/>
            <w:tcBorders>
              <w:tl2br w:val="nil"/>
              <w:tr2bl w:val="nil"/>
            </w:tcBorders>
            <w:shd w:val="clear" w:color="auto" w:fill="auto"/>
            <w:vAlign w:val="center"/>
          </w:tcPr>
          <w:p w14:paraId="4B5DCC63">
            <w:pPr>
              <w:kinsoku/>
              <w:spacing w:line="360" w:lineRule="auto"/>
              <w:jc w:val="center"/>
              <w:rPr>
                <w:rFonts w:ascii="宋体" w:eastAsia="宋体" w:cs="宋体"/>
                <w:color w:val="auto"/>
                <w:sz w:val="24"/>
                <w:szCs w:val="24"/>
                <w:highlight w:val="none"/>
              </w:rPr>
            </w:pPr>
            <w:r>
              <w:rPr>
                <w:rFonts w:hint="eastAsia" w:ascii="宋体" w:eastAsia="宋体" w:cs="宋体"/>
                <w:color w:val="auto"/>
                <w:sz w:val="24"/>
                <w:szCs w:val="24"/>
                <w:highlight w:val="none"/>
              </w:rPr>
              <w:t>3</w:t>
            </w:r>
          </w:p>
        </w:tc>
        <w:tc>
          <w:tcPr>
            <w:tcW w:w="3657" w:type="dxa"/>
            <w:tcBorders>
              <w:tl2br w:val="nil"/>
              <w:tr2bl w:val="nil"/>
            </w:tcBorders>
            <w:shd w:val="clear" w:color="auto" w:fill="auto"/>
            <w:vAlign w:val="center"/>
          </w:tcPr>
          <w:p w14:paraId="263EC8E7">
            <w:pPr>
              <w:kinsoku/>
              <w:spacing w:line="360" w:lineRule="auto"/>
              <w:jc w:val="center"/>
              <w:rPr>
                <w:rFonts w:ascii="宋体" w:eastAsia="宋体" w:cs="宋体"/>
                <w:color w:val="auto"/>
                <w:sz w:val="24"/>
                <w:szCs w:val="24"/>
                <w:highlight w:val="none"/>
              </w:rPr>
            </w:pPr>
            <w:r>
              <w:rPr>
                <w:rFonts w:hint="eastAsia" w:ascii="宋体" w:eastAsia="宋体" w:cs="宋体"/>
                <w:color w:val="auto"/>
                <w:sz w:val="24"/>
                <w:szCs w:val="24"/>
                <w:highlight w:val="none"/>
              </w:rPr>
              <w:t>开启方式</w:t>
            </w:r>
          </w:p>
        </w:tc>
        <w:tc>
          <w:tcPr>
            <w:tcW w:w="5051" w:type="dxa"/>
            <w:tcBorders>
              <w:tl2br w:val="nil"/>
              <w:tr2bl w:val="nil"/>
            </w:tcBorders>
            <w:shd w:val="clear" w:color="auto" w:fill="auto"/>
            <w:vAlign w:val="center"/>
          </w:tcPr>
          <w:p w14:paraId="5C7363A3">
            <w:pPr>
              <w:kinsoku/>
              <w:spacing w:line="360" w:lineRule="auto"/>
              <w:jc w:val="both"/>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远程开启</w:t>
            </w:r>
          </w:p>
        </w:tc>
      </w:tr>
      <w:tr w14:paraId="005AC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71" w:type="dxa"/>
            <w:tcBorders>
              <w:tl2br w:val="nil"/>
              <w:tr2bl w:val="nil"/>
            </w:tcBorders>
            <w:shd w:val="clear" w:color="auto" w:fill="auto"/>
            <w:vAlign w:val="center"/>
          </w:tcPr>
          <w:p w14:paraId="096CDC5F">
            <w:pPr>
              <w:kinsoku/>
              <w:spacing w:line="360" w:lineRule="auto"/>
              <w:jc w:val="center"/>
              <w:rPr>
                <w:rFonts w:ascii="宋体" w:eastAsia="宋体" w:cs="宋体"/>
                <w:color w:val="auto"/>
                <w:sz w:val="24"/>
                <w:szCs w:val="24"/>
                <w:highlight w:val="none"/>
              </w:rPr>
            </w:pPr>
            <w:r>
              <w:rPr>
                <w:rFonts w:hint="eastAsia" w:ascii="宋体" w:eastAsia="宋体" w:cs="宋体"/>
                <w:color w:val="auto"/>
                <w:sz w:val="24"/>
                <w:szCs w:val="24"/>
                <w:highlight w:val="none"/>
              </w:rPr>
              <w:t>4</w:t>
            </w:r>
          </w:p>
        </w:tc>
        <w:tc>
          <w:tcPr>
            <w:tcW w:w="3657" w:type="dxa"/>
            <w:tcBorders>
              <w:tl2br w:val="nil"/>
              <w:tr2bl w:val="nil"/>
            </w:tcBorders>
            <w:shd w:val="clear" w:color="auto" w:fill="auto"/>
            <w:vAlign w:val="center"/>
          </w:tcPr>
          <w:p w14:paraId="682C0F57">
            <w:pPr>
              <w:kinsoku/>
              <w:spacing w:line="360" w:lineRule="auto"/>
              <w:jc w:val="center"/>
              <w:rPr>
                <w:rFonts w:ascii="宋体" w:eastAsia="宋体" w:cs="宋体"/>
                <w:color w:val="auto"/>
                <w:sz w:val="24"/>
                <w:szCs w:val="24"/>
                <w:highlight w:val="none"/>
              </w:rPr>
            </w:pPr>
            <w:r>
              <w:rPr>
                <w:rFonts w:hint="eastAsia" w:ascii="宋体" w:eastAsia="宋体" w:cs="宋体"/>
                <w:color w:val="auto"/>
                <w:sz w:val="24"/>
                <w:szCs w:val="24"/>
                <w:highlight w:val="none"/>
              </w:rPr>
              <w:t>评审方式</w:t>
            </w:r>
          </w:p>
        </w:tc>
        <w:tc>
          <w:tcPr>
            <w:tcW w:w="5051" w:type="dxa"/>
            <w:tcBorders>
              <w:tl2br w:val="nil"/>
              <w:tr2bl w:val="nil"/>
            </w:tcBorders>
            <w:shd w:val="clear" w:color="auto" w:fill="auto"/>
            <w:vAlign w:val="center"/>
          </w:tcPr>
          <w:p w14:paraId="3B70456B">
            <w:pPr>
              <w:kinsoku/>
              <w:spacing w:line="360" w:lineRule="auto"/>
              <w:jc w:val="both"/>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现场网上评审</w:t>
            </w:r>
          </w:p>
        </w:tc>
      </w:tr>
      <w:tr w14:paraId="23E06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71" w:type="dxa"/>
            <w:tcBorders>
              <w:tl2br w:val="nil"/>
              <w:tr2bl w:val="nil"/>
            </w:tcBorders>
            <w:shd w:val="clear" w:color="auto" w:fill="auto"/>
            <w:vAlign w:val="center"/>
          </w:tcPr>
          <w:p w14:paraId="32E9CAF2">
            <w:pPr>
              <w:kinsoku/>
              <w:spacing w:line="360" w:lineRule="auto"/>
              <w:jc w:val="center"/>
              <w:rPr>
                <w:rFonts w:ascii="宋体" w:eastAsia="宋体" w:cs="宋体"/>
                <w:color w:val="auto"/>
                <w:sz w:val="24"/>
                <w:szCs w:val="24"/>
                <w:highlight w:val="none"/>
              </w:rPr>
            </w:pPr>
            <w:r>
              <w:rPr>
                <w:rFonts w:hint="eastAsia" w:ascii="宋体" w:eastAsia="宋体" w:cs="宋体"/>
                <w:color w:val="auto"/>
                <w:sz w:val="24"/>
                <w:szCs w:val="24"/>
                <w:highlight w:val="none"/>
              </w:rPr>
              <w:t>5</w:t>
            </w:r>
          </w:p>
        </w:tc>
        <w:tc>
          <w:tcPr>
            <w:tcW w:w="3657" w:type="dxa"/>
            <w:tcBorders>
              <w:tl2br w:val="nil"/>
              <w:tr2bl w:val="nil"/>
            </w:tcBorders>
            <w:shd w:val="clear" w:color="auto" w:fill="auto"/>
            <w:vAlign w:val="center"/>
          </w:tcPr>
          <w:p w14:paraId="14AE0CD9">
            <w:pPr>
              <w:kinsoku/>
              <w:spacing w:line="360" w:lineRule="auto"/>
              <w:jc w:val="center"/>
              <w:rPr>
                <w:rFonts w:ascii="宋体" w:eastAsia="宋体" w:cs="宋体"/>
                <w:color w:val="auto"/>
                <w:sz w:val="24"/>
                <w:szCs w:val="24"/>
                <w:highlight w:val="none"/>
              </w:rPr>
            </w:pPr>
            <w:r>
              <w:rPr>
                <w:rFonts w:hint="eastAsia" w:ascii="宋体" w:eastAsia="宋体" w:cs="宋体"/>
                <w:color w:val="auto"/>
                <w:sz w:val="24"/>
                <w:szCs w:val="24"/>
                <w:highlight w:val="none"/>
              </w:rPr>
              <w:t>评审方法</w:t>
            </w:r>
          </w:p>
        </w:tc>
        <w:tc>
          <w:tcPr>
            <w:tcW w:w="5051" w:type="dxa"/>
            <w:tcBorders>
              <w:tl2br w:val="nil"/>
              <w:tr2bl w:val="nil"/>
            </w:tcBorders>
            <w:shd w:val="clear" w:color="auto" w:fill="auto"/>
            <w:vAlign w:val="center"/>
          </w:tcPr>
          <w:p w14:paraId="0C297936">
            <w:pPr>
              <w:kinsoku/>
              <w:spacing w:line="360" w:lineRule="auto"/>
              <w:jc w:val="both"/>
              <w:rPr>
                <w:color w:val="auto"/>
                <w:highlight w:val="none"/>
              </w:rPr>
            </w:pPr>
            <w:r>
              <w:rPr>
                <w:rFonts w:hint="eastAsia" w:ascii="宋体" w:eastAsia="宋体" w:cs="宋体"/>
                <w:color w:val="auto"/>
                <w:sz w:val="24"/>
                <w:szCs w:val="24"/>
                <w:highlight w:val="none"/>
                <w:lang w:eastAsia="zh-CN"/>
              </w:rPr>
              <w:t>采购包</w:t>
            </w:r>
            <w:r>
              <w:rPr>
                <w:rFonts w:hint="eastAsia" w:ascii="宋体" w:eastAsia="宋体" w:cs="宋体"/>
                <w:color w:val="auto"/>
                <w:sz w:val="24"/>
                <w:szCs w:val="24"/>
                <w:highlight w:val="none"/>
                <w:lang w:val="en-US" w:eastAsia="zh-CN"/>
              </w:rPr>
              <w:t>1：</w:t>
            </w:r>
            <w:r>
              <w:rPr>
                <w:rFonts w:hint="eastAsia" w:ascii="宋体" w:eastAsia="宋体" w:cs="宋体"/>
                <w:color w:val="auto"/>
                <w:sz w:val="24"/>
                <w:szCs w:val="24"/>
                <w:highlight w:val="none"/>
              </w:rPr>
              <w:t>综合评分法</w:t>
            </w:r>
          </w:p>
        </w:tc>
      </w:tr>
      <w:tr w14:paraId="1EA4C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71" w:type="dxa"/>
            <w:tcBorders>
              <w:tl2br w:val="nil"/>
              <w:tr2bl w:val="nil"/>
            </w:tcBorders>
            <w:shd w:val="clear" w:color="auto" w:fill="auto"/>
            <w:vAlign w:val="center"/>
          </w:tcPr>
          <w:p w14:paraId="698BF5A7">
            <w:pPr>
              <w:kinsoku/>
              <w:spacing w:line="360" w:lineRule="auto"/>
              <w:jc w:val="center"/>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6</w:t>
            </w:r>
          </w:p>
        </w:tc>
        <w:tc>
          <w:tcPr>
            <w:tcW w:w="3657" w:type="dxa"/>
            <w:tcBorders>
              <w:tl2br w:val="nil"/>
              <w:tr2bl w:val="nil"/>
            </w:tcBorders>
            <w:shd w:val="clear" w:color="auto" w:fill="auto"/>
            <w:vAlign w:val="center"/>
          </w:tcPr>
          <w:p w14:paraId="72B83E02">
            <w:pPr>
              <w:kinsoku/>
              <w:spacing w:line="360" w:lineRule="auto"/>
              <w:jc w:val="center"/>
              <w:rPr>
                <w:rFonts w:ascii="宋体" w:eastAsia="宋体" w:cs="宋体"/>
                <w:color w:val="auto"/>
                <w:sz w:val="24"/>
                <w:szCs w:val="24"/>
                <w:highlight w:val="none"/>
              </w:rPr>
            </w:pPr>
            <w:r>
              <w:rPr>
                <w:rFonts w:hint="eastAsia" w:ascii="宋体" w:eastAsia="宋体" w:cs="宋体"/>
                <w:color w:val="auto"/>
                <w:sz w:val="24"/>
                <w:szCs w:val="24"/>
                <w:highlight w:val="none"/>
              </w:rPr>
              <w:t>成交人确定</w:t>
            </w:r>
          </w:p>
        </w:tc>
        <w:tc>
          <w:tcPr>
            <w:tcW w:w="5051" w:type="dxa"/>
            <w:tcBorders>
              <w:tl2br w:val="nil"/>
              <w:tr2bl w:val="nil"/>
            </w:tcBorders>
            <w:shd w:val="clear" w:color="auto" w:fill="auto"/>
            <w:vAlign w:val="center"/>
          </w:tcPr>
          <w:p w14:paraId="014F54B3">
            <w:pPr>
              <w:kinsoku/>
              <w:spacing w:line="360" w:lineRule="auto"/>
              <w:jc w:val="both"/>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采购人授权评审小组按照评审原则直接确定成交供应商。</w:t>
            </w:r>
          </w:p>
        </w:tc>
      </w:tr>
      <w:tr w14:paraId="6F30C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71" w:type="dxa"/>
            <w:tcBorders>
              <w:tl2br w:val="nil"/>
              <w:tr2bl w:val="nil"/>
            </w:tcBorders>
            <w:shd w:val="clear" w:color="auto" w:fill="auto"/>
            <w:vAlign w:val="center"/>
          </w:tcPr>
          <w:p w14:paraId="73E539E8">
            <w:pPr>
              <w:kinsoku/>
              <w:spacing w:line="360" w:lineRule="auto"/>
              <w:jc w:val="center"/>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7</w:t>
            </w:r>
          </w:p>
        </w:tc>
        <w:tc>
          <w:tcPr>
            <w:tcW w:w="3657" w:type="dxa"/>
            <w:tcBorders>
              <w:tl2br w:val="nil"/>
              <w:tr2bl w:val="nil"/>
            </w:tcBorders>
            <w:shd w:val="clear" w:color="auto" w:fill="auto"/>
            <w:vAlign w:val="center"/>
          </w:tcPr>
          <w:p w14:paraId="20927BC6">
            <w:pPr>
              <w:kinsoku/>
              <w:spacing w:line="360" w:lineRule="auto"/>
              <w:jc w:val="center"/>
              <w:rPr>
                <w:rFonts w:ascii="宋体" w:hAnsi="Arial" w:eastAsia="宋体" w:cs="宋体"/>
                <w:color w:val="auto"/>
                <w:sz w:val="24"/>
                <w:szCs w:val="24"/>
                <w:highlight w:val="none"/>
                <w:lang w:val="en-US" w:eastAsia="en-US" w:bidi="ar-SA"/>
              </w:rPr>
            </w:pPr>
            <w:r>
              <w:rPr>
                <w:rFonts w:hint="eastAsia" w:ascii="宋体" w:eastAsia="宋体" w:cs="宋体"/>
                <w:color w:val="auto"/>
                <w:sz w:val="24"/>
                <w:szCs w:val="24"/>
                <w:highlight w:val="none"/>
              </w:rPr>
              <w:t>报价形式</w:t>
            </w:r>
          </w:p>
        </w:tc>
        <w:tc>
          <w:tcPr>
            <w:tcW w:w="5051" w:type="dxa"/>
            <w:tcBorders>
              <w:tl2br w:val="nil"/>
              <w:tr2bl w:val="nil"/>
            </w:tcBorders>
            <w:shd w:val="clear" w:color="auto" w:fill="auto"/>
            <w:vAlign w:val="center"/>
          </w:tcPr>
          <w:p w14:paraId="360923B4">
            <w:pPr>
              <w:kinsoku/>
              <w:spacing w:line="360" w:lineRule="auto"/>
              <w:jc w:val="both"/>
              <w:rPr>
                <w:rFonts w:hint="default" w:ascii="宋体" w:hAnsi="Arial" w:eastAsia="宋体" w:cs="宋体"/>
                <w:color w:val="auto"/>
                <w:sz w:val="24"/>
                <w:szCs w:val="24"/>
                <w:highlight w:val="none"/>
                <w:lang w:val="en-US" w:eastAsia="zh-CN" w:bidi="ar-SA"/>
              </w:rPr>
            </w:pPr>
            <w:r>
              <w:rPr>
                <w:rFonts w:hint="eastAsia" w:ascii="宋体" w:hAnsi="宋体" w:eastAsia="宋体" w:cs="宋体"/>
                <w:color w:val="auto"/>
                <w:spacing w:val="0"/>
                <w:w w:val="100"/>
                <w:sz w:val="24"/>
                <w:szCs w:val="24"/>
                <w:highlight w:val="none"/>
                <w:lang w:eastAsia="zh-CN"/>
              </w:rPr>
              <w:t>总价</w:t>
            </w:r>
          </w:p>
        </w:tc>
      </w:tr>
      <w:tr w14:paraId="5395C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71" w:type="dxa"/>
            <w:tcBorders>
              <w:tl2br w:val="nil"/>
              <w:tr2bl w:val="nil"/>
            </w:tcBorders>
            <w:shd w:val="clear" w:color="auto" w:fill="auto"/>
            <w:vAlign w:val="center"/>
          </w:tcPr>
          <w:p w14:paraId="41A2E9C4">
            <w:pPr>
              <w:kinsoku/>
              <w:spacing w:line="360" w:lineRule="auto"/>
              <w:jc w:val="center"/>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8</w:t>
            </w:r>
          </w:p>
        </w:tc>
        <w:tc>
          <w:tcPr>
            <w:tcW w:w="3657" w:type="dxa"/>
            <w:tcBorders>
              <w:tl2br w:val="nil"/>
              <w:tr2bl w:val="nil"/>
            </w:tcBorders>
            <w:shd w:val="clear" w:color="auto" w:fill="auto"/>
            <w:vAlign w:val="center"/>
          </w:tcPr>
          <w:p w14:paraId="12795F9E">
            <w:pPr>
              <w:kinsoku/>
              <w:spacing w:line="360" w:lineRule="auto"/>
              <w:jc w:val="center"/>
              <w:rPr>
                <w:rFonts w:ascii="宋体" w:hAnsi="Arial" w:eastAsia="宋体" w:cs="宋体"/>
                <w:color w:val="auto"/>
                <w:sz w:val="24"/>
                <w:szCs w:val="24"/>
                <w:highlight w:val="none"/>
                <w:lang w:val="en-US" w:eastAsia="zh-CN" w:bidi="ar-SA"/>
              </w:rPr>
            </w:pPr>
            <w:r>
              <w:rPr>
                <w:rFonts w:hint="eastAsia" w:ascii="宋体" w:eastAsia="宋体" w:cs="宋体"/>
                <w:color w:val="auto"/>
                <w:sz w:val="24"/>
                <w:szCs w:val="24"/>
                <w:highlight w:val="none"/>
              </w:rPr>
              <w:t>磋商保证金</w:t>
            </w:r>
          </w:p>
        </w:tc>
        <w:tc>
          <w:tcPr>
            <w:tcW w:w="5051" w:type="dxa"/>
            <w:tcBorders>
              <w:tl2br w:val="nil"/>
              <w:tr2bl w:val="nil"/>
            </w:tcBorders>
            <w:shd w:val="clear" w:color="auto" w:fill="auto"/>
            <w:vAlign w:val="center"/>
          </w:tcPr>
          <w:p w14:paraId="16090C7E">
            <w:pPr>
              <w:kinsoku/>
              <w:spacing w:line="360" w:lineRule="auto"/>
              <w:jc w:val="both"/>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磋商保证金金额：本项目不收取</w:t>
            </w:r>
          </w:p>
          <w:p w14:paraId="3A0A24A7">
            <w:pPr>
              <w:kinsoku/>
              <w:spacing w:line="360" w:lineRule="auto"/>
              <w:jc w:val="both"/>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lang w:eastAsia="zh-CN"/>
              </w:rPr>
              <w:t>磋商</w:t>
            </w:r>
            <w:r>
              <w:rPr>
                <w:rFonts w:hint="eastAsia" w:ascii="宋体" w:eastAsia="宋体" w:cs="宋体"/>
                <w:color w:val="auto"/>
                <w:sz w:val="24"/>
                <w:szCs w:val="24"/>
                <w:highlight w:val="none"/>
              </w:rPr>
              <w:t>保证金缴纳截止时间</w:t>
            </w:r>
            <w:r>
              <w:rPr>
                <w:rFonts w:hint="eastAsia" w:ascii="宋体" w:eastAsia="宋体" w:cs="宋体"/>
                <w:color w:val="auto"/>
                <w:sz w:val="24"/>
                <w:szCs w:val="24"/>
                <w:highlight w:val="none"/>
                <w:lang w:eastAsia="zh-CN"/>
              </w:rPr>
              <w:t>：</w:t>
            </w:r>
            <w:r>
              <w:rPr>
                <w:rFonts w:hint="eastAsia" w:ascii="宋体" w:eastAsia="宋体" w:cs="宋体"/>
                <w:color w:val="auto"/>
                <w:sz w:val="24"/>
                <w:szCs w:val="24"/>
                <w:highlight w:val="none"/>
                <w:lang w:val="en-US" w:eastAsia="zh-CN"/>
              </w:rPr>
              <w:t>/</w:t>
            </w:r>
          </w:p>
        </w:tc>
      </w:tr>
      <w:tr w14:paraId="71186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71" w:type="dxa"/>
            <w:tcBorders>
              <w:tl2br w:val="nil"/>
              <w:tr2bl w:val="nil"/>
            </w:tcBorders>
            <w:shd w:val="clear" w:color="auto" w:fill="auto"/>
            <w:vAlign w:val="center"/>
          </w:tcPr>
          <w:p w14:paraId="6FA1FCD7">
            <w:pPr>
              <w:kinsoku/>
              <w:spacing w:line="360" w:lineRule="auto"/>
              <w:jc w:val="center"/>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9</w:t>
            </w:r>
          </w:p>
        </w:tc>
        <w:tc>
          <w:tcPr>
            <w:tcW w:w="3657" w:type="dxa"/>
            <w:tcBorders>
              <w:tl2br w:val="nil"/>
              <w:tr2bl w:val="nil"/>
            </w:tcBorders>
            <w:shd w:val="clear" w:color="auto" w:fill="auto"/>
            <w:vAlign w:val="center"/>
          </w:tcPr>
          <w:p w14:paraId="0670C7FE">
            <w:pPr>
              <w:kinsoku/>
              <w:spacing w:line="360" w:lineRule="auto"/>
              <w:jc w:val="center"/>
              <w:rPr>
                <w:rFonts w:ascii="宋体" w:eastAsia="宋体" w:cs="宋体"/>
                <w:color w:val="auto"/>
                <w:sz w:val="24"/>
                <w:szCs w:val="24"/>
                <w:highlight w:val="none"/>
              </w:rPr>
            </w:pPr>
            <w:r>
              <w:rPr>
                <w:rFonts w:hint="eastAsia" w:ascii="宋体" w:eastAsia="宋体" w:cs="宋体"/>
                <w:color w:val="auto"/>
                <w:sz w:val="24"/>
                <w:szCs w:val="24"/>
                <w:highlight w:val="none"/>
                <w:lang w:eastAsia="zh-CN"/>
              </w:rPr>
              <w:t>电子</w:t>
            </w:r>
            <w:r>
              <w:rPr>
                <w:rFonts w:hint="eastAsia" w:ascii="宋体" w:eastAsia="宋体" w:cs="宋体"/>
                <w:color w:val="auto"/>
                <w:sz w:val="24"/>
                <w:szCs w:val="24"/>
                <w:highlight w:val="none"/>
              </w:rPr>
              <w:t>响应文件提交</w:t>
            </w:r>
          </w:p>
        </w:tc>
        <w:tc>
          <w:tcPr>
            <w:tcW w:w="5051" w:type="dxa"/>
            <w:tcBorders>
              <w:tl2br w:val="nil"/>
              <w:tr2bl w:val="nil"/>
            </w:tcBorders>
            <w:shd w:val="clear" w:color="auto" w:fill="auto"/>
            <w:vAlign w:val="center"/>
          </w:tcPr>
          <w:p w14:paraId="08902E29">
            <w:pPr>
              <w:kinsoku/>
              <w:spacing w:line="360" w:lineRule="auto"/>
              <w:jc w:val="both"/>
              <w:rPr>
                <w:rFonts w:hint="eastAsia" w:ascii="宋体" w:eastAsia="宋体" w:cs="宋体"/>
                <w:color w:val="auto"/>
                <w:sz w:val="24"/>
                <w:szCs w:val="24"/>
                <w:highlight w:val="none"/>
              </w:rPr>
            </w:pPr>
            <w:r>
              <w:rPr>
                <w:rFonts w:hint="eastAsia" w:ascii="宋体" w:eastAsia="宋体" w:cs="宋体"/>
                <w:color w:val="auto"/>
                <w:sz w:val="24"/>
                <w:szCs w:val="24"/>
                <w:highlight w:val="none"/>
              </w:rPr>
              <w:t>在响应文件提交截止时间前上传至“国资智采电子招投标交易平台（</w:t>
            </w:r>
            <w:r>
              <w:rPr>
                <w:rFonts w:hint="eastAsia" w:ascii="宋体" w:eastAsia="宋体" w:cs="宋体"/>
                <w:color w:val="auto"/>
                <w:sz w:val="24"/>
                <w:szCs w:val="24"/>
                <w:highlight w:val="none"/>
                <w:lang w:eastAsia="zh-CN"/>
              </w:rPr>
              <w:t>https://www.gzzczb.com</w:t>
            </w:r>
            <w:r>
              <w:rPr>
                <w:rFonts w:hint="eastAsia" w:ascii="宋体" w:eastAsia="宋体" w:cs="宋体"/>
                <w:color w:val="auto"/>
                <w:sz w:val="24"/>
                <w:szCs w:val="24"/>
                <w:highlight w:val="none"/>
              </w:rPr>
              <w:t>）”。</w:t>
            </w:r>
          </w:p>
          <w:p w14:paraId="1F67FDD4">
            <w:pPr>
              <w:kinsoku/>
              <w:spacing w:line="360" w:lineRule="auto"/>
              <w:jc w:val="both"/>
              <w:rPr>
                <w:rFonts w:hint="eastAsia"/>
                <w:highlight w:val="none"/>
                <w:lang w:eastAsia="zh-CN"/>
              </w:rPr>
            </w:pPr>
            <w:r>
              <w:rPr>
                <w:rFonts w:hint="eastAsia" w:ascii="宋体" w:eastAsia="宋体" w:cs="宋体"/>
                <w:color w:val="auto"/>
                <w:sz w:val="24"/>
                <w:szCs w:val="24"/>
                <w:highlight w:val="none"/>
              </w:rPr>
              <w:t>技术支持电话：</w:t>
            </w:r>
            <w:r>
              <w:rPr>
                <w:rFonts w:hint="eastAsia" w:ascii="宋体" w:eastAsia="宋体" w:cs="宋体"/>
                <w:color w:val="auto"/>
                <w:sz w:val="24"/>
                <w:szCs w:val="24"/>
                <w:highlight w:val="none"/>
                <w:lang w:eastAsia="zh-CN"/>
              </w:rPr>
              <w:t>400-666-0654</w:t>
            </w:r>
          </w:p>
        </w:tc>
      </w:tr>
      <w:tr w14:paraId="62404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71" w:type="dxa"/>
            <w:tcBorders>
              <w:tl2br w:val="nil"/>
              <w:tr2bl w:val="nil"/>
            </w:tcBorders>
            <w:shd w:val="clear" w:color="auto" w:fill="auto"/>
            <w:vAlign w:val="center"/>
          </w:tcPr>
          <w:p w14:paraId="79C72C0B">
            <w:pPr>
              <w:kinsoku/>
              <w:spacing w:line="360" w:lineRule="auto"/>
              <w:jc w:val="center"/>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10</w:t>
            </w:r>
          </w:p>
        </w:tc>
        <w:tc>
          <w:tcPr>
            <w:tcW w:w="3657" w:type="dxa"/>
            <w:tcBorders>
              <w:tl2br w:val="nil"/>
              <w:tr2bl w:val="nil"/>
            </w:tcBorders>
            <w:shd w:val="clear" w:color="auto" w:fill="auto"/>
            <w:vAlign w:val="center"/>
          </w:tcPr>
          <w:p w14:paraId="7DEF5161">
            <w:pPr>
              <w:kinsoku/>
              <w:spacing w:line="360" w:lineRule="auto"/>
              <w:jc w:val="center"/>
              <w:rPr>
                <w:rFonts w:ascii="宋体" w:eastAsia="宋体" w:cs="宋体"/>
                <w:color w:val="auto"/>
                <w:sz w:val="24"/>
                <w:szCs w:val="24"/>
                <w:highlight w:val="none"/>
              </w:rPr>
            </w:pPr>
            <w:r>
              <w:rPr>
                <w:rFonts w:hint="eastAsia" w:ascii="宋体" w:eastAsia="宋体" w:cs="宋体"/>
                <w:color w:val="auto"/>
                <w:sz w:val="24"/>
                <w:szCs w:val="24"/>
                <w:highlight w:val="none"/>
              </w:rPr>
              <w:t>响应文件数量</w:t>
            </w:r>
          </w:p>
        </w:tc>
        <w:tc>
          <w:tcPr>
            <w:tcW w:w="5051" w:type="dxa"/>
            <w:tcBorders>
              <w:tl2br w:val="nil"/>
              <w:tr2bl w:val="nil"/>
            </w:tcBorders>
            <w:shd w:val="clear" w:color="auto" w:fill="auto"/>
            <w:vAlign w:val="center"/>
          </w:tcPr>
          <w:p w14:paraId="59B8D8B8">
            <w:pPr>
              <w:kinsoku/>
              <w:spacing w:line="360" w:lineRule="auto"/>
              <w:jc w:val="both"/>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eastAsia="zh-CN"/>
              </w:rPr>
              <w:t>加密的电子响应文件1份</w:t>
            </w:r>
            <w:r>
              <w:rPr>
                <w:rFonts w:hint="eastAsia" w:ascii="宋体" w:eastAsia="宋体" w:cs="宋体"/>
                <w:color w:val="auto"/>
                <w:sz w:val="24"/>
                <w:szCs w:val="24"/>
                <w:highlight w:val="none"/>
                <w:lang w:val="en-US" w:eastAsia="zh-CN"/>
              </w:rPr>
              <w:t>(需</w:t>
            </w:r>
            <w:r>
              <w:rPr>
                <w:rFonts w:hint="eastAsia" w:ascii="宋体" w:eastAsia="宋体" w:cs="宋体"/>
                <w:color w:val="auto"/>
                <w:sz w:val="24"/>
                <w:szCs w:val="24"/>
                <w:highlight w:val="none"/>
              </w:rPr>
              <w:t>在响应文件提交截止时间前上传至“国资智采电子招投标交易平台</w:t>
            </w:r>
            <w:r>
              <w:rPr>
                <w:rFonts w:hint="eastAsia" w:ascii="宋体" w:eastAsia="宋体" w:cs="宋体"/>
                <w:color w:val="auto"/>
                <w:sz w:val="24"/>
                <w:szCs w:val="24"/>
                <w:highlight w:val="none"/>
                <w:lang w:eastAsia="zh-CN"/>
              </w:rPr>
              <w:t>“</w:t>
            </w:r>
            <w:r>
              <w:rPr>
                <w:rFonts w:hint="eastAsia" w:ascii="宋体" w:eastAsia="宋体" w:cs="宋体"/>
                <w:color w:val="auto"/>
                <w:sz w:val="24"/>
                <w:szCs w:val="24"/>
                <w:highlight w:val="none"/>
                <w:lang w:val="en-US" w:eastAsia="zh-CN"/>
              </w:rPr>
              <w:t>)</w:t>
            </w:r>
          </w:p>
          <w:p w14:paraId="66741C33">
            <w:pPr>
              <w:pStyle w:val="15"/>
              <w:rPr>
                <w:rFonts w:hint="default"/>
                <w:b/>
                <w:bCs/>
                <w:highlight w:val="none"/>
                <w:lang w:val="en-US" w:eastAsia="zh-CN"/>
              </w:rPr>
            </w:pPr>
            <w:r>
              <w:rPr>
                <w:rFonts w:hint="default"/>
                <w:b/>
                <w:bCs/>
                <w:highlight w:val="none"/>
                <w:lang w:val="en-US" w:eastAsia="zh-CN"/>
              </w:rPr>
              <w:t>投标供应商须在本项目开标后3日内，递交与电子版响应文件一致的纸质版响应文件一式三份（一正二副），用于采购人留存档案。</w:t>
            </w:r>
          </w:p>
          <w:p w14:paraId="78126567">
            <w:pPr>
              <w:pStyle w:val="15"/>
              <w:rPr>
                <w:rFonts w:hint="default"/>
                <w:highlight w:val="none"/>
                <w:lang w:val="en-US" w:eastAsia="zh-CN"/>
              </w:rPr>
            </w:pPr>
            <w:r>
              <w:rPr>
                <w:rFonts w:hint="default"/>
                <w:b/>
                <w:bCs/>
                <w:highlight w:val="none"/>
                <w:lang w:val="en-US" w:eastAsia="zh-CN"/>
              </w:rPr>
              <w:t>纸质版响应文件邮寄到采购代理机构处，邮寄地址详</w:t>
            </w:r>
            <w:r>
              <w:rPr>
                <w:rFonts w:hint="eastAsia"/>
                <w:b/>
                <w:bCs/>
                <w:highlight w:val="none"/>
                <w:lang w:val="en-US" w:eastAsia="zh-CN"/>
              </w:rPr>
              <w:t>：赤峰市松山区金帝商务大厦A座2区四楼评标1室</w:t>
            </w:r>
            <w:r>
              <w:rPr>
                <w:rFonts w:hint="default"/>
                <w:b/>
                <w:bCs/>
                <w:highlight w:val="none"/>
                <w:lang w:val="en-US" w:eastAsia="zh-CN"/>
              </w:rPr>
              <w:t>。</w:t>
            </w:r>
          </w:p>
        </w:tc>
      </w:tr>
      <w:tr w14:paraId="69946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71" w:type="dxa"/>
            <w:tcBorders>
              <w:tl2br w:val="nil"/>
              <w:tr2bl w:val="nil"/>
            </w:tcBorders>
            <w:shd w:val="clear" w:color="auto" w:fill="auto"/>
            <w:vAlign w:val="center"/>
          </w:tcPr>
          <w:p w14:paraId="34E0C634">
            <w:pPr>
              <w:kinsoku/>
              <w:spacing w:line="360" w:lineRule="auto"/>
              <w:jc w:val="center"/>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11</w:t>
            </w:r>
          </w:p>
        </w:tc>
        <w:tc>
          <w:tcPr>
            <w:tcW w:w="3657" w:type="dxa"/>
            <w:tcBorders>
              <w:tl2br w:val="nil"/>
              <w:tr2bl w:val="nil"/>
            </w:tcBorders>
            <w:shd w:val="clear" w:color="auto" w:fill="auto"/>
            <w:vAlign w:val="center"/>
          </w:tcPr>
          <w:p w14:paraId="1BFC7448">
            <w:pPr>
              <w:kinsoku/>
              <w:spacing w:line="360" w:lineRule="auto"/>
              <w:jc w:val="center"/>
              <w:rPr>
                <w:rFonts w:ascii="宋体" w:hAnsi="Arial" w:eastAsia="宋体" w:cs="宋体"/>
                <w:color w:val="auto"/>
                <w:sz w:val="24"/>
                <w:szCs w:val="24"/>
                <w:highlight w:val="none"/>
                <w:lang w:val="en-US" w:eastAsia="en-US" w:bidi="ar-SA"/>
              </w:rPr>
            </w:pPr>
            <w:r>
              <w:rPr>
                <w:rFonts w:hint="eastAsia" w:ascii="宋体" w:eastAsia="宋体" w:cs="宋体"/>
                <w:color w:val="auto"/>
                <w:sz w:val="24"/>
                <w:szCs w:val="24"/>
                <w:highlight w:val="none"/>
                <w:lang w:eastAsia="zh-CN"/>
              </w:rPr>
              <w:t>电子响应文件签字、盖章要求</w:t>
            </w:r>
          </w:p>
        </w:tc>
        <w:tc>
          <w:tcPr>
            <w:tcW w:w="5051" w:type="dxa"/>
            <w:tcBorders>
              <w:tl2br w:val="nil"/>
              <w:tr2bl w:val="nil"/>
            </w:tcBorders>
            <w:shd w:val="clear" w:color="auto" w:fill="auto"/>
            <w:vAlign w:val="center"/>
          </w:tcPr>
          <w:p w14:paraId="2C7533E9">
            <w:pPr>
              <w:kinsoku/>
              <w:spacing w:line="360" w:lineRule="auto"/>
              <w:jc w:val="both"/>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应按照第七章“响应文件格式与要求”，进行签字、加盖公章。</w:t>
            </w:r>
          </w:p>
          <w:p w14:paraId="14825C15">
            <w:pPr>
              <w:pStyle w:val="15"/>
              <w:spacing w:line="360" w:lineRule="auto"/>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说明：若涉及到授权代表签字的可将文件签字页先进行签字、扫描后导入加密电子响应文件。</w:t>
            </w:r>
          </w:p>
          <w:p w14:paraId="71B2E2EA">
            <w:pPr>
              <w:spacing w:line="360" w:lineRule="auto"/>
              <w:rPr>
                <w:rFonts w:ascii="Arial" w:hAnsi="Arial" w:eastAsia="Arial" w:cs="Arial"/>
                <w:color w:val="auto"/>
                <w:sz w:val="21"/>
                <w:szCs w:val="21"/>
                <w:highlight w:val="none"/>
                <w:lang w:val="en-US" w:eastAsia="zh-CN" w:bidi="ar-SA"/>
              </w:rPr>
            </w:pPr>
            <w:r>
              <w:rPr>
                <w:rFonts w:hint="eastAsia" w:ascii="宋体" w:eastAsia="宋体" w:cs="宋体"/>
                <w:color w:val="auto"/>
                <w:sz w:val="24"/>
                <w:szCs w:val="24"/>
                <w:highlight w:val="none"/>
                <w:lang w:eastAsia="zh-CN"/>
              </w:rPr>
              <w:t>电子签章（CA）需下载安装智签宝APP申请并关联项目使用。</w:t>
            </w:r>
          </w:p>
        </w:tc>
      </w:tr>
      <w:tr w14:paraId="62268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71" w:type="dxa"/>
            <w:tcBorders>
              <w:tl2br w:val="nil"/>
              <w:tr2bl w:val="nil"/>
            </w:tcBorders>
            <w:shd w:val="clear" w:color="auto" w:fill="auto"/>
            <w:vAlign w:val="center"/>
          </w:tcPr>
          <w:p w14:paraId="388E6937">
            <w:pPr>
              <w:kinsoku/>
              <w:spacing w:line="360" w:lineRule="auto"/>
              <w:jc w:val="center"/>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12</w:t>
            </w:r>
          </w:p>
        </w:tc>
        <w:tc>
          <w:tcPr>
            <w:tcW w:w="3657" w:type="dxa"/>
            <w:tcBorders>
              <w:tl2br w:val="nil"/>
              <w:tr2bl w:val="nil"/>
            </w:tcBorders>
            <w:shd w:val="clear" w:color="auto" w:fill="auto"/>
            <w:vAlign w:val="center"/>
          </w:tcPr>
          <w:p w14:paraId="5DE74881">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center"/>
              <w:rPr>
                <w:rFonts w:ascii="宋体" w:hAnsi="Arial" w:eastAsia="宋体" w:cs="宋体"/>
                <w:color w:val="auto"/>
                <w:sz w:val="24"/>
                <w:szCs w:val="24"/>
                <w:highlight w:val="none"/>
                <w:lang w:val="en-US" w:eastAsia="zh-CN" w:bidi="ar-SA"/>
              </w:rPr>
            </w:pPr>
            <w:r>
              <w:rPr>
                <w:rFonts w:hint="eastAsia" w:ascii="宋体" w:eastAsia="宋体" w:cs="宋体"/>
                <w:color w:val="auto"/>
                <w:sz w:val="24"/>
                <w:szCs w:val="24"/>
                <w:highlight w:val="none"/>
                <w:lang w:eastAsia="zh-CN"/>
              </w:rPr>
              <w:t>投标客户端</w:t>
            </w:r>
          </w:p>
        </w:tc>
        <w:tc>
          <w:tcPr>
            <w:tcW w:w="5051" w:type="dxa"/>
            <w:tcBorders>
              <w:tl2br w:val="nil"/>
              <w:tr2bl w:val="nil"/>
            </w:tcBorders>
            <w:shd w:val="clear" w:color="auto" w:fill="auto"/>
            <w:vAlign w:val="top"/>
          </w:tcPr>
          <w:p w14:paraId="15738A82">
            <w:pPr>
              <w:keepNext w:val="0"/>
              <w:keepLines w:val="0"/>
              <w:pageBreakBefore w:val="0"/>
              <w:widowControl/>
              <w:kinsoku/>
              <w:wordWrap/>
              <w:overflowPunct/>
              <w:topLinePunct w:val="0"/>
              <w:autoSpaceDE w:val="0"/>
              <w:autoSpaceDN w:val="0"/>
              <w:bidi w:val="0"/>
              <w:adjustRightInd w:val="0"/>
              <w:snapToGrid w:val="0"/>
              <w:spacing w:line="360" w:lineRule="auto"/>
              <w:ind w:right="0" w:rightChars="0"/>
              <w:jc w:val="both"/>
              <w:rPr>
                <w:rFonts w:ascii="宋体" w:hAnsi="Arial" w:eastAsia="宋体" w:cs="宋体"/>
                <w:color w:val="auto"/>
                <w:sz w:val="24"/>
                <w:szCs w:val="24"/>
                <w:highlight w:val="none"/>
                <w:lang w:val="en-US" w:eastAsia="zh-CN" w:bidi="ar-SA"/>
              </w:rPr>
            </w:pPr>
            <w:r>
              <w:rPr>
                <w:rFonts w:hint="eastAsia" w:ascii="宋体" w:eastAsia="宋体" w:cs="宋体"/>
                <w:color w:val="auto"/>
                <w:sz w:val="24"/>
                <w:szCs w:val="24"/>
                <w:highlight w:val="none"/>
                <w:lang w:eastAsia="zh-CN"/>
              </w:rPr>
              <w:t>投标客户端需要供应商在“</w:t>
            </w:r>
            <w:r>
              <w:rPr>
                <w:rFonts w:hint="eastAsia" w:ascii="宋体" w:eastAsia="宋体" w:cs="宋体"/>
                <w:color w:val="auto"/>
                <w:sz w:val="24"/>
                <w:szCs w:val="24"/>
                <w:highlight w:val="none"/>
              </w:rPr>
              <w:t>国资智采电子招投标交易平台（</w:t>
            </w:r>
            <w:r>
              <w:rPr>
                <w:rFonts w:hint="eastAsia" w:ascii="宋体" w:eastAsia="宋体" w:cs="宋体"/>
                <w:color w:val="auto"/>
                <w:sz w:val="24"/>
                <w:szCs w:val="24"/>
                <w:highlight w:val="none"/>
                <w:lang w:eastAsia="zh-CN"/>
              </w:rPr>
              <w:t>https://www.gzzczb.com</w:t>
            </w:r>
            <w:r>
              <w:rPr>
                <w:rFonts w:hint="eastAsia" w:ascii="宋体" w:eastAsia="宋体" w:cs="宋体"/>
                <w:color w:val="auto"/>
                <w:sz w:val="24"/>
                <w:szCs w:val="24"/>
                <w:highlight w:val="none"/>
              </w:rPr>
              <w:t>）</w:t>
            </w:r>
            <w:r>
              <w:rPr>
                <w:rFonts w:hint="eastAsia" w:ascii="宋体" w:eastAsia="宋体" w:cs="宋体"/>
                <w:color w:val="auto"/>
                <w:sz w:val="24"/>
                <w:szCs w:val="24"/>
                <w:highlight w:val="none"/>
                <w:lang w:eastAsia="zh-CN"/>
              </w:rPr>
              <w:t>”自行下载。</w:t>
            </w:r>
          </w:p>
        </w:tc>
      </w:tr>
      <w:tr w14:paraId="0C810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71" w:type="dxa"/>
            <w:tcBorders>
              <w:tl2br w:val="nil"/>
              <w:tr2bl w:val="nil"/>
            </w:tcBorders>
            <w:shd w:val="clear" w:color="auto" w:fill="auto"/>
            <w:vAlign w:val="center"/>
          </w:tcPr>
          <w:p w14:paraId="1954D06F">
            <w:pPr>
              <w:kinsoku/>
              <w:spacing w:line="360" w:lineRule="auto"/>
              <w:jc w:val="center"/>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13</w:t>
            </w:r>
          </w:p>
        </w:tc>
        <w:tc>
          <w:tcPr>
            <w:tcW w:w="3657" w:type="dxa"/>
            <w:tcBorders>
              <w:tl2br w:val="nil"/>
              <w:tr2bl w:val="nil"/>
            </w:tcBorders>
            <w:shd w:val="clear" w:color="auto" w:fill="auto"/>
            <w:vAlign w:val="center"/>
          </w:tcPr>
          <w:p w14:paraId="4F8698EA">
            <w:pPr>
              <w:kinsoku/>
              <w:spacing w:line="360" w:lineRule="auto"/>
              <w:ind w:left="0" w:leftChars="0" w:right="0" w:rightChars="0" w:firstLine="0" w:firstLineChars="0"/>
              <w:jc w:val="center"/>
              <w:rPr>
                <w:rFonts w:hint="eastAsia" w:ascii="宋体" w:eastAsia="宋体" w:cs="宋体"/>
                <w:color w:val="auto"/>
                <w:sz w:val="24"/>
                <w:szCs w:val="24"/>
                <w:highlight w:val="none"/>
              </w:rPr>
            </w:pPr>
            <w:r>
              <w:rPr>
                <w:rFonts w:hint="eastAsia" w:ascii="宋体" w:eastAsia="宋体" w:cs="宋体"/>
                <w:color w:val="auto"/>
                <w:sz w:val="24"/>
                <w:szCs w:val="24"/>
                <w:highlight w:val="none"/>
                <w:lang w:eastAsia="zh-CN"/>
              </w:rPr>
              <w:t>采购代理机构代理费用</w:t>
            </w:r>
          </w:p>
        </w:tc>
        <w:tc>
          <w:tcPr>
            <w:tcW w:w="5051" w:type="dxa"/>
            <w:tcBorders>
              <w:tl2br w:val="nil"/>
              <w:tr2bl w:val="nil"/>
            </w:tcBorders>
            <w:shd w:val="clear" w:color="auto" w:fill="auto"/>
            <w:vAlign w:val="center"/>
          </w:tcPr>
          <w:p w14:paraId="05988E35">
            <w:pPr>
              <w:keepNext w:val="0"/>
              <w:keepLines w:val="0"/>
              <w:pageBreakBefore w:val="0"/>
              <w:kinsoku/>
              <w:overflowPunct/>
              <w:bidi w:val="0"/>
              <w:adjustRightInd w:val="0"/>
              <w:snapToGrid w:val="0"/>
              <w:spacing w:line="360" w:lineRule="auto"/>
              <w:ind w:left="0" w:leftChars="0" w:right="0" w:rightChars="0" w:firstLine="0" w:firstLineChars="0"/>
              <w:jc w:val="both"/>
              <w:rPr>
                <w:rFonts w:hint="eastAsia" w:ascii="宋体" w:hAnsi="宋体" w:eastAsia="宋体" w:cs="宋体"/>
                <w:b w:val="0"/>
                <w:bCs w:val="0"/>
                <w:spacing w:val="0"/>
                <w:w w:val="100"/>
                <w:sz w:val="24"/>
                <w:szCs w:val="24"/>
                <w:lang w:eastAsia="zh-CN"/>
              </w:rPr>
            </w:pPr>
            <w:r>
              <w:rPr>
                <w:rFonts w:hint="eastAsia" w:ascii="宋体" w:hAnsi="宋体" w:eastAsia="宋体" w:cs="宋体"/>
                <w:b w:val="0"/>
                <w:bCs w:val="0"/>
                <w:spacing w:val="0"/>
                <w:w w:val="100"/>
                <w:sz w:val="24"/>
                <w:szCs w:val="24"/>
                <w:lang w:eastAsia="zh-CN"/>
              </w:rPr>
              <w:t>本项目收取代理服务费</w:t>
            </w:r>
          </w:p>
          <w:p w14:paraId="6475333E">
            <w:pPr>
              <w:keepNext w:val="0"/>
              <w:keepLines w:val="0"/>
              <w:pageBreakBefore w:val="0"/>
              <w:kinsoku/>
              <w:overflowPunct/>
              <w:bidi w:val="0"/>
              <w:adjustRightInd w:val="0"/>
              <w:snapToGrid w:val="0"/>
              <w:spacing w:line="360" w:lineRule="auto"/>
              <w:ind w:left="0" w:leftChars="0" w:right="0" w:rightChars="0" w:firstLine="0" w:firstLineChars="0"/>
              <w:jc w:val="both"/>
              <w:rPr>
                <w:rFonts w:hint="eastAsia" w:ascii="宋体" w:hAnsi="宋体" w:eastAsia="宋体" w:cs="宋体"/>
                <w:b w:val="0"/>
                <w:bCs w:val="0"/>
                <w:spacing w:val="0"/>
                <w:w w:val="100"/>
                <w:sz w:val="24"/>
                <w:szCs w:val="24"/>
                <w:highlight w:val="none"/>
                <w:lang w:eastAsia="zh-CN"/>
              </w:rPr>
            </w:pPr>
            <w:r>
              <w:rPr>
                <w:rFonts w:hint="eastAsia" w:ascii="宋体" w:hAnsi="宋体" w:eastAsia="宋体" w:cs="宋体"/>
                <w:b w:val="0"/>
                <w:bCs w:val="0"/>
                <w:spacing w:val="0"/>
                <w:w w:val="100"/>
                <w:sz w:val="24"/>
                <w:szCs w:val="24"/>
                <w:highlight w:val="none"/>
                <w:lang w:eastAsia="zh-CN"/>
              </w:rPr>
              <w:t>代理服务费用收取对象：</w:t>
            </w:r>
            <w:r>
              <w:rPr>
                <w:rFonts w:hint="eastAsia" w:ascii="宋体" w:eastAsia="宋体" w:cs="宋体"/>
                <w:color w:val="auto"/>
                <w:sz w:val="24"/>
                <w:szCs w:val="24"/>
                <w:highlight w:val="none"/>
                <w:shd w:val="clear"/>
                <w:lang w:eastAsia="zh-CN"/>
              </w:rPr>
              <w:t>采购人</w:t>
            </w:r>
          </w:p>
          <w:p w14:paraId="3D7FF9BA">
            <w:pPr>
              <w:keepNext w:val="0"/>
              <w:keepLines w:val="0"/>
              <w:pageBreakBefore w:val="0"/>
              <w:kinsoku/>
              <w:overflowPunct/>
              <w:bidi w:val="0"/>
              <w:adjustRightInd w:val="0"/>
              <w:snapToGrid w:val="0"/>
              <w:spacing w:line="360" w:lineRule="auto"/>
              <w:ind w:left="0" w:leftChars="0" w:right="0" w:rightChars="0" w:firstLine="0" w:firstLineChars="0"/>
              <w:jc w:val="both"/>
              <w:rPr>
                <w:rFonts w:hint="eastAsia" w:ascii="宋体" w:hAnsi="宋体" w:eastAsia="宋体" w:cs="宋体"/>
                <w:b w:val="0"/>
                <w:bCs w:val="0"/>
                <w:spacing w:val="0"/>
                <w:w w:val="100"/>
                <w:sz w:val="24"/>
                <w:szCs w:val="24"/>
                <w:highlight w:val="none"/>
                <w:lang w:eastAsia="zh-CN"/>
              </w:rPr>
            </w:pPr>
            <w:r>
              <w:rPr>
                <w:rFonts w:hint="eastAsia" w:ascii="宋体" w:hAnsi="宋体" w:eastAsia="宋体" w:cs="宋体"/>
                <w:b w:val="0"/>
                <w:bCs w:val="0"/>
                <w:spacing w:val="0"/>
                <w:w w:val="100"/>
                <w:sz w:val="24"/>
                <w:szCs w:val="24"/>
                <w:highlight w:val="none"/>
                <w:lang w:eastAsia="zh-CN"/>
              </w:rPr>
              <w:t>代理服务费收取标准：</w:t>
            </w:r>
            <w:r>
              <w:rPr>
                <w:rFonts w:hint="eastAsia" w:ascii="宋体" w:hAnsi="宋体" w:eastAsia="宋体" w:cs="宋体"/>
                <w:b w:val="0"/>
                <w:bCs w:val="0"/>
                <w:color w:val="000000" w:themeColor="text1"/>
                <w:spacing w:val="0"/>
                <w:w w:val="100"/>
                <w:sz w:val="24"/>
                <w:szCs w:val="24"/>
                <w:lang w:eastAsia="zh-CN"/>
                <w14:textFill>
                  <w14:solidFill>
                    <w14:schemeClr w14:val="tx1"/>
                  </w14:solidFill>
                </w14:textFill>
              </w:rPr>
              <w:t>参照原《内蒙古自治区建设工程采购代</w:t>
            </w:r>
            <w:r>
              <w:rPr>
                <w:rFonts w:hint="eastAsia" w:ascii="宋体" w:hAnsi="宋体" w:eastAsia="宋体" w:cs="宋体"/>
                <w:b w:val="0"/>
                <w:bCs w:val="0"/>
                <w:color w:val="000000" w:themeColor="text1"/>
                <w:spacing w:val="0"/>
                <w:w w:val="100"/>
                <w:sz w:val="24"/>
                <w:szCs w:val="24"/>
                <w:lang w:val="en-US" w:eastAsia="zh-CN"/>
                <w14:textFill>
                  <w14:solidFill>
                    <w14:schemeClr w14:val="tx1"/>
                  </w14:solidFill>
                </w14:textFill>
              </w:rPr>
              <w:t>-</w:t>
            </w:r>
            <w:bookmarkStart w:id="65" w:name="_GoBack"/>
            <w:bookmarkEnd w:id="65"/>
            <w:r>
              <w:rPr>
                <w:rFonts w:hint="eastAsia" w:ascii="宋体" w:hAnsi="宋体" w:eastAsia="宋体" w:cs="宋体"/>
                <w:b w:val="0"/>
                <w:bCs w:val="0"/>
                <w:color w:val="000000" w:themeColor="text1"/>
                <w:spacing w:val="0"/>
                <w:w w:val="100"/>
                <w:sz w:val="24"/>
                <w:szCs w:val="24"/>
                <w:lang w:eastAsia="zh-CN"/>
                <w14:textFill>
                  <w14:solidFill>
                    <w14:schemeClr w14:val="tx1"/>
                  </w14:solidFill>
                </w14:textFill>
              </w:rPr>
              <w:t>理服务收费指导意见（试行）》（内工建协〔2022〕34号）文件收费标准，按固定金额</w:t>
            </w:r>
            <w:r>
              <w:rPr>
                <w:rFonts w:hint="eastAsia" w:ascii="宋体" w:hAnsi="宋体" w:eastAsia="宋体" w:cs="宋体"/>
                <w:b w:val="0"/>
                <w:bCs w:val="0"/>
                <w:color w:val="000000" w:themeColor="text1"/>
                <w:spacing w:val="0"/>
                <w:w w:val="100"/>
                <w:sz w:val="24"/>
                <w:szCs w:val="24"/>
                <w:lang w:val="en-US" w:eastAsia="zh-CN"/>
                <w14:textFill>
                  <w14:solidFill>
                    <w14:schemeClr w14:val="tx1"/>
                  </w14:solidFill>
                </w14:textFill>
              </w:rPr>
              <w:t>4000.00元</w:t>
            </w:r>
            <w:r>
              <w:rPr>
                <w:rFonts w:hint="eastAsia" w:ascii="宋体" w:hAnsi="宋体" w:eastAsia="宋体" w:cs="宋体"/>
                <w:b w:val="0"/>
                <w:bCs w:val="0"/>
                <w:color w:val="000000" w:themeColor="text1"/>
                <w:spacing w:val="0"/>
                <w:w w:val="100"/>
                <w:sz w:val="24"/>
                <w:szCs w:val="24"/>
                <w:lang w:eastAsia="zh-CN"/>
                <w14:textFill>
                  <w14:solidFill>
                    <w14:schemeClr w14:val="tx1"/>
                  </w14:solidFill>
                </w14:textFill>
              </w:rPr>
              <w:t>收取。</w:t>
            </w:r>
          </w:p>
          <w:p w14:paraId="60696072">
            <w:pPr>
              <w:kinsoku/>
              <w:spacing w:line="360" w:lineRule="auto"/>
              <w:ind w:left="0" w:leftChars="0" w:right="0" w:rightChars="0" w:firstLine="0" w:firstLineChars="0"/>
              <w:jc w:val="both"/>
              <w:rPr>
                <w:rFonts w:hint="eastAsia" w:ascii="宋体" w:eastAsia="宋体" w:cs="宋体"/>
                <w:color w:val="auto"/>
                <w:sz w:val="24"/>
                <w:szCs w:val="24"/>
                <w:highlight w:val="none"/>
                <w:lang w:eastAsia="zh-CN"/>
              </w:rPr>
            </w:pPr>
            <w:r>
              <w:rPr>
                <w:rFonts w:hint="eastAsia" w:ascii="宋体" w:hAnsi="宋体" w:eastAsia="宋体" w:cs="宋体"/>
                <w:b w:val="0"/>
                <w:bCs w:val="0"/>
                <w:spacing w:val="0"/>
                <w:w w:val="100"/>
                <w:sz w:val="24"/>
                <w:szCs w:val="24"/>
                <w:lang w:eastAsia="zh-CN"/>
              </w:rPr>
              <w:t>代理费用收取方式：银行转账</w:t>
            </w:r>
          </w:p>
        </w:tc>
      </w:tr>
      <w:tr w14:paraId="6F957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71" w:type="dxa"/>
            <w:tcBorders>
              <w:tl2br w:val="nil"/>
              <w:tr2bl w:val="nil"/>
            </w:tcBorders>
            <w:shd w:val="clear" w:color="auto" w:fill="auto"/>
            <w:vAlign w:val="center"/>
          </w:tcPr>
          <w:p w14:paraId="1AEBDB6F">
            <w:pPr>
              <w:kinsoku/>
              <w:spacing w:line="360" w:lineRule="auto"/>
              <w:jc w:val="center"/>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14</w:t>
            </w:r>
          </w:p>
        </w:tc>
        <w:tc>
          <w:tcPr>
            <w:tcW w:w="3657" w:type="dxa"/>
            <w:tcBorders>
              <w:tl2br w:val="nil"/>
              <w:tr2bl w:val="nil"/>
            </w:tcBorders>
            <w:shd w:val="clear" w:color="auto" w:fill="auto"/>
            <w:vAlign w:val="center"/>
          </w:tcPr>
          <w:p w14:paraId="6F4A3EA2">
            <w:pPr>
              <w:kinsoku/>
              <w:spacing w:line="360" w:lineRule="auto"/>
              <w:jc w:val="center"/>
              <w:rPr>
                <w:rFonts w:ascii="宋体" w:hAnsi="Arial" w:eastAsia="宋体" w:cs="宋体"/>
                <w:color w:val="auto"/>
                <w:sz w:val="24"/>
                <w:szCs w:val="24"/>
                <w:highlight w:val="none"/>
                <w:lang w:val="en-US" w:eastAsia="zh-CN" w:bidi="ar-SA"/>
              </w:rPr>
            </w:pPr>
            <w:r>
              <w:rPr>
                <w:rFonts w:hint="eastAsia" w:ascii="宋体" w:eastAsia="宋体" w:cs="宋体"/>
                <w:color w:val="auto"/>
                <w:sz w:val="24"/>
                <w:szCs w:val="24"/>
                <w:highlight w:val="none"/>
              </w:rPr>
              <w:t>有效供应商家数</w:t>
            </w:r>
          </w:p>
        </w:tc>
        <w:tc>
          <w:tcPr>
            <w:tcW w:w="5051" w:type="dxa"/>
            <w:tcBorders>
              <w:tl2br w:val="nil"/>
              <w:tr2bl w:val="nil"/>
            </w:tcBorders>
            <w:shd w:val="clear" w:color="auto" w:fill="auto"/>
            <w:vAlign w:val="center"/>
          </w:tcPr>
          <w:p w14:paraId="2083374F">
            <w:pPr>
              <w:kinsoku/>
              <w:spacing w:line="360" w:lineRule="auto"/>
              <w:jc w:val="both"/>
              <w:rPr>
                <w:rFonts w:hint="eastAsia" w:ascii="宋体" w:hAnsi="Arial" w:eastAsia="宋体" w:cs="宋体"/>
                <w:color w:val="auto"/>
                <w:sz w:val="24"/>
                <w:szCs w:val="24"/>
                <w:highlight w:val="none"/>
                <w:lang w:val="en-US" w:eastAsia="zh-CN" w:bidi="ar-SA"/>
              </w:rPr>
            </w:pPr>
            <w:r>
              <w:rPr>
                <w:rFonts w:hint="eastAsia" w:ascii="宋体" w:hAnsi="Arial" w:eastAsia="宋体" w:cs="宋体"/>
                <w:color w:val="auto"/>
                <w:sz w:val="24"/>
                <w:szCs w:val="24"/>
                <w:highlight w:val="none"/>
                <w:lang w:val="en-US" w:eastAsia="zh-CN" w:bidi="ar-SA"/>
              </w:rPr>
              <w:t>采购包1：3家</w:t>
            </w:r>
          </w:p>
          <w:p w14:paraId="596F1357">
            <w:pPr>
              <w:kinsoku/>
              <w:spacing w:line="360" w:lineRule="auto"/>
              <w:jc w:val="both"/>
              <w:rPr>
                <w:rFonts w:hint="default" w:ascii="宋体" w:hAnsi="Arial" w:eastAsia="宋体" w:cs="宋体"/>
                <w:color w:val="auto"/>
                <w:sz w:val="24"/>
                <w:szCs w:val="24"/>
                <w:highlight w:val="none"/>
                <w:lang w:val="en-US" w:eastAsia="zh-CN" w:bidi="ar-SA"/>
              </w:rPr>
            </w:pPr>
            <w:r>
              <w:rPr>
                <w:rFonts w:hint="eastAsia" w:ascii="宋体" w:eastAsia="宋体" w:cs="宋体"/>
                <w:color w:val="auto"/>
                <w:sz w:val="24"/>
                <w:szCs w:val="24"/>
                <w:highlight w:val="none"/>
                <w:lang w:val="en-US" w:eastAsia="zh-CN" w:bidi="ar-SA"/>
              </w:rPr>
              <w:t>注：政府购买服务项目依照（财库〔2015〕124号）文件执行。</w:t>
            </w:r>
          </w:p>
        </w:tc>
      </w:tr>
      <w:tr w14:paraId="6E9A0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71" w:type="dxa"/>
            <w:tcBorders>
              <w:tl2br w:val="nil"/>
              <w:tr2bl w:val="nil"/>
            </w:tcBorders>
            <w:shd w:val="clear" w:color="auto" w:fill="auto"/>
            <w:vAlign w:val="center"/>
          </w:tcPr>
          <w:p w14:paraId="2A504923">
            <w:pPr>
              <w:kinsoku/>
              <w:spacing w:line="360" w:lineRule="auto"/>
              <w:jc w:val="center"/>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15</w:t>
            </w:r>
          </w:p>
        </w:tc>
        <w:tc>
          <w:tcPr>
            <w:tcW w:w="3657" w:type="dxa"/>
            <w:tcBorders>
              <w:tl2br w:val="nil"/>
              <w:tr2bl w:val="nil"/>
            </w:tcBorders>
            <w:shd w:val="clear" w:color="auto" w:fill="auto"/>
            <w:vAlign w:val="center"/>
          </w:tcPr>
          <w:p w14:paraId="0B52EF94">
            <w:pPr>
              <w:kinsoku/>
              <w:spacing w:line="360" w:lineRule="auto"/>
              <w:jc w:val="center"/>
              <w:rPr>
                <w:rFonts w:ascii="宋体" w:hAnsi="Arial" w:eastAsia="宋体" w:cs="宋体"/>
                <w:color w:val="auto"/>
                <w:sz w:val="24"/>
                <w:szCs w:val="24"/>
                <w:highlight w:val="none"/>
                <w:lang w:val="en-US" w:eastAsia="zh-CN" w:bidi="ar-SA"/>
              </w:rPr>
            </w:pPr>
            <w:r>
              <w:rPr>
                <w:rFonts w:hint="eastAsia" w:ascii="宋体" w:eastAsia="宋体" w:cs="宋体"/>
                <w:color w:val="auto"/>
                <w:sz w:val="24"/>
                <w:szCs w:val="24"/>
                <w:highlight w:val="none"/>
              </w:rPr>
              <w:t>现场踏勘</w:t>
            </w:r>
          </w:p>
        </w:tc>
        <w:tc>
          <w:tcPr>
            <w:tcW w:w="5051" w:type="dxa"/>
            <w:tcBorders>
              <w:tl2br w:val="nil"/>
              <w:tr2bl w:val="nil"/>
            </w:tcBorders>
            <w:shd w:val="clear" w:color="auto" w:fill="auto"/>
            <w:vAlign w:val="center"/>
          </w:tcPr>
          <w:p w14:paraId="2745D774">
            <w:pPr>
              <w:kinsoku/>
              <w:spacing w:line="360" w:lineRule="auto"/>
              <w:jc w:val="both"/>
              <w:rPr>
                <w:rFonts w:hint="eastAsia" w:ascii="宋体" w:hAnsi="Arial" w:eastAsia="宋体" w:cs="宋体"/>
                <w:color w:val="auto"/>
                <w:sz w:val="24"/>
                <w:szCs w:val="24"/>
                <w:highlight w:val="none"/>
                <w:lang w:val="en-US" w:eastAsia="zh-CN" w:bidi="ar-SA"/>
              </w:rPr>
            </w:pPr>
            <w:r>
              <w:rPr>
                <w:rFonts w:hint="eastAsia" w:ascii="宋体" w:hAnsi="Arial" w:eastAsia="宋体" w:cs="宋体"/>
                <w:color w:val="auto"/>
                <w:sz w:val="24"/>
                <w:szCs w:val="24"/>
                <w:highlight w:val="none"/>
                <w:lang w:val="en-US" w:eastAsia="zh-CN" w:bidi="ar-SA"/>
              </w:rPr>
              <w:t>采购包1：组织现场踏勘：否</w:t>
            </w:r>
          </w:p>
        </w:tc>
      </w:tr>
      <w:tr w14:paraId="6B4D5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71" w:type="dxa"/>
            <w:tcBorders>
              <w:tl2br w:val="nil"/>
              <w:tr2bl w:val="nil"/>
            </w:tcBorders>
            <w:shd w:val="clear" w:color="auto" w:fill="auto"/>
            <w:vAlign w:val="center"/>
          </w:tcPr>
          <w:p w14:paraId="12E2B99F">
            <w:pPr>
              <w:kinsoku/>
              <w:spacing w:line="360" w:lineRule="auto"/>
              <w:jc w:val="center"/>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16</w:t>
            </w:r>
          </w:p>
        </w:tc>
        <w:tc>
          <w:tcPr>
            <w:tcW w:w="3657" w:type="dxa"/>
            <w:tcBorders>
              <w:tl2br w:val="nil"/>
              <w:tr2bl w:val="nil"/>
            </w:tcBorders>
            <w:shd w:val="clear" w:color="auto" w:fill="auto"/>
            <w:vAlign w:val="center"/>
          </w:tcPr>
          <w:p w14:paraId="6CCF2416">
            <w:pPr>
              <w:kinsoku/>
              <w:spacing w:line="360" w:lineRule="auto"/>
              <w:jc w:val="center"/>
              <w:rPr>
                <w:rFonts w:ascii="宋体" w:hAnsi="Arial" w:eastAsia="宋体" w:cs="宋体"/>
                <w:color w:val="auto"/>
                <w:sz w:val="24"/>
                <w:szCs w:val="24"/>
                <w:highlight w:val="none"/>
                <w:lang w:val="en-US" w:eastAsia="en-US" w:bidi="ar-SA"/>
              </w:rPr>
            </w:pPr>
            <w:r>
              <w:rPr>
                <w:rFonts w:hint="eastAsia" w:ascii="宋体" w:eastAsia="宋体" w:cs="宋体"/>
                <w:color w:val="auto"/>
                <w:sz w:val="24"/>
                <w:szCs w:val="24"/>
                <w:highlight w:val="none"/>
              </w:rPr>
              <w:t>其他</w:t>
            </w:r>
          </w:p>
        </w:tc>
        <w:tc>
          <w:tcPr>
            <w:tcW w:w="5051" w:type="dxa"/>
            <w:tcBorders>
              <w:tl2br w:val="nil"/>
              <w:tr2bl w:val="nil"/>
            </w:tcBorders>
            <w:shd w:val="clear" w:color="auto" w:fill="auto"/>
            <w:vAlign w:val="center"/>
          </w:tcPr>
          <w:p w14:paraId="00E1596C">
            <w:pPr>
              <w:kinsoku/>
              <w:spacing w:line="360" w:lineRule="auto"/>
              <w:jc w:val="both"/>
              <w:rPr>
                <w:rFonts w:hint="eastAsia" w:ascii="宋体" w:hAnsi="Arial" w:eastAsia="宋体" w:cs="宋体"/>
                <w:color w:val="auto"/>
                <w:sz w:val="24"/>
                <w:szCs w:val="24"/>
                <w:highlight w:val="none"/>
                <w:lang w:val="en-US" w:eastAsia="zh-CN" w:bidi="ar-SA"/>
              </w:rPr>
            </w:pPr>
            <w:r>
              <w:rPr>
                <w:rFonts w:hint="eastAsia" w:ascii="宋体" w:eastAsia="宋体" w:cs="宋体"/>
                <w:color w:val="auto"/>
                <w:sz w:val="24"/>
                <w:szCs w:val="24"/>
                <w:highlight w:val="none"/>
                <w:lang w:val="en-US" w:eastAsia="zh-CN" w:bidi="ar-SA"/>
              </w:rPr>
              <w:t>无</w:t>
            </w:r>
          </w:p>
        </w:tc>
      </w:tr>
    </w:tbl>
    <w:p w14:paraId="184F2EC0">
      <w:pPr>
        <w:kinsoku/>
        <w:spacing w:before="240" w:beforeLines="100" w:line="360" w:lineRule="auto"/>
        <w:ind w:firstLine="482" w:firstLineChars="200"/>
        <w:outlineLvl w:val="1"/>
        <w:rPr>
          <w:rFonts w:ascii="宋体" w:eastAsia="宋体" w:cs="宋体"/>
          <w:b/>
          <w:bCs/>
          <w:color w:val="auto"/>
          <w:sz w:val="24"/>
          <w:szCs w:val="24"/>
          <w:highlight w:val="none"/>
        </w:rPr>
      </w:pPr>
      <w:r>
        <w:rPr>
          <w:rFonts w:hint="eastAsia" w:ascii="宋体" w:eastAsia="宋体" w:cs="宋体"/>
          <w:b/>
          <w:bCs/>
          <w:color w:val="auto"/>
          <w:sz w:val="24"/>
          <w:szCs w:val="24"/>
          <w:highlight w:val="none"/>
        </w:rPr>
        <w:t>二、磋商须知</w:t>
      </w:r>
      <w:bookmarkEnd w:id="9"/>
    </w:p>
    <w:p w14:paraId="3BEBD06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2" w:firstLineChars="200"/>
        <w:jc w:val="both"/>
        <w:rPr>
          <w:rFonts w:hint="default" w:ascii="宋体" w:eastAsia="宋体" w:cs="宋体"/>
          <w:b/>
          <w:bCs/>
          <w:color w:val="auto"/>
          <w:sz w:val="24"/>
          <w:szCs w:val="24"/>
          <w:highlight w:val="none"/>
          <w:lang w:val="en-US" w:eastAsia="zh-CN"/>
        </w:rPr>
      </w:pPr>
      <w:r>
        <w:rPr>
          <w:rFonts w:hint="eastAsia" w:ascii="宋体" w:eastAsia="宋体" w:cs="宋体"/>
          <w:b/>
          <w:bCs/>
          <w:color w:val="auto"/>
          <w:sz w:val="24"/>
          <w:szCs w:val="24"/>
          <w:highlight w:val="none"/>
          <w:lang w:val="en-US" w:eastAsia="zh-CN"/>
        </w:rPr>
        <w:t>1.响应方式</w:t>
      </w:r>
    </w:p>
    <w:p w14:paraId="1E5F3B4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b w:val="0"/>
          <w:bCs w:val="0"/>
          <w:color w:val="auto"/>
          <w:sz w:val="24"/>
          <w:szCs w:val="24"/>
          <w:highlight w:val="none"/>
        </w:rPr>
      </w:pPr>
      <w:r>
        <w:rPr>
          <w:rFonts w:hint="eastAsia" w:ascii="宋体" w:eastAsia="宋体" w:cs="宋体"/>
          <w:color w:val="auto"/>
          <w:sz w:val="24"/>
          <w:szCs w:val="24"/>
          <w:highlight w:val="none"/>
          <w:lang w:eastAsia="zh-CN"/>
        </w:rPr>
        <w:t>网上投标，远程不见面方式（供应商无需到现场）。</w:t>
      </w:r>
    </w:p>
    <w:p w14:paraId="62A29E7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2" w:firstLineChars="200"/>
        <w:jc w:val="both"/>
        <w:rPr>
          <w:rFonts w:hint="eastAsia" w:ascii="宋体" w:eastAsia="宋体" w:cs="宋体"/>
          <w:color w:val="auto"/>
          <w:sz w:val="24"/>
          <w:szCs w:val="24"/>
          <w:highlight w:val="none"/>
        </w:rPr>
      </w:pPr>
      <w:r>
        <w:rPr>
          <w:rFonts w:hint="eastAsia" w:ascii="宋体" w:eastAsia="宋体" w:cs="宋体"/>
          <w:b/>
          <w:bCs/>
          <w:color w:val="auto"/>
          <w:sz w:val="24"/>
          <w:szCs w:val="24"/>
          <w:highlight w:val="none"/>
        </w:rPr>
        <w:t>2.</w:t>
      </w:r>
      <w:r>
        <w:rPr>
          <w:rFonts w:hint="eastAsia" w:ascii="宋体" w:eastAsia="宋体" w:cs="宋体"/>
          <w:b/>
          <w:bCs/>
          <w:color w:val="auto"/>
          <w:sz w:val="24"/>
          <w:szCs w:val="24"/>
          <w:highlight w:val="none"/>
          <w:lang w:eastAsia="zh-CN"/>
        </w:rPr>
        <w:t>投标</w:t>
      </w:r>
      <w:r>
        <w:rPr>
          <w:rFonts w:hint="eastAsia" w:ascii="宋体" w:eastAsia="宋体" w:cs="宋体"/>
          <w:b/>
          <w:bCs/>
          <w:color w:val="auto"/>
          <w:sz w:val="24"/>
          <w:szCs w:val="24"/>
          <w:highlight w:val="none"/>
        </w:rPr>
        <w:t>保证金：</w:t>
      </w:r>
      <w:r>
        <w:rPr>
          <w:rFonts w:hint="eastAsia" w:ascii="宋体" w:eastAsia="宋体" w:cs="宋体"/>
          <w:color w:val="auto"/>
          <w:sz w:val="24"/>
          <w:szCs w:val="24"/>
          <w:highlight w:val="none"/>
        </w:rPr>
        <w:t>无</w:t>
      </w:r>
    </w:p>
    <w:p w14:paraId="2745DF7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2" w:firstLineChars="200"/>
        <w:jc w:val="both"/>
        <w:rPr>
          <w:rFonts w:hint="eastAsia" w:ascii="宋体" w:eastAsia="宋体" w:cs="宋体"/>
          <w:color w:val="auto"/>
          <w:sz w:val="24"/>
          <w:szCs w:val="24"/>
          <w:highlight w:val="none"/>
        </w:rPr>
      </w:pPr>
      <w:r>
        <w:rPr>
          <w:rFonts w:hint="eastAsia" w:ascii="宋体" w:eastAsia="宋体" w:cs="宋体"/>
          <w:b/>
          <w:bCs/>
          <w:color w:val="auto"/>
          <w:sz w:val="24"/>
          <w:szCs w:val="24"/>
          <w:highlight w:val="none"/>
        </w:rPr>
        <w:t>3.全流程电子化交易</w:t>
      </w:r>
      <w:r>
        <w:rPr>
          <w:rFonts w:hint="eastAsia" w:ascii="宋体" w:eastAsia="宋体" w:cs="宋体"/>
          <w:b/>
          <w:bCs/>
          <w:color w:val="auto"/>
          <w:sz w:val="24"/>
          <w:szCs w:val="24"/>
          <w:highlight w:val="none"/>
          <w:lang w:eastAsia="zh-CN"/>
        </w:rPr>
        <w:t>：</w:t>
      </w:r>
    </w:p>
    <w:p w14:paraId="3021D87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各供应商应当在国资智采电子招投标交易平台开展与本项目有关的采购活动，并对其操作行为和电子签名、电子印章确认的事项承担法律责任。国资智采交易平台技术支持电话：400-666-0654</w:t>
      </w:r>
    </w:p>
    <w:p w14:paraId="0E9CB5C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请各供应商熟练掌握不见面开标、不见面评标操作相关事宜，若无法正常响应，供应商自行承担责任。</w:t>
      </w:r>
    </w:p>
    <w:p w14:paraId="32147A0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3.1 供应商在国资智采电子招投标交易平台（https://www.gzzczb.com）申请或注册账号，完善信息后，才可进行网上响应。</w:t>
      </w:r>
    </w:p>
    <w:p w14:paraId="713A4FE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3.2 供应商应使用“投标文件制作工具-智采投标”编制、签章、生成加密投标文件，并在投标文件开启时间前上传加密的最终版电子投标文件至“国资智采电子招投标交易平台”，未在递交投标文件截止时间前上传电子投标文件的，视为自动放弃。</w:t>
      </w:r>
    </w:p>
    <w:p w14:paraId="7383790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3.3 供应商的法定代表人或其授权代表应当按照本项目招标公告载明的时间等要求参加开标，在开标时间前30分钟内，登录国资智采电子交易系统确认参加开标。</w:t>
      </w:r>
    </w:p>
    <w:p w14:paraId="594FF66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开标时，供应商应当</w:t>
      </w:r>
      <w:r>
        <w:rPr>
          <w:rFonts w:hint="eastAsia" w:ascii="宋体" w:eastAsia="宋体" w:cs="宋体"/>
          <w:b/>
          <w:bCs/>
          <w:color w:val="auto"/>
          <w:sz w:val="24"/>
          <w:szCs w:val="24"/>
          <w:highlight w:val="none"/>
          <w:lang w:val="en-US" w:eastAsia="zh-CN"/>
        </w:rPr>
        <w:t>使用密码文件中的密匙</w:t>
      </w:r>
      <w:r>
        <w:rPr>
          <w:rFonts w:hint="eastAsia" w:ascii="宋体" w:eastAsia="宋体" w:cs="宋体"/>
          <w:color w:val="auto"/>
          <w:sz w:val="24"/>
          <w:szCs w:val="24"/>
          <w:highlight w:val="none"/>
          <w:lang w:val="en-US" w:eastAsia="zh-CN"/>
        </w:rPr>
        <w:t>在开始解密后30分钟内完成全部已投采购包的投标文件在线解密，若出现系统异常情况，工作人员可适当延长解密时长。如在开标过程中出现意外情况导致无法继续进行时，由代理机构会同采购人决定是否允许供应商导入“备用标书”继续开标。本项目采用电子评标，只对开标环节验证通过的电子响应文件进行评审。</w:t>
      </w:r>
    </w:p>
    <w:p w14:paraId="37158FB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开标时出现下列情况的，采购人、采购代理机构应当视为供应商不再参与本项目采购活动。</w:t>
      </w:r>
    </w:p>
    <w:p w14:paraId="568A301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(1)供应商未在规定时间内完成电子响应文件在线解密的；</w:t>
      </w:r>
    </w:p>
    <w:p w14:paraId="0FA985F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(2)无法解密响应文件的；</w:t>
      </w:r>
    </w:p>
    <w:p w14:paraId="54169647">
      <w:pPr>
        <w:kinsoku/>
        <w:spacing w:line="360" w:lineRule="auto"/>
        <w:ind w:firstLine="480" w:firstLineChars="200"/>
        <w:jc w:val="both"/>
        <w:rPr>
          <w:rFonts w:ascii="宋体" w:eastAsia="宋体" w:cs="宋体"/>
          <w:b/>
          <w:bCs/>
          <w:color w:val="auto"/>
          <w:sz w:val="24"/>
          <w:szCs w:val="24"/>
          <w:highlight w:val="none"/>
          <w:lang w:eastAsia="zh-CN"/>
        </w:rPr>
      </w:pPr>
      <w:r>
        <w:rPr>
          <w:rFonts w:hint="eastAsia" w:ascii="宋体" w:eastAsia="宋体" w:cs="宋体"/>
          <w:color w:val="auto"/>
          <w:sz w:val="24"/>
          <w:szCs w:val="24"/>
          <w:highlight w:val="none"/>
          <w:lang w:val="en-US" w:eastAsia="zh-CN"/>
        </w:rPr>
        <w:t>(3)供应商自身原因造成电子响应文件未能解密的。</w:t>
      </w:r>
    </w:p>
    <w:p w14:paraId="079299A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outlineLvl w:val="9"/>
        <w:rPr>
          <w:rFonts w:hint="default" w:ascii="宋体" w:eastAsia="宋体" w:cs="宋体"/>
          <w:b w:val="0"/>
          <w:bCs w:val="0"/>
          <w:color w:val="auto"/>
          <w:sz w:val="24"/>
          <w:szCs w:val="24"/>
          <w:highlight w:val="none"/>
          <w:lang w:val="en-US" w:eastAsia="zh-CN"/>
        </w:rPr>
      </w:pPr>
      <w:r>
        <w:rPr>
          <w:rFonts w:hint="eastAsia" w:ascii="宋体" w:eastAsia="宋体" w:cs="宋体"/>
          <w:b w:val="0"/>
          <w:bCs w:val="0"/>
          <w:color w:val="auto"/>
          <w:sz w:val="24"/>
          <w:szCs w:val="24"/>
          <w:highlight w:val="none"/>
          <w:lang w:val="en-US" w:eastAsia="zh-CN"/>
        </w:rPr>
        <w:t>3.4 磋商</w:t>
      </w:r>
    </w:p>
    <w:p w14:paraId="147BAFD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outlineLvl w:val="9"/>
        <w:rPr>
          <w:rFonts w:hint="default" w:ascii="宋体" w:eastAsia="宋体" w:cs="宋体"/>
          <w:b w:val="0"/>
          <w:bCs w:val="0"/>
          <w:color w:val="auto"/>
          <w:sz w:val="24"/>
          <w:szCs w:val="24"/>
          <w:highlight w:val="none"/>
          <w:lang w:val="en-US" w:eastAsia="zh-CN"/>
        </w:rPr>
      </w:pPr>
      <w:r>
        <w:rPr>
          <w:rFonts w:hint="eastAsia" w:ascii="宋体" w:eastAsia="宋体" w:cs="宋体"/>
          <w:b w:val="0"/>
          <w:bCs w:val="0"/>
          <w:color w:val="auto"/>
          <w:sz w:val="24"/>
          <w:szCs w:val="24"/>
          <w:highlight w:val="none"/>
          <w:lang w:val="en-US" w:eastAsia="zh-CN"/>
        </w:rPr>
        <w:t>磋商小组所有成员将集中与资格及符合性审查通过的供应商分别进行磋商，并给予所有参加磋商的供应商平等的磋商机会。供应商应及时关注磋商信息，如因个人原因未参与磋商，后果自负。具体内容详见第五章。</w:t>
      </w:r>
    </w:p>
    <w:p w14:paraId="6D4C4EF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outlineLvl w:val="9"/>
        <w:rPr>
          <w:rFonts w:hint="default" w:ascii="宋体" w:eastAsia="宋体" w:cs="宋体"/>
          <w:b w:val="0"/>
          <w:bCs w:val="0"/>
          <w:color w:val="auto"/>
          <w:sz w:val="24"/>
          <w:szCs w:val="24"/>
          <w:highlight w:val="none"/>
          <w:lang w:val="en-US" w:eastAsia="zh-CN"/>
        </w:rPr>
      </w:pPr>
      <w:r>
        <w:rPr>
          <w:rFonts w:hint="eastAsia" w:ascii="宋体" w:eastAsia="宋体" w:cs="宋体"/>
          <w:b w:val="0"/>
          <w:bCs w:val="0"/>
          <w:color w:val="auto"/>
          <w:sz w:val="24"/>
          <w:szCs w:val="24"/>
          <w:highlight w:val="none"/>
          <w:lang w:val="en-US" w:eastAsia="zh-CN"/>
        </w:rPr>
        <w:t>3.5 最后报价</w:t>
      </w:r>
    </w:p>
    <w:p w14:paraId="485E72A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outlineLvl w:val="9"/>
        <w:rPr>
          <w:rFonts w:hint="default" w:ascii="宋体" w:eastAsia="宋体" w:cs="宋体"/>
          <w:b w:val="0"/>
          <w:bCs w:val="0"/>
          <w:color w:val="auto"/>
          <w:sz w:val="24"/>
          <w:szCs w:val="24"/>
          <w:highlight w:val="none"/>
          <w:lang w:val="en-US" w:eastAsia="zh-CN"/>
        </w:rPr>
      </w:pPr>
      <w:r>
        <w:rPr>
          <w:rFonts w:hint="eastAsia" w:ascii="宋体" w:eastAsia="宋体" w:cs="宋体"/>
          <w:b w:val="0"/>
          <w:bCs w:val="0"/>
          <w:color w:val="auto"/>
          <w:sz w:val="24"/>
          <w:szCs w:val="24"/>
          <w:highlight w:val="none"/>
          <w:lang w:val="en-US" w:eastAsia="zh-CN"/>
        </w:rPr>
        <w:t>磋商结束后，磋商小组将要求所有实质性响应的供应商在规定时间内提交最后报价。供应商应及时关注报价信息，如因个人原因未报价，后果自负。最后报价是供应商响应文件的有效组成部分。具体内容详见第五章。</w:t>
      </w:r>
    </w:p>
    <w:p w14:paraId="7CAC90BF">
      <w:pPr>
        <w:kinsoku/>
        <w:spacing w:line="360" w:lineRule="auto"/>
        <w:ind w:firstLine="482" w:firstLineChars="200"/>
        <w:outlineLvl w:val="1"/>
        <w:rPr>
          <w:rFonts w:ascii="宋体" w:eastAsia="宋体" w:cs="宋体"/>
          <w:color w:val="auto"/>
          <w:sz w:val="24"/>
          <w:szCs w:val="24"/>
          <w:highlight w:val="none"/>
          <w:lang w:eastAsia="zh-CN"/>
        </w:rPr>
      </w:pPr>
      <w:bookmarkStart w:id="10" w:name="_Toc6311"/>
      <w:r>
        <w:rPr>
          <w:rFonts w:hint="eastAsia" w:ascii="宋体" w:eastAsia="宋体" w:cs="宋体"/>
          <w:b/>
          <w:bCs/>
          <w:color w:val="auto"/>
          <w:sz w:val="24"/>
          <w:szCs w:val="24"/>
          <w:highlight w:val="none"/>
          <w:lang w:eastAsia="zh-CN"/>
        </w:rPr>
        <w:t>三、说明</w:t>
      </w:r>
      <w:bookmarkEnd w:id="10"/>
    </w:p>
    <w:p w14:paraId="409977BA">
      <w:pPr>
        <w:kinsoku/>
        <w:spacing w:line="360" w:lineRule="auto"/>
        <w:ind w:firstLine="482" w:firstLineChars="200"/>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1.总则</w:t>
      </w:r>
    </w:p>
    <w:p w14:paraId="346C72E2">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本磋商文件参照《中华人民共和国政府采购法》《中华人民共和国政府采购法实施条例》和《政府采购竞争性磋商采购方式管理暂行办法》及依据国家和自治区有关法律、法规、规章制度编制。</w:t>
      </w:r>
    </w:p>
    <w:p w14:paraId="521553BA">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供应商应仔细阅读本项目信息公告及磋商文件的所有内容（包括澄清或者修改），按照磋商文件要求以及格式编制响应文件，并保证其真实性，否则一切后果自负。</w:t>
      </w:r>
    </w:p>
    <w:p w14:paraId="5578C17C">
      <w:pPr>
        <w:kinsoku/>
        <w:spacing w:line="360" w:lineRule="auto"/>
        <w:ind w:firstLine="482" w:firstLineChars="200"/>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2.适用范围</w:t>
      </w:r>
    </w:p>
    <w:p w14:paraId="79B35C3C">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本磋商文件仅适用于本次竞争性磋商公告中所涉及的项目和内容。</w:t>
      </w:r>
    </w:p>
    <w:p w14:paraId="3B52ABB4">
      <w:pPr>
        <w:kinsoku/>
        <w:spacing w:line="360" w:lineRule="auto"/>
        <w:ind w:firstLine="482" w:firstLineChars="200"/>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3.相关费用</w:t>
      </w:r>
    </w:p>
    <w:p w14:paraId="04C6DDB2">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供应商应自行承担所有与准备、参加磋商有关的费用。不论磋商结果如何，采购人或采购代理机构均无义务和责任承担相关费用。</w:t>
      </w:r>
    </w:p>
    <w:p w14:paraId="5372A8E1">
      <w:pPr>
        <w:kinsoku/>
        <w:spacing w:line="360" w:lineRule="auto"/>
        <w:ind w:firstLine="482" w:firstLineChars="200"/>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4.各参与方</w:t>
      </w:r>
    </w:p>
    <w:p w14:paraId="21A3130E">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4.1 “采购人”是指依法进行政府采购的国家机关、事业单位、团体组织。本磋商文件的采购人特指赤峰市生态环境局红山区分局。</w:t>
      </w:r>
    </w:p>
    <w:p w14:paraId="29EC97B2">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4.2“采购代理机构”是指集中采购机构和集中采购机构以外的采购代理机构。本磋商文件的采购代理机构特指赤峰鸿途项目管理有限公司。</w:t>
      </w:r>
    </w:p>
    <w:p w14:paraId="0B7DEB29">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4.3 “供应商”是指向采购人提供货物、工程或者服务的法人、其他组织或者自然人。</w:t>
      </w:r>
    </w:p>
    <w:p w14:paraId="04FBD24C">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4.4 “磋商小组”由采购人代表和评审专家组成。</w:t>
      </w:r>
    </w:p>
    <w:p w14:paraId="0B5692FD">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4.5“成交供应商”是指取得与采购人签订合同资格的供应商。</w:t>
      </w:r>
    </w:p>
    <w:p w14:paraId="2130085D">
      <w:pPr>
        <w:kinsoku/>
        <w:spacing w:line="360" w:lineRule="auto"/>
        <w:ind w:firstLine="482" w:firstLineChars="200"/>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5.合格的供应商</w:t>
      </w:r>
    </w:p>
    <w:p w14:paraId="37AE1CDE">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5.1 符合本磋商文件规定的资格要求，并按照要求提供相关证明材料。</w:t>
      </w:r>
    </w:p>
    <w:p w14:paraId="42CD7A7B">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5.2 单位负责人为同一人或者存在直接控股、管理关系的不同供应商，不得参加同一合同项下的政府采购活动。</w:t>
      </w:r>
    </w:p>
    <w:p w14:paraId="5ACF65AA">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5.3 为采购项目提供整体设计、规范编制或者项目管理、监理、检测等服务的供应商，不得再参加该采购项目的其他采购活动。</w:t>
      </w:r>
    </w:p>
    <w:p w14:paraId="0EC47045">
      <w:pPr>
        <w:kinsoku/>
        <w:spacing w:line="360" w:lineRule="auto"/>
        <w:ind w:firstLine="482" w:firstLineChars="200"/>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6.以联合体形式进行政府采购的，应符合以下规定：</w:t>
      </w:r>
    </w:p>
    <w:p w14:paraId="2D3B5531">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6.1 联合体各方应签订联合体协议书，明确联合体牵头人和各方权利义务，并作为响应文件组成部分。</w:t>
      </w:r>
    </w:p>
    <w:p w14:paraId="30A039F5">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6.2 联合体各方均应当具备《中华人民共和国政府采购法》第二十二条规定的条件，并在响应文件中提供联合体各方的相关证明材料。</w:t>
      </w:r>
    </w:p>
    <w:p w14:paraId="54CAE1A6">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6.3 联合体成员存在不良信用记录的，视同联合体存在不良信用记录。</w:t>
      </w:r>
    </w:p>
    <w:p w14:paraId="1CAEAF8A">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6.4 联合体中有同类资质的供应商按照联合体分工承担相同工作的，应当按照资质等级较低的供应商确定资质等级。</w:t>
      </w:r>
    </w:p>
    <w:p w14:paraId="2B844D50">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6.5 以联合体形式参加政府采购活动的，联合体各方不得再单独参加或者与其他供应商另外组成联合体参加同一合同项下的政府采购活动。</w:t>
      </w:r>
    </w:p>
    <w:p w14:paraId="09283E96">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6.6 联合体各方应当共同与采购人签订采购合同，就合同约定的事项对采购人承担连带责任。</w:t>
      </w:r>
    </w:p>
    <w:p w14:paraId="311D49D4">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6.7 如要求缴纳保证金，以联合体牵头人名义缴纳，对联合体各方均具有约束力。</w:t>
      </w:r>
    </w:p>
    <w:p w14:paraId="76604A7F">
      <w:pPr>
        <w:kinsoku/>
        <w:spacing w:line="360" w:lineRule="auto"/>
        <w:ind w:firstLine="482" w:firstLineChars="200"/>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7.语言文字以及计量单位</w:t>
      </w:r>
    </w:p>
    <w:p w14:paraId="5DAE7532">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7.1 所有文件使用的语言文字为简体中文。专用术语使用外文的，应附有简体中文注释，否则视为无效。</w:t>
      </w:r>
    </w:p>
    <w:p w14:paraId="06566E78">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7.2 所有计量均采用中华人民共和国法定的计量单位。</w:t>
      </w:r>
    </w:p>
    <w:p w14:paraId="31DCB015">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7.3 所有报价一律使用人民币，货币单位：元。</w:t>
      </w:r>
    </w:p>
    <w:p w14:paraId="7BD1235D">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8.现场踏勘</w:t>
      </w:r>
    </w:p>
    <w:p w14:paraId="36464CE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8.1 </w:t>
      </w:r>
      <w:r>
        <w:rPr>
          <w:rFonts w:hint="eastAsia" w:ascii="宋体" w:hAnsi="宋体" w:eastAsia="宋体" w:cs="宋体"/>
          <w:b w:val="0"/>
          <w:bCs w:val="0"/>
          <w:color w:val="auto"/>
          <w:sz w:val="24"/>
          <w:szCs w:val="24"/>
          <w:highlight w:val="none"/>
          <w:lang w:eastAsia="zh-CN"/>
        </w:rPr>
        <w:t>竞争性磋商文件</w:t>
      </w:r>
      <w:r>
        <w:rPr>
          <w:rFonts w:hint="eastAsia" w:ascii="宋体" w:hAnsi="宋体" w:eastAsia="宋体" w:cs="宋体"/>
          <w:b w:val="0"/>
          <w:bCs w:val="0"/>
          <w:color w:val="auto"/>
          <w:sz w:val="24"/>
          <w:szCs w:val="24"/>
          <w:highlight w:val="none"/>
        </w:rPr>
        <w:t>规定组织现场踏勘的，采购人或者采购代理机构</w:t>
      </w:r>
      <w:r>
        <w:rPr>
          <w:rFonts w:hint="eastAsia" w:ascii="宋体" w:hAnsi="宋体" w:eastAsia="宋体" w:cs="宋体"/>
          <w:b w:val="0"/>
          <w:bCs w:val="0"/>
          <w:color w:val="auto"/>
          <w:sz w:val="24"/>
          <w:szCs w:val="24"/>
          <w:highlight w:val="none"/>
          <w:lang w:eastAsia="zh-CN"/>
        </w:rPr>
        <w:t>将</w:t>
      </w:r>
      <w:r>
        <w:rPr>
          <w:rFonts w:hint="eastAsia" w:ascii="宋体" w:hAnsi="宋体" w:eastAsia="宋体" w:cs="宋体"/>
          <w:b w:val="0"/>
          <w:bCs w:val="0"/>
          <w:color w:val="auto"/>
          <w:sz w:val="24"/>
          <w:szCs w:val="24"/>
          <w:highlight w:val="none"/>
        </w:rPr>
        <w:t>按竞争性磋商文件规定的时间、地点组织供应商踏勘项目现场。</w:t>
      </w:r>
    </w:p>
    <w:p w14:paraId="580A45D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8.2 供应商自行承担踏勘现场发生的责任、风险和自身费用。</w:t>
      </w:r>
    </w:p>
    <w:p w14:paraId="0433210D">
      <w:pPr>
        <w:kinsoku/>
        <w:spacing w:line="360" w:lineRule="auto"/>
        <w:ind w:firstLine="480" w:firstLineChars="200"/>
        <w:rPr>
          <w:rFonts w:asci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rPr>
        <w:t>8.3 采购人在踏勘现场介绍的资料和数据等，不构成对磋商文件的修改或不作为供应商编制响应文件的依据。</w:t>
      </w:r>
    </w:p>
    <w:p w14:paraId="256E9D5E">
      <w:pPr>
        <w:kinsoku/>
        <w:spacing w:line="360" w:lineRule="auto"/>
        <w:ind w:firstLine="482" w:firstLineChars="200"/>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9.其他条款</w:t>
      </w:r>
    </w:p>
    <w:p w14:paraId="2844B733">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无论成交与否供应商递交的响应文件均不予退还。</w:t>
      </w:r>
    </w:p>
    <w:p w14:paraId="35BB84EF">
      <w:pPr>
        <w:kinsoku/>
        <w:spacing w:line="360" w:lineRule="auto"/>
        <w:ind w:firstLine="482" w:firstLineChars="200"/>
        <w:outlineLvl w:val="1"/>
        <w:rPr>
          <w:rFonts w:ascii="宋体" w:eastAsia="宋体" w:cs="宋体"/>
          <w:b/>
          <w:bCs/>
          <w:color w:val="auto"/>
          <w:sz w:val="24"/>
          <w:szCs w:val="24"/>
          <w:highlight w:val="none"/>
        </w:rPr>
      </w:pPr>
      <w:bookmarkStart w:id="11" w:name="_Toc20752"/>
      <w:r>
        <w:rPr>
          <w:rFonts w:hint="eastAsia" w:ascii="宋体" w:eastAsia="宋体" w:cs="宋体"/>
          <w:b/>
          <w:bCs/>
          <w:color w:val="auto"/>
          <w:sz w:val="24"/>
          <w:szCs w:val="24"/>
          <w:highlight w:val="none"/>
        </w:rPr>
        <w:t>四、磋商文件的澄清或者修改</w:t>
      </w:r>
      <w:bookmarkEnd w:id="11"/>
    </w:p>
    <w:p w14:paraId="0C0C782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Pr>
          <w:rFonts w:hint="eastAsia" w:ascii="宋体" w:eastAsia="宋体" w:cs="宋体"/>
          <w:color w:val="auto"/>
          <w:sz w:val="24"/>
          <w:szCs w:val="24"/>
          <w:highlight w:val="none"/>
          <w:lang w:val="en-US" w:eastAsia="zh-CN"/>
        </w:rPr>
        <w:t xml:space="preserve"> </w:t>
      </w:r>
      <w:r>
        <w:rPr>
          <w:rFonts w:hint="eastAsia" w:ascii="宋体" w:eastAsia="宋体" w:cs="宋体"/>
          <w:color w:val="auto"/>
          <w:sz w:val="24"/>
          <w:szCs w:val="24"/>
          <w:highlight w:val="none"/>
          <w:lang w:eastAsia="zh-CN"/>
        </w:rPr>
        <w:t>5</w:t>
      </w:r>
      <w:r>
        <w:rPr>
          <w:rFonts w:hint="eastAsia" w:ascii="宋体" w:eastAsia="宋体" w:cs="宋体"/>
          <w:color w:val="auto"/>
          <w:sz w:val="24"/>
          <w:szCs w:val="24"/>
          <w:highlight w:val="none"/>
          <w:lang w:val="en-US" w:eastAsia="zh-CN"/>
        </w:rPr>
        <w:t xml:space="preserve"> </w:t>
      </w:r>
      <w:r>
        <w:rPr>
          <w:rFonts w:hint="eastAsia" w:ascii="宋体" w:eastAsia="宋体" w:cs="宋体"/>
          <w:color w:val="auto"/>
          <w:sz w:val="24"/>
          <w:szCs w:val="24"/>
          <w:highlight w:val="none"/>
          <w:lang w:eastAsia="zh-CN"/>
        </w:rPr>
        <w:t>日前，在</w:t>
      </w:r>
      <w:r>
        <w:rPr>
          <w:rFonts w:hint="eastAsia" w:ascii="宋体" w:hAnsi="宋体" w:eastAsia="宋体" w:cs="宋体"/>
          <w:b w:val="0"/>
          <w:bCs w:val="0"/>
          <w:snapToGrid w:val="0"/>
          <w:sz w:val="24"/>
          <w:szCs w:val="24"/>
          <w:highlight w:val="none"/>
          <w:lang w:val="en-US" w:eastAsia="zh-CN"/>
        </w:rPr>
        <w:t>《赤峰市生态环境局官网》（http://sthjj.chifeng.gov.cn）及</w:t>
      </w:r>
      <w:r>
        <w:rPr>
          <w:rFonts w:hint="eastAsia" w:ascii="宋体" w:eastAsia="宋体" w:cs="宋体"/>
          <w:color w:val="auto"/>
          <w:sz w:val="24"/>
          <w:szCs w:val="24"/>
          <w:highlight w:val="none"/>
          <w:lang w:eastAsia="zh-CN"/>
        </w:rPr>
        <w:t>国资智采电子招投标交易平台（https://www.gzzczb.com）发布更正公告进行通知；不足5日的，采购人、采购代理机构应当顺延提交首次响应文件截止时间。更正公告的内容为磋商文件的组成部分，供应商应自行上网查询，采购人或采购代理机构不承担供应商未及时关注相关信息的责任。</w:t>
      </w:r>
    </w:p>
    <w:p w14:paraId="0184C675">
      <w:pPr>
        <w:kinsoku/>
        <w:spacing w:line="360" w:lineRule="auto"/>
        <w:ind w:firstLine="482" w:firstLineChars="200"/>
        <w:outlineLvl w:val="1"/>
        <w:rPr>
          <w:rFonts w:ascii="宋体" w:eastAsia="宋体" w:cs="宋体"/>
          <w:b/>
          <w:bCs/>
          <w:color w:val="auto"/>
          <w:sz w:val="24"/>
          <w:szCs w:val="24"/>
          <w:highlight w:val="none"/>
          <w:lang w:eastAsia="zh-CN"/>
        </w:rPr>
      </w:pPr>
      <w:bookmarkStart w:id="12" w:name="_Toc24571"/>
      <w:r>
        <w:rPr>
          <w:rFonts w:hint="eastAsia" w:ascii="宋体" w:eastAsia="宋体" w:cs="宋体"/>
          <w:b/>
          <w:bCs/>
          <w:color w:val="auto"/>
          <w:sz w:val="24"/>
          <w:szCs w:val="24"/>
          <w:highlight w:val="none"/>
          <w:lang w:eastAsia="zh-CN"/>
        </w:rPr>
        <w:t>五、响应文件</w:t>
      </w:r>
      <w:bookmarkEnd w:id="12"/>
    </w:p>
    <w:p w14:paraId="5F9A807A">
      <w:pPr>
        <w:kinsoku/>
        <w:spacing w:line="360" w:lineRule="auto"/>
        <w:ind w:firstLine="482" w:firstLineChars="200"/>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1.响应文件的构成</w:t>
      </w:r>
    </w:p>
    <w:p w14:paraId="16A26231">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响应文件应按照磋商文件第七章“响应文件格式与要求”进行编写，可以增加附页，并作为响应文件的组成部分。</w:t>
      </w:r>
    </w:p>
    <w:p w14:paraId="58D5A414">
      <w:pPr>
        <w:kinsoku/>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供应商在制作响应文件时，应保证提供的证明材料清晰可见，否则评审小组可不予采信。</w:t>
      </w:r>
    </w:p>
    <w:p w14:paraId="10B72745">
      <w:pPr>
        <w:kinsoku/>
        <w:spacing w:line="360" w:lineRule="auto"/>
        <w:ind w:firstLine="482" w:firstLineChars="200"/>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2.报价</w:t>
      </w:r>
    </w:p>
    <w:p w14:paraId="22820C81">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2.1 供应商应按照磋商文件第三章“采购内容与技术要求”进行报价，</w:t>
      </w:r>
      <w:r>
        <w:rPr>
          <w:rFonts w:hint="eastAsia" w:ascii="宋体" w:hAnsi="宋体" w:eastAsia="宋体" w:cs="宋体"/>
          <w:color w:val="auto"/>
          <w:sz w:val="24"/>
          <w:szCs w:val="24"/>
          <w:highlight w:val="none"/>
        </w:rPr>
        <w:t>报价取小数点后两位，小数点后第三位四舍五入</w:t>
      </w:r>
      <w:r>
        <w:rPr>
          <w:rFonts w:hint="eastAsia" w:ascii="宋体" w:hAnsi="宋体" w:eastAsia="宋体" w:cs="宋体"/>
          <w:color w:val="auto"/>
          <w:sz w:val="24"/>
          <w:szCs w:val="24"/>
          <w:highlight w:val="none"/>
          <w:lang w:eastAsia="zh-CN"/>
        </w:rPr>
        <w:t>。</w:t>
      </w:r>
      <w:r>
        <w:rPr>
          <w:rFonts w:hint="eastAsia" w:ascii="宋体" w:eastAsia="宋体" w:cs="宋体"/>
          <w:color w:val="auto"/>
          <w:sz w:val="24"/>
          <w:szCs w:val="24"/>
          <w:highlight w:val="none"/>
          <w:lang w:eastAsia="zh-CN"/>
        </w:rPr>
        <w:t>报价中不得包含磋商文件要求以外的内容，否则，在评审时不予核减。</w:t>
      </w:r>
    </w:p>
    <w:p w14:paraId="2AD96D2D">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2.2 报价包括本项目采购需求和投入使用、实施的所有费用，如主件、标准附件、备品备件、施工、服务、专用工具、安装、调试、检验、培训、运输、保险、税款等。</w:t>
      </w:r>
    </w:p>
    <w:p w14:paraId="4724BFCD">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2.3 报价不得有选择性报价和附有条件的报价。</w:t>
      </w:r>
    </w:p>
    <w:p w14:paraId="5620AA8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highlight w:val="none"/>
        </w:rPr>
      </w:pPr>
      <w:r>
        <w:rPr>
          <w:rFonts w:hint="eastAsia" w:ascii="宋体" w:eastAsia="宋体" w:cs="宋体"/>
          <w:color w:val="auto"/>
          <w:sz w:val="24"/>
          <w:szCs w:val="24"/>
          <w:highlight w:val="none"/>
        </w:rPr>
        <w:t>2.4 供应商应在“投标文件制作工具”对投标报价进行填写，并保证响应文件中的投标报价信息内容一致。</w:t>
      </w:r>
    </w:p>
    <w:p w14:paraId="2C1C7AE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2.5 对报价的计算错误按以下原则修正</w:t>
      </w:r>
    </w:p>
    <w:p w14:paraId="281B0A8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highlight w:val="none"/>
        </w:rPr>
      </w:pPr>
      <w:r>
        <w:rPr>
          <w:rFonts w:hint="eastAsia" w:ascii="宋体" w:eastAsia="宋体" w:cs="宋体"/>
          <w:color w:val="auto"/>
          <w:sz w:val="24"/>
          <w:szCs w:val="24"/>
          <w:highlight w:val="none"/>
        </w:rPr>
        <w:t>（1）大写金额和小写金额不一致的，以大写金额为准；</w:t>
      </w:r>
    </w:p>
    <w:p w14:paraId="132C6C3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highlight w:val="none"/>
        </w:rPr>
      </w:pPr>
      <w:r>
        <w:rPr>
          <w:rFonts w:hint="eastAsia" w:ascii="宋体" w:eastAsia="宋体" w:cs="宋体"/>
          <w:color w:val="auto"/>
          <w:sz w:val="24"/>
          <w:szCs w:val="24"/>
          <w:highlight w:val="none"/>
        </w:rPr>
        <w:t>（2）单价金额小数点或者百分比有明显错位的，以总价为准，并修改单价。</w:t>
      </w:r>
    </w:p>
    <w:p w14:paraId="4B586D9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highlight w:val="none"/>
        </w:rPr>
      </w:pPr>
      <w:r>
        <w:rPr>
          <w:rFonts w:hint="eastAsia" w:ascii="宋体" w:eastAsia="宋体" w:cs="宋体"/>
          <w:color w:val="auto"/>
          <w:sz w:val="24"/>
          <w:szCs w:val="24"/>
          <w:highlight w:val="none"/>
        </w:rPr>
        <w:t>（3）总价金额与按单价汇总金额不一致的，以单价金额计算结果为准。</w:t>
      </w:r>
    </w:p>
    <w:p w14:paraId="520D005F">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rPr>
          <w:rFonts w:hint="eastAsia" w:ascii="宋体" w:eastAsia="宋体" w:cs="宋体"/>
          <w:color w:val="auto"/>
          <w:sz w:val="24"/>
          <w:szCs w:val="24"/>
          <w:highlight w:val="none"/>
        </w:rPr>
      </w:pPr>
      <w:r>
        <w:rPr>
          <w:rFonts w:hint="eastAsia" w:ascii="宋体" w:eastAsia="宋体" w:cs="宋体"/>
          <w:color w:val="auto"/>
          <w:sz w:val="24"/>
          <w:szCs w:val="24"/>
          <w:highlight w:val="none"/>
          <w:lang w:eastAsia="zh-CN"/>
        </w:rPr>
        <w:t>（</w:t>
      </w:r>
      <w:r>
        <w:rPr>
          <w:rFonts w:hint="eastAsia" w:ascii="宋体" w:eastAsia="宋体" w:cs="宋体"/>
          <w:color w:val="auto"/>
          <w:sz w:val="24"/>
          <w:szCs w:val="24"/>
          <w:highlight w:val="none"/>
          <w:lang w:val="en-US" w:eastAsia="zh-CN"/>
        </w:rPr>
        <w:t>4</w:t>
      </w:r>
      <w:r>
        <w:rPr>
          <w:rFonts w:hint="eastAsia" w:ascii="宋体" w:eastAsia="宋体" w:cs="宋体"/>
          <w:color w:val="auto"/>
          <w:sz w:val="24"/>
          <w:szCs w:val="24"/>
          <w:highlight w:val="none"/>
          <w:lang w:eastAsia="zh-CN"/>
        </w:rPr>
        <w:t>）</w:t>
      </w:r>
      <w:r>
        <w:rPr>
          <w:rFonts w:hint="eastAsia" w:ascii="宋体" w:eastAsia="宋体" w:cs="宋体"/>
          <w:color w:val="auto"/>
          <w:sz w:val="24"/>
          <w:szCs w:val="24"/>
          <w:highlight w:val="none"/>
        </w:rPr>
        <w:t>同时出现两种以上不一致的，按照前款规定的顺序修正。</w:t>
      </w:r>
    </w:p>
    <w:p w14:paraId="6783D84B">
      <w:pPr>
        <w:kinsoku/>
        <w:spacing w:line="360" w:lineRule="auto"/>
        <w:ind w:firstLine="480" w:firstLineChars="200"/>
        <w:rPr>
          <w:rFonts w:hint="eastAsia" w:ascii="宋体" w:eastAsia="宋体" w:cs="宋体"/>
          <w:b/>
          <w:bCs/>
          <w:color w:val="auto"/>
          <w:sz w:val="24"/>
          <w:szCs w:val="24"/>
          <w:highlight w:val="none"/>
          <w:lang w:eastAsia="zh-CN"/>
        </w:rPr>
      </w:pPr>
      <w:r>
        <w:rPr>
          <w:rFonts w:hint="eastAsia" w:ascii="宋体" w:eastAsia="宋体" w:cs="宋体"/>
          <w:color w:val="auto"/>
          <w:sz w:val="24"/>
          <w:szCs w:val="24"/>
          <w:highlight w:val="none"/>
        </w:rPr>
        <w:t>注：修正后的报价供应商应当加盖公章，或者由法定代表人或其授权代表签字确认后产生约束力，但不得超出响应文件的范围或者改变响应文件的实质性内容，供应商不确认的，其投标无效。</w:t>
      </w:r>
    </w:p>
    <w:p w14:paraId="5B17FE3C">
      <w:pPr>
        <w:kinsoku/>
        <w:spacing w:line="360" w:lineRule="auto"/>
        <w:ind w:firstLine="482" w:firstLineChars="200"/>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3.响应文件的递交</w:t>
      </w:r>
    </w:p>
    <w:p w14:paraId="71D4E880">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供应商应当在提交响应文件截止时间前递交响应文件，否则视为自动放弃。</w:t>
      </w:r>
    </w:p>
    <w:p w14:paraId="56540F6A">
      <w:pPr>
        <w:kinsoku/>
        <w:spacing w:line="360" w:lineRule="auto"/>
        <w:ind w:firstLine="482" w:firstLineChars="200"/>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4.响应文件的补充、修改或者撤回</w:t>
      </w:r>
    </w:p>
    <w:p w14:paraId="7CF3AE93">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供应商在提交响应文件截止时间前，可以对所提交的响应文件进行补充、修改或者撤回。供应商应当在提交响应文件截止时间前上传加密的最终版电子响应文件至“国资智采电子招投标交易平台”。在提交响应文件截止时间后，供应商不得补充、修改或者撤回其响应文件。</w:t>
      </w:r>
    </w:p>
    <w:p w14:paraId="5814F636">
      <w:pPr>
        <w:kinsoku/>
        <w:spacing w:line="360" w:lineRule="auto"/>
        <w:ind w:firstLine="482" w:firstLineChars="200"/>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5.样品</w:t>
      </w:r>
    </w:p>
    <w:p w14:paraId="220ECED5">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5.1 磋商文件规定供应商提交样品的，样品属于响应文件的组成部分。样品的生产、运输、安装、保全等一切费用由供应商自理。</w:t>
      </w:r>
    </w:p>
    <w:p w14:paraId="1100CAEF">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5.2 响应文件开启前，供应商应将样品送达至指定地点，按要求摆放并做好展示。若需要现场演示的，供应商应提前做好演示准备（包括演示设备）。</w:t>
      </w:r>
    </w:p>
    <w:p w14:paraId="1F9C9BD2">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5.3 采购活动结束后，对于未成交供应商提供的样品，应当及时退还或者经未成交供应商同意后自行处理；对于成交供应商提供的样品，应当按照磋商文件的规定进行保管、封存，并作为履约验收的参考。</w:t>
      </w:r>
    </w:p>
    <w:p w14:paraId="59FF60E4">
      <w:pPr>
        <w:kinsoku/>
        <w:spacing w:line="360" w:lineRule="auto"/>
        <w:ind w:firstLine="482" w:firstLineChars="200"/>
        <w:outlineLvl w:val="1"/>
        <w:rPr>
          <w:rFonts w:ascii="宋体" w:eastAsia="宋体" w:cs="宋体"/>
          <w:color w:val="auto"/>
          <w:sz w:val="24"/>
          <w:szCs w:val="24"/>
          <w:highlight w:val="none"/>
          <w:lang w:eastAsia="zh-CN"/>
        </w:rPr>
      </w:pPr>
      <w:bookmarkStart w:id="13" w:name="_Toc8246"/>
      <w:r>
        <w:rPr>
          <w:rFonts w:hint="eastAsia" w:ascii="宋体" w:eastAsia="宋体" w:cs="宋体"/>
          <w:b/>
          <w:bCs/>
          <w:color w:val="auto"/>
          <w:sz w:val="24"/>
          <w:szCs w:val="24"/>
          <w:highlight w:val="none"/>
          <w:lang w:eastAsia="zh-CN"/>
        </w:rPr>
        <w:t>六、开启、评审、结果公告、成交通知书</w:t>
      </w:r>
      <w:bookmarkEnd w:id="13"/>
    </w:p>
    <w:p w14:paraId="347F3A40">
      <w:pPr>
        <w:kinsoku/>
        <w:spacing w:line="360" w:lineRule="auto"/>
        <w:ind w:firstLine="482" w:firstLineChars="200"/>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1.开启</w:t>
      </w:r>
    </w:p>
    <w:p w14:paraId="261CCED5">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1.1 程序</w:t>
      </w:r>
    </w:p>
    <w:p w14:paraId="7B0C1C90">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（1）宣布纪律；</w:t>
      </w:r>
    </w:p>
    <w:p w14:paraId="19026023">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（2）宣布相关人员；</w:t>
      </w:r>
    </w:p>
    <w:p w14:paraId="53F93DBB">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（3）供应商对已提交的加密文件进行解密；</w:t>
      </w:r>
    </w:p>
    <w:p w14:paraId="74FC9864">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（4）参加人员对开启情况进行确认；</w:t>
      </w:r>
    </w:p>
    <w:p w14:paraId="4F4C656F">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（5）开启结束。</w:t>
      </w:r>
    </w:p>
    <w:p w14:paraId="7C9A73A7">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1.2 疑义</w:t>
      </w:r>
    </w:p>
    <w:p w14:paraId="61C17F24">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供应商代表对开启过程和开启记录有疑义，以及认为采购人、采购代理机构相关工作人员有需要回避情形的，应当场提出询问或者回避申请。</w:t>
      </w:r>
    </w:p>
    <w:p w14:paraId="27B1BA06">
      <w:pPr>
        <w:kinsoku/>
        <w:spacing w:line="360" w:lineRule="auto"/>
        <w:ind w:firstLine="480" w:firstLineChars="200"/>
        <w:rPr>
          <w:rFonts w:hint="eastAsia" w:ascii="宋体" w:eastAsia="宋体" w:cs="宋体"/>
          <w:b w:val="0"/>
          <w:bCs w:val="0"/>
          <w:color w:val="auto"/>
          <w:sz w:val="24"/>
          <w:szCs w:val="24"/>
          <w:highlight w:val="none"/>
          <w:lang w:eastAsia="zh-CN"/>
        </w:rPr>
      </w:pPr>
      <w:r>
        <w:rPr>
          <w:rFonts w:hint="eastAsia" w:ascii="宋体" w:eastAsia="宋体" w:cs="宋体"/>
          <w:color w:val="auto"/>
          <w:sz w:val="24"/>
          <w:szCs w:val="24"/>
          <w:highlight w:val="none"/>
          <w:lang w:eastAsia="zh-CN"/>
        </w:rPr>
        <w:t>供应商对远程不见面方式开启和记录有疑义，应在“国资智采-电子招投标采购平台”</w:t>
      </w:r>
      <w:r>
        <w:rPr>
          <w:rFonts w:hint="eastAsia" w:ascii="宋体" w:eastAsia="宋体" w:cs="宋体"/>
          <w:color w:val="auto"/>
          <w:sz w:val="24"/>
          <w:szCs w:val="24"/>
          <w:highlight w:val="none"/>
          <w:lang w:val="en-US" w:eastAsia="zh-CN"/>
        </w:rPr>
        <w:t>-</w:t>
      </w:r>
      <w:r>
        <w:rPr>
          <w:rFonts w:hint="eastAsia" w:ascii="宋体" w:eastAsia="宋体" w:cs="宋体"/>
          <w:color w:val="auto"/>
          <w:sz w:val="24"/>
          <w:szCs w:val="24"/>
          <w:highlight w:val="none"/>
          <w:lang w:eastAsia="zh-CN"/>
        </w:rPr>
        <w:t>“开标大厅”中提出。采购代理机构应及时查看回复。</w:t>
      </w:r>
    </w:p>
    <w:p w14:paraId="19BC882E">
      <w:pPr>
        <w:kinsoku/>
        <w:spacing w:line="360" w:lineRule="auto"/>
        <w:ind w:firstLine="480" w:firstLineChars="200"/>
        <w:rPr>
          <w:rFonts w:hint="eastAsia" w:ascii="宋体" w:eastAsia="宋体" w:cs="宋体"/>
          <w:b w:val="0"/>
          <w:bCs w:val="0"/>
          <w:color w:val="auto"/>
          <w:sz w:val="24"/>
          <w:szCs w:val="24"/>
          <w:highlight w:val="none"/>
          <w:lang w:eastAsia="zh-CN"/>
        </w:rPr>
      </w:pPr>
      <w:r>
        <w:rPr>
          <w:rFonts w:hint="eastAsia" w:ascii="宋体" w:eastAsia="宋体" w:cs="宋体"/>
          <w:b w:val="0"/>
          <w:bCs w:val="0"/>
          <w:color w:val="auto"/>
          <w:sz w:val="24"/>
          <w:szCs w:val="24"/>
          <w:highlight w:val="none"/>
          <w:lang w:eastAsia="zh-CN"/>
        </w:rPr>
        <w:t>1.3 备注</w:t>
      </w:r>
    </w:p>
    <w:p w14:paraId="38D0D223">
      <w:pPr>
        <w:kinsoku/>
        <w:spacing w:line="360" w:lineRule="auto"/>
        <w:ind w:firstLine="480" w:firstLineChars="200"/>
        <w:rPr>
          <w:rFonts w:hint="eastAsia" w:ascii="宋体" w:eastAsia="宋体" w:cs="宋体"/>
          <w:b w:val="0"/>
          <w:bCs w:val="0"/>
          <w:color w:val="auto"/>
          <w:sz w:val="24"/>
          <w:szCs w:val="24"/>
          <w:highlight w:val="none"/>
          <w:lang w:eastAsia="zh-CN"/>
        </w:rPr>
      </w:pPr>
      <w:r>
        <w:rPr>
          <w:rFonts w:hint="eastAsia" w:ascii="宋体" w:eastAsia="宋体" w:cs="宋体"/>
          <w:b w:val="0"/>
          <w:bCs w:val="0"/>
          <w:color w:val="auto"/>
          <w:sz w:val="24"/>
          <w:szCs w:val="24"/>
          <w:highlight w:val="none"/>
          <w:lang w:eastAsia="zh-CN"/>
        </w:rPr>
        <w:t>开启时,供应商使用“投标客户端”生成的“密码文件”中的密匙对响应文件进行解密。</w:t>
      </w:r>
    </w:p>
    <w:p w14:paraId="1237E3C3">
      <w:pPr>
        <w:kinsoku/>
        <w:spacing w:line="360" w:lineRule="auto"/>
        <w:ind w:firstLine="482" w:firstLineChars="200"/>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2.评审</w:t>
      </w:r>
    </w:p>
    <w:p w14:paraId="0FD652DA">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详见第五章</w:t>
      </w:r>
    </w:p>
    <w:p w14:paraId="6C3ABE1E">
      <w:pPr>
        <w:kinsoku/>
        <w:spacing w:line="360" w:lineRule="auto"/>
        <w:ind w:firstLine="482" w:firstLineChars="200"/>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3.结果公告</w:t>
      </w:r>
    </w:p>
    <w:p w14:paraId="68EAE3CF">
      <w:pPr>
        <w:kinsoku/>
        <w:spacing w:line="360" w:lineRule="auto"/>
        <w:ind w:firstLine="480" w:firstLineChars="200"/>
        <w:rPr>
          <w:rFonts w:ascii="宋体" w:eastAsia="宋体" w:cs="宋体"/>
          <w:color w:val="auto"/>
          <w:sz w:val="24"/>
          <w:szCs w:val="24"/>
          <w:highlight w:val="none"/>
        </w:rPr>
      </w:pPr>
      <w:r>
        <w:rPr>
          <w:rFonts w:hint="eastAsia" w:ascii="宋体" w:eastAsia="宋体" w:cs="宋体"/>
          <w:color w:val="auto"/>
          <w:sz w:val="24"/>
          <w:szCs w:val="24"/>
          <w:highlight w:val="none"/>
        </w:rPr>
        <w:t>成交供应商确定后，采购代理机构</w:t>
      </w:r>
      <w:r>
        <w:rPr>
          <w:rFonts w:hint="eastAsia" w:ascii="宋体" w:eastAsia="宋体" w:cs="宋体"/>
          <w:color w:val="auto"/>
          <w:sz w:val="24"/>
          <w:szCs w:val="24"/>
          <w:highlight w:val="none"/>
          <w:lang w:eastAsia="zh-CN"/>
        </w:rPr>
        <w:t>将在</w:t>
      </w:r>
      <w:r>
        <w:rPr>
          <w:rFonts w:hint="eastAsia" w:ascii="宋体" w:hAnsi="宋体" w:eastAsia="宋体" w:cs="宋体"/>
          <w:b w:val="0"/>
          <w:bCs w:val="0"/>
          <w:snapToGrid w:val="0"/>
          <w:sz w:val="24"/>
          <w:szCs w:val="24"/>
          <w:highlight w:val="none"/>
          <w:lang w:val="en-US" w:eastAsia="zh-CN"/>
        </w:rPr>
        <w:t>《赤峰市生态环境局官网》（http://sthjj.chifeng.gov.cn）及</w:t>
      </w:r>
      <w:r>
        <w:rPr>
          <w:rFonts w:hint="eastAsia" w:ascii="宋体" w:eastAsia="宋体" w:cs="宋体"/>
          <w:color w:val="auto"/>
          <w:sz w:val="24"/>
          <w:szCs w:val="24"/>
          <w:highlight w:val="none"/>
        </w:rPr>
        <w:t>国资智采电子招投标交易平台（</w:t>
      </w:r>
      <w:r>
        <w:rPr>
          <w:rFonts w:hint="eastAsia" w:ascii="宋体" w:eastAsia="宋体" w:cs="宋体"/>
          <w:color w:val="auto"/>
          <w:sz w:val="24"/>
          <w:szCs w:val="24"/>
          <w:highlight w:val="none"/>
          <w:lang w:eastAsia="zh-CN"/>
        </w:rPr>
        <w:t>https://www.gzzczb.com</w:t>
      </w:r>
      <w:r>
        <w:rPr>
          <w:rFonts w:hint="eastAsia" w:ascii="宋体" w:eastAsia="宋体" w:cs="宋体"/>
          <w:color w:val="auto"/>
          <w:sz w:val="24"/>
          <w:szCs w:val="24"/>
          <w:highlight w:val="none"/>
        </w:rPr>
        <w:t>）</w:t>
      </w:r>
      <w:r>
        <w:rPr>
          <w:rFonts w:hint="eastAsia" w:ascii="宋体" w:eastAsia="宋体" w:cs="宋体"/>
          <w:color w:val="auto"/>
          <w:sz w:val="24"/>
          <w:szCs w:val="24"/>
          <w:highlight w:val="none"/>
          <w:lang w:eastAsia="zh-CN"/>
        </w:rPr>
        <w:t>上</w:t>
      </w:r>
      <w:r>
        <w:rPr>
          <w:rFonts w:hint="eastAsia" w:ascii="宋体" w:eastAsia="宋体" w:cs="宋体"/>
          <w:color w:val="auto"/>
          <w:sz w:val="24"/>
          <w:szCs w:val="24"/>
          <w:highlight w:val="none"/>
        </w:rPr>
        <w:t>发布成交结果公告，将成交结果以公告形式通知未成交的供应商，成交结果公告期为</w:t>
      </w:r>
      <w:r>
        <w:rPr>
          <w:rFonts w:hint="eastAsia" w:ascii="宋体" w:eastAsia="宋体" w:cs="宋体"/>
          <w:color w:val="auto"/>
          <w:sz w:val="24"/>
          <w:szCs w:val="24"/>
          <w:highlight w:val="none"/>
          <w:lang w:val="en-US" w:eastAsia="zh-CN"/>
        </w:rPr>
        <w:t>3</w:t>
      </w:r>
      <w:r>
        <w:rPr>
          <w:rFonts w:hint="eastAsia" w:ascii="宋体" w:eastAsia="宋体" w:cs="宋体"/>
          <w:color w:val="auto"/>
          <w:sz w:val="24"/>
          <w:szCs w:val="24"/>
          <w:highlight w:val="none"/>
        </w:rPr>
        <w:t>个工作日。</w:t>
      </w:r>
    </w:p>
    <w:p w14:paraId="793410D5">
      <w:pPr>
        <w:kinsoku/>
        <w:spacing w:line="360" w:lineRule="auto"/>
        <w:ind w:firstLine="480" w:firstLineChars="200"/>
        <w:rPr>
          <w:rFonts w:ascii="宋体" w:eastAsia="宋体" w:cs="宋体"/>
          <w:color w:val="auto"/>
          <w:sz w:val="24"/>
          <w:szCs w:val="24"/>
          <w:highlight w:val="none"/>
        </w:rPr>
      </w:pPr>
      <w:r>
        <w:rPr>
          <w:rFonts w:hint="eastAsia" w:ascii="宋体" w:eastAsia="宋体" w:cs="宋体"/>
          <w:color w:val="auto"/>
          <w:sz w:val="24"/>
          <w:szCs w:val="24"/>
          <w:highlight w:val="none"/>
        </w:rPr>
        <w:t>项目“废标”后，采购代理机构将在</w:t>
      </w:r>
      <w:r>
        <w:rPr>
          <w:rFonts w:hint="eastAsia" w:ascii="宋体" w:eastAsia="宋体" w:cs="宋体"/>
          <w:color w:val="auto"/>
          <w:sz w:val="24"/>
          <w:szCs w:val="24"/>
          <w:highlight w:val="none"/>
          <w:lang w:eastAsia="zh-CN"/>
        </w:rPr>
        <w:t>在</w:t>
      </w:r>
      <w:r>
        <w:rPr>
          <w:rFonts w:hint="eastAsia" w:ascii="宋体" w:hAnsi="宋体" w:eastAsia="宋体" w:cs="宋体"/>
          <w:b w:val="0"/>
          <w:bCs w:val="0"/>
          <w:snapToGrid w:val="0"/>
          <w:sz w:val="24"/>
          <w:szCs w:val="24"/>
          <w:highlight w:val="none"/>
          <w:lang w:val="en-US" w:eastAsia="zh-CN"/>
        </w:rPr>
        <w:t>《赤峰市生态环境局官网》及</w:t>
      </w:r>
      <w:r>
        <w:rPr>
          <w:rFonts w:hint="eastAsia" w:ascii="宋体" w:eastAsia="宋体" w:cs="宋体"/>
          <w:color w:val="auto"/>
          <w:sz w:val="24"/>
          <w:szCs w:val="24"/>
          <w:highlight w:val="none"/>
        </w:rPr>
        <w:t>国资智采电子招投标交易平台</w:t>
      </w:r>
      <w:r>
        <w:rPr>
          <w:rFonts w:hint="eastAsia" w:ascii="宋体" w:eastAsia="宋体" w:cs="宋体"/>
          <w:color w:val="auto"/>
          <w:sz w:val="24"/>
          <w:szCs w:val="24"/>
          <w:highlight w:val="none"/>
          <w:lang w:eastAsia="zh-CN"/>
        </w:rPr>
        <w:t>上</w:t>
      </w:r>
      <w:r>
        <w:rPr>
          <w:rFonts w:hint="eastAsia" w:ascii="宋体" w:eastAsia="宋体" w:cs="宋体"/>
          <w:color w:val="auto"/>
          <w:sz w:val="24"/>
          <w:szCs w:val="24"/>
          <w:highlight w:val="none"/>
        </w:rPr>
        <w:t>发布“废标公告”。</w:t>
      </w:r>
    </w:p>
    <w:p w14:paraId="09390FB8">
      <w:pPr>
        <w:kinsoku/>
        <w:spacing w:line="360" w:lineRule="auto"/>
        <w:ind w:firstLine="482" w:firstLineChars="200"/>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4.成交通知书</w:t>
      </w:r>
    </w:p>
    <w:p w14:paraId="269476CB">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发布成交结果的同时，成交供应商可在国资智采电子招投标交易平台上下载成交通知书，成交通知书是合同的组成部分，成交通知书对采购人和成交供应商具有同等法律效力。</w:t>
      </w:r>
    </w:p>
    <w:p w14:paraId="1AE17EF6">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成交通知书发出后，采购人不得违法改变成交结果，供应商无正当理由不得放弃成交。</w:t>
      </w:r>
    </w:p>
    <w:p w14:paraId="6373D85A">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2" w:firstLineChars="200"/>
        <w:jc w:val="both"/>
        <w:outlineLvl w:val="1"/>
        <w:rPr>
          <w:rFonts w:hint="eastAsia" w:ascii="宋体" w:eastAsia="宋体" w:cs="宋体"/>
          <w:color w:val="auto"/>
          <w:sz w:val="24"/>
          <w:szCs w:val="24"/>
          <w:highlight w:val="none"/>
          <w:lang w:eastAsia="zh-CN"/>
        </w:rPr>
      </w:pPr>
      <w:bookmarkStart w:id="14" w:name="_Toc6207"/>
      <w:r>
        <w:rPr>
          <w:rFonts w:hint="eastAsia" w:ascii="宋体" w:eastAsia="宋体" w:cs="宋体"/>
          <w:b/>
          <w:bCs/>
          <w:color w:val="auto"/>
          <w:sz w:val="24"/>
          <w:szCs w:val="24"/>
          <w:highlight w:val="none"/>
        </w:rPr>
        <w:t>七、询问、质疑与</w:t>
      </w:r>
      <w:r>
        <w:rPr>
          <w:rFonts w:hint="eastAsia" w:ascii="宋体" w:eastAsia="宋体" w:cs="宋体"/>
          <w:b/>
          <w:bCs/>
          <w:color w:val="auto"/>
          <w:sz w:val="24"/>
          <w:szCs w:val="24"/>
          <w:highlight w:val="none"/>
          <w:lang w:eastAsia="zh-CN"/>
        </w:rPr>
        <w:t>举报</w:t>
      </w:r>
      <w:bookmarkEnd w:id="14"/>
    </w:p>
    <w:p w14:paraId="0E5A457D">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1.询问</w:t>
      </w:r>
    </w:p>
    <w:p w14:paraId="7A0DAE5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供应商对政府采购活动事项有疑问的，可以向采购人或采购代理机构提出询问，采购人或采购代理机构应当在 3 个工作日内作出答复，但答复的内容不得涉及商业秘密。供应商提出的询问超出采购人对采购代理机构委托授权范围的，采购代理机构应当告知其向采购人提出。</w:t>
      </w:r>
    </w:p>
    <w:p w14:paraId="2401ED24">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2.质疑</w:t>
      </w:r>
    </w:p>
    <w:p w14:paraId="4B73ABB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参照</w:t>
      </w:r>
      <w:r>
        <w:rPr>
          <w:rFonts w:hint="eastAsia" w:ascii="宋体" w:hAnsi="宋体" w:eastAsia="宋体" w:cs="宋体"/>
          <w:color w:val="auto"/>
          <w:sz w:val="24"/>
          <w:szCs w:val="24"/>
          <w:highlight w:val="none"/>
        </w:rPr>
        <w:t>《内蒙古自治区财政厅关于规范限额标准以下项目采购的通知》（内财购〔2022〕186号）供应商认为限额标准以下项目的采购过程损害自身合法权益的可向采购人提起质疑。本项目采购人参照《政府采购质疑和投诉办法》相关规定予以受理：</w:t>
      </w:r>
    </w:p>
    <w:p w14:paraId="268789A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供应商在质疑投诉期内应当一次性提出针对同一采购程序环节的质疑。提出质疑的供应商应当是参与所质疑项目采购活动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已依法获取其可质疑的采购文件的供应商。</w:t>
      </w:r>
    </w:p>
    <w:p w14:paraId="2AF8476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供应商认为采购文件、采购过程、成交结果使自己的权益受到损害的，可以在知道或者应知其权益受到损害之日起 7 个工作日内，以书面形式向采购人、采购代理机构提出质疑。</w:t>
      </w:r>
    </w:p>
    <w:p w14:paraId="35B5046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采购人、采购代理机构应当在收到供应商的书面质疑后 7 个工作日内作出答复，并以书面形式通知质疑供应商和其他有关供应商，但答复的内容不得涉及商业秘密。</w:t>
      </w:r>
    </w:p>
    <w:p w14:paraId="7AD24D5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询问或者质疑事项可能影响成交结果的，采购人应当暂停签订合同，已经签订合同的，应当中止履行合同。</w:t>
      </w:r>
    </w:p>
    <w:p w14:paraId="462FD53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供应商提出质疑应当提交质疑函和必要的证明材料。质疑函应按照中国政府采购网中的“质疑函范本”制作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包括下列内容：</w:t>
      </w:r>
    </w:p>
    <w:p w14:paraId="73B60D5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（一）供应商的姓名或者名称、地址、邮编、联系人及联系电话；</w:t>
      </w:r>
    </w:p>
    <w:p w14:paraId="54AED36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（二）质疑项目的名称、编号、采购文件获取日期；</w:t>
      </w:r>
    </w:p>
    <w:p w14:paraId="0CF232C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（三）具体、明确的质疑事项和与质疑事项相关的请求；</w:t>
      </w:r>
    </w:p>
    <w:p w14:paraId="754029D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w:t>
      </w:r>
    </w:p>
    <w:p w14:paraId="1C34B19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（五）必要的法律依据；</w:t>
      </w:r>
    </w:p>
    <w:p w14:paraId="3500914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（六）提出质疑的日期。</w:t>
      </w:r>
    </w:p>
    <w:p w14:paraId="7B07BC0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供应商为自然人的，应当由本人签字；供应商为法人或者其他组织的，应当由法定代表人、主要负责人，或者其授权代表签字或者盖章，并加盖公章。</w:t>
      </w:r>
    </w:p>
    <w:p w14:paraId="78050F7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供应商可以委托代理人进行质疑，代理人提出质疑投诉时应当提交供应商签署的授权委托书。其授权委托书应当载明代理人的姓名或者名称、代理事项、具体权限、期限和相关事项。</w:t>
      </w:r>
    </w:p>
    <w:p w14:paraId="6335D64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接收质疑函的方式。为了使提出的质疑事项在规定时间内得到有效答复、处理，质疑可以由法定代表人或授权代表亲自将质疑函递交至采购人或采购代理机构，也可以通过邮寄、快递等方式提交。质疑函以邮寄、快递方式递交的，以邮寄件上的戳记日期、邮政快递件上的戳记日期和非邮政快递件上的签注日期为质疑提起日期。</w:t>
      </w:r>
    </w:p>
    <w:p w14:paraId="2C3FED0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 </w:t>
      </w:r>
      <w:r>
        <w:rPr>
          <w:rFonts w:hint="eastAsia" w:ascii="宋体" w:hAnsi="宋体" w:eastAsia="宋体" w:cs="宋体"/>
          <w:color w:val="auto"/>
          <w:sz w:val="24"/>
          <w:szCs w:val="24"/>
          <w:highlight w:val="none"/>
        </w:rPr>
        <w:t>接收质疑函的联系部门、联系电话、通讯地址（详见第一章）。</w:t>
      </w:r>
    </w:p>
    <w:p w14:paraId="3E60DFD0">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3.举报</w:t>
      </w:r>
    </w:p>
    <w:p w14:paraId="3A329DEB">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val="en-US" w:eastAsia="zh-CN"/>
        </w:rPr>
        <w:t xml:space="preserve">3.1 </w:t>
      </w:r>
      <w:r>
        <w:rPr>
          <w:rFonts w:hint="eastAsia" w:ascii="宋体" w:eastAsia="宋体" w:cs="宋体"/>
          <w:color w:val="auto"/>
          <w:sz w:val="24"/>
          <w:szCs w:val="24"/>
          <w:highlight w:val="none"/>
          <w:lang w:eastAsia="zh-CN"/>
        </w:rPr>
        <w:t>质疑人对采购人、采购代理机构的答复不满意或者采购人、采购代理机构未在规定的时间内做出书面答复的，可以在答复期满后十五个工作日内向采购人预算主管部门进行举报。举报程序按《政府采购法》及相关规定执行。供应商举报的事项不得超出已质疑事项的范围。</w:t>
      </w:r>
    </w:p>
    <w:p w14:paraId="52BE218D">
      <w:pPr>
        <w:kinsoku/>
        <w:spacing w:line="360" w:lineRule="auto"/>
        <w:ind w:firstLine="480" w:firstLineChars="200"/>
        <w:rPr>
          <w:rFonts w:ascii="宋体" w:eastAsia="宋体" w:cs="宋体"/>
          <w:color w:val="auto"/>
          <w:sz w:val="24"/>
          <w:szCs w:val="24"/>
          <w:highlight w:val="none"/>
          <w:lang w:eastAsia="zh-CN"/>
        </w:rPr>
        <w:sectPr>
          <w:footerReference r:id="rId7" w:type="default"/>
          <w:pgSz w:w="11906" w:h="16838"/>
          <w:pgMar w:top="1440" w:right="1080" w:bottom="1440" w:left="1080" w:header="0" w:footer="850" w:gutter="0"/>
          <w:pgNumType w:fmt="decimal"/>
          <w:cols w:space="0" w:num="1"/>
          <w:rtlGutter w:val="0"/>
          <w:docGrid w:linePitch="312" w:charSpace="0"/>
        </w:sectPr>
      </w:pPr>
      <w:r>
        <w:rPr>
          <w:rFonts w:hint="eastAsia" w:ascii="宋体" w:eastAsia="宋体" w:cs="宋体"/>
          <w:color w:val="auto"/>
          <w:sz w:val="24"/>
          <w:szCs w:val="24"/>
          <w:highlight w:val="none"/>
          <w:lang w:eastAsia="zh-CN"/>
        </w:rPr>
        <w:t>3.2 限额标准以下项目采购，不适用《中华人民共和国政府采购法》第二条规定，各级财政部门不对争议事项进行受理或处理。</w:t>
      </w:r>
    </w:p>
    <w:p w14:paraId="105BFC36">
      <w:pPr>
        <w:kinsoku/>
        <w:spacing w:line="360" w:lineRule="auto"/>
        <w:ind w:firstLine="562" w:firstLineChars="200"/>
        <w:jc w:val="center"/>
        <w:outlineLvl w:val="0"/>
        <w:rPr>
          <w:rFonts w:ascii="宋体" w:eastAsia="宋体" w:cs="宋体"/>
          <w:color w:val="auto"/>
          <w:sz w:val="24"/>
          <w:szCs w:val="24"/>
          <w:highlight w:val="none"/>
          <w:lang w:eastAsia="zh-CN"/>
        </w:rPr>
      </w:pPr>
      <w:bookmarkStart w:id="15" w:name="_Toc18147"/>
      <w:r>
        <w:rPr>
          <w:rFonts w:hint="eastAsia" w:ascii="宋体" w:eastAsia="宋体" w:cs="宋体"/>
          <w:b/>
          <w:bCs/>
          <w:color w:val="auto"/>
          <w:sz w:val="28"/>
          <w:szCs w:val="28"/>
          <w:highlight w:val="none"/>
          <w:lang w:eastAsia="zh-CN"/>
        </w:rPr>
        <w:t>第三章  采购内容与技术要求</w:t>
      </w:r>
      <w:bookmarkEnd w:id="15"/>
    </w:p>
    <w:p w14:paraId="4384DB3E">
      <w:pPr>
        <w:kinsoku/>
        <w:spacing w:line="360" w:lineRule="auto"/>
        <w:ind w:firstLine="482" w:firstLineChars="200"/>
        <w:outlineLvl w:val="1"/>
        <w:rPr>
          <w:rFonts w:ascii="宋体" w:eastAsia="宋体" w:cs="宋体"/>
          <w:b/>
          <w:bCs/>
          <w:color w:val="auto"/>
          <w:sz w:val="24"/>
          <w:szCs w:val="24"/>
          <w:highlight w:val="none"/>
          <w:lang w:eastAsia="zh-CN"/>
        </w:rPr>
      </w:pPr>
      <w:bookmarkStart w:id="16" w:name="_Toc29679"/>
      <w:r>
        <w:rPr>
          <w:rFonts w:hint="eastAsia" w:ascii="宋体" w:eastAsia="宋体" w:cs="宋体"/>
          <w:b/>
          <w:bCs/>
          <w:color w:val="auto"/>
          <w:sz w:val="24"/>
          <w:szCs w:val="24"/>
          <w:highlight w:val="none"/>
          <w:lang w:eastAsia="zh-CN"/>
        </w:rPr>
        <w:t>一、项目概况</w:t>
      </w:r>
      <w:bookmarkEnd w:id="16"/>
    </w:p>
    <w:p w14:paraId="3E040773">
      <w:pPr>
        <w:spacing w:before="183" w:line="352" w:lineRule="auto"/>
        <w:ind w:left="24" w:right="167" w:firstLine="477"/>
        <w:jc w:val="both"/>
        <w:rPr>
          <w:rFonts w:hint="eastAsia" w:ascii="宋体" w:hAnsi="宋体" w:eastAsia="宋体" w:cs="宋体"/>
          <w:sz w:val="24"/>
          <w:szCs w:val="24"/>
          <w:highlight w:val="none"/>
          <w:lang w:eastAsia="zh-CN"/>
        </w:rPr>
      </w:pPr>
      <w:r>
        <w:rPr>
          <w:rFonts w:hint="eastAsia" w:ascii="宋体" w:eastAsia="宋体" w:cs="宋体"/>
          <w:color w:val="auto"/>
          <w:sz w:val="24"/>
          <w:szCs w:val="24"/>
          <w:highlight w:val="none"/>
          <w:lang w:eastAsia="zh-CN"/>
        </w:rPr>
        <w:t>对赤峰市红山区9个乡镇及农村集中式饮用水水源地17眼水源井的水质进行监测，按照《地下水环境质量标准》（GB/T 14848-2017）要求，监测39项地下水质量常规指标。要求2026年丰水期和枯水期各监测一次，并出具检验检测报告。</w:t>
      </w:r>
    </w:p>
    <w:p w14:paraId="35624193">
      <w:pPr>
        <w:kinsoku/>
        <w:spacing w:line="360" w:lineRule="auto"/>
        <w:ind w:firstLine="482" w:firstLineChars="200"/>
        <w:outlineLvl w:val="1"/>
        <w:rPr>
          <w:rFonts w:ascii="宋体" w:eastAsia="宋体" w:cs="宋体"/>
          <w:color w:val="auto"/>
          <w:sz w:val="24"/>
          <w:szCs w:val="24"/>
          <w:highlight w:val="none"/>
          <w:lang w:eastAsia="zh-CN"/>
        </w:rPr>
      </w:pPr>
      <w:bookmarkStart w:id="17" w:name="_Toc2644"/>
      <w:r>
        <w:rPr>
          <w:rFonts w:hint="eastAsia" w:ascii="宋体" w:eastAsia="宋体" w:cs="宋体"/>
          <w:b/>
          <w:bCs/>
          <w:color w:val="auto"/>
          <w:sz w:val="24"/>
          <w:szCs w:val="24"/>
          <w:highlight w:val="none"/>
          <w:lang w:eastAsia="zh-CN"/>
        </w:rPr>
        <w:t>二、主要商务要求、技术要求</w:t>
      </w:r>
      <w:bookmarkEnd w:id="17"/>
    </w:p>
    <w:p w14:paraId="7344E4F6">
      <w:pPr>
        <w:kinsoku/>
        <w:spacing w:line="360" w:lineRule="auto"/>
        <w:ind w:firstLine="482" w:firstLineChars="200"/>
        <w:outlineLvl w:val="2"/>
        <w:rPr>
          <w:rFonts w:hint="eastAsia" w:ascii="宋体" w:eastAsia="宋体" w:cs="宋体"/>
          <w:b/>
          <w:bCs/>
          <w:color w:val="auto"/>
          <w:sz w:val="24"/>
          <w:szCs w:val="24"/>
          <w:highlight w:val="none"/>
        </w:rPr>
      </w:pPr>
      <w:r>
        <w:rPr>
          <w:rFonts w:hint="eastAsia" w:ascii="宋体" w:eastAsia="宋体" w:cs="宋体"/>
          <w:b/>
          <w:bCs/>
          <w:color w:val="auto"/>
          <w:sz w:val="24"/>
          <w:szCs w:val="24"/>
          <w:highlight w:val="none"/>
        </w:rPr>
        <w:t>1.主要商务要求</w:t>
      </w:r>
    </w:p>
    <w:p w14:paraId="56510C3B">
      <w:pPr>
        <w:pStyle w:val="8"/>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outlineLvl w:val="3"/>
        <w:rPr>
          <w:rFonts w:hint="default" w:eastAsia="宋体"/>
          <w:b w:val="0"/>
          <w:bCs w:val="0"/>
          <w:color w:val="auto"/>
          <w:highlight w:val="none"/>
          <w:lang w:val="en-US" w:eastAsia="zh-CN"/>
        </w:rPr>
      </w:pPr>
      <w:r>
        <w:rPr>
          <w:rFonts w:hint="eastAsia" w:ascii="宋体" w:eastAsia="宋体" w:cs="宋体"/>
          <w:b w:val="0"/>
          <w:bCs w:val="0"/>
          <w:color w:val="auto"/>
          <w:sz w:val="24"/>
          <w:szCs w:val="24"/>
          <w:highlight w:val="none"/>
          <w:lang w:eastAsia="zh-CN"/>
        </w:rPr>
        <w:t>采购包</w:t>
      </w:r>
      <w:r>
        <w:rPr>
          <w:rFonts w:hint="eastAsia" w:ascii="宋体" w:eastAsia="宋体" w:cs="宋体"/>
          <w:b w:val="0"/>
          <w:bCs w:val="0"/>
          <w:color w:val="auto"/>
          <w:sz w:val="24"/>
          <w:szCs w:val="24"/>
          <w:highlight w:val="none"/>
          <w:lang w:val="en-US" w:eastAsia="zh-CN"/>
        </w:rPr>
        <w:t>1：2026年赤峰市红山区乡镇及农村集中式饮用水水源地水质监测服务项目</w:t>
      </w:r>
    </w:p>
    <w:tbl>
      <w:tblPr>
        <w:tblStyle w:val="21"/>
        <w:tblW w:w="90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58"/>
        <w:gridCol w:w="6121"/>
      </w:tblGrid>
      <w:tr w14:paraId="1997F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58" w:type="dxa"/>
            <w:shd w:val="clear" w:color="auto" w:fill="auto"/>
            <w:vAlign w:val="center"/>
          </w:tcPr>
          <w:p w14:paraId="073F73F6">
            <w:pPr>
              <w:kinsoku/>
              <w:spacing w:line="360" w:lineRule="auto"/>
              <w:jc w:val="center"/>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交货或服务期限</w:t>
            </w:r>
          </w:p>
        </w:tc>
        <w:tc>
          <w:tcPr>
            <w:tcW w:w="6121" w:type="dxa"/>
            <w:shd w:val="clear" w:color="auto" w:fill="auto"/>
            <w:vAlign w:val="center"/>
          </w:tcPr>
          <w:p w14:paraId="3F2479A3">
            <w:pPr>
              <w:kinsoku/>
              <w:spacing w:line="360" w:lineRule="auto"/>
              <w:jc w:val="both"/>
              <w:rPr>
                <w:rFonts w:hint="default" w:ascii="宋体" w:eastAsia="宋体" w:cs="宋体"/>
                <w:color w:val="auto"/>
                <w:sz w:val="24"/>
                <w:szCs w:val="24"/>
                <w:highlight w:val="none"/>
                <w:lang w:val="en-US" w:eastAsia="zh-CN"/>
              </w:rPr>
            </w:pPr>
            <w:r>
              <w:rPr>
                <w:rFonts w:hint="default" w:ascii="宋体" w:eastAsia="宋体" w:cs="宋体"/>
                <w:color w:val="auto"/>
                <w:sz w:val="24"/>
                <w:szCs w:val="24"/>
                <w:lang w:val="en-US" w:eastAsia="zh-CN"/>
              </w:rPr>
              <w:t>自合同签订之日起至202</w:t>
            </w:r>
            <w:r>
              <w:rPr>
                <w:rFonts w:hint="eastAsia" w:ascii="宋体" w:eastAsia="宋体" w:cs="宋体"/>
                <w:color w:val="auto"/>
                <w:sz w:val="24"/>
                <w:szCs w:val="24"/>
                <w:lang w:val="en-US" w:eastAsia="zh-CN"/>
              </w:rPr>
              <w:t>6</w:t>
            </w:r>
            <w:r>
              <w:rPr>
                <w:rFonts w:hint="default" w:ascii="宋体" w:eastAsia="宋体" w:cs="宋体"/>
                <w:color w:val="auto"/>
                <w:sz w:val="24"/>
                <w:szCs w:val="24"/>
                <w:lang w:val="en-US" w:eastAsia="zh-CN"/>
              </w:rPr>
              <w:t>年12月31日</w:t>
            </w:r>
            <w:r>
              <w:rPr>
                <w:rFonts w:hint="eastAsia" w:ascii="宋体" w:eastAsia="宋体" w:cs="宋体"/>
                <w:color w:val="auto"/>
                <w:sz w:val="24"/>
                <w:szCs w:val="24"/>
                <w:lang w:val="en-US" w:eastAsia="zh-CN"/>
              </w:rPr>
              <w:t>内</w:t>
            </w:r>
          </w:p>
        </w:tc>
      </w:tr>
      <w:tr w14:paraId="206C1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58" w:type="dxa"/>
            <w:shd w:val="clear" w:color="auto" w:fill="auto"/>
            <w:vAlign w:val="center"/>
          </w:tcPr>
          <w:p w14:paraId="4DBDAF30">
            <w:pPr>
              <w:kinsoku/>
              <w:spacing w:line="360" w:lineRule="auto"/>
              <w:jc w:val="center"/>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交货或服务地点</w:t>
            </w:r>
          </w:p>
        </w:tc>
        <w:tc>
          <w:tcPr>
            <w:tcW w:w="6121" w:type="dxa"/>
            <w:shd w:val="clear" w:color="auto" w:fill="auto"/>
            <w:vAlign w:val="center"/>
          </w:tcPr>
          <w:p w14:paraId="0340D3EB">
            <w:pPr>
              <w:kinsoku/>
              <w:spacing w:line="360" w:lineRule="auto"/>
              <w:jc w:val="both"/>
              <w:rPr>
                <w:rFonts w:hint="default" w:ascii="宋体" w:eastAsia="宋体" w:cs="宋体"/>
                <w:color w:val="auto"/>
                <w:sz w:val="24"/>
                <w:szCs w:val="24"/>
                <w:highlight w:val="none"/>
                <w:lang w:val="en-US" w:eastAsia="zh-CN"/>
              </w:rPr>
            </w:pPr>
            <w:r>
              <w:rPr>
                <w:rFonts w:hint="eastAsia" w:ascii="宋体" w:eastAsia="宋体" w:cs="宋体"/>
                <w:color w:val="auto"/>
                <w:sz w:val="24"/>
                <w:szCs w:val="24"/>
                <w:lang w:eastAsia="zh-CN"/>
              </w:rPr>
              <w:t>赤峰市红山区9个乡镇及农村集中式饮用水水源地</w:t>
            </w:r>
          </w:p>
        </w:tc>
      </w:tr>
      <w:tr w14:paraId="1D4BC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58" w:type="dxa"/>
            <w:shd w:val="clear" w:color="auto" w:fill="auto"/>
            <w:vAlign w:val="center"/>
          </w:tcPr>
          <w:p w14:paraId="23588377">
            <w:pPr>
              <w:kinsoku/>
              <w:jc w:val="center"/>
              <w:rPr>
                <w:rFonts w:ascii="宋体" w:eastAsia="宋体" w:cs="宋体"/>
                <w:color w:val="auto"/>
                <w:sz w:val="24"/>
                <w:szCs w:val="24"/>
                <w:highlight w:val="none"/>
              </w:rPr>
            </w:pPr>
            <w:r>
              <w:rPr>
                <w:rFonts w:hint="eastAsia" w:ascii="宋体" w:eastAsia="宋体" w:cs="宋体"/>
                <w:color w:val="auto"/>
                <w:sz w:val="24"/>
                <w:szCs w:val="24"/>
                <w:highlight w:val="none"/>
              </w:rPr>
              <w:t>付款方式</w:t>
            </w:r>
          </w:p>
        </w:tc>
        <w:tc>
          <w:tcPr>
            <w:tcW w:w="6121" w:type="dxa"/>
            <w:shd w:val="clear" w:color="auto" w:fill="auto"/>
            <w:vAlign w:val="center"/>
          </w:tcPr>
          <w:p w14:paraId="4E0E8D13">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1期：合同签订后支付合同金额的30%预付款，</w:t>
            </w:r>
            <w:r>
              <w:rPr>
                <w:rFonts w:hint="eastAsia" w:ascii="宋体" w:eastAsia="宋体" w:cs="宋体"/>
                <w:color w:val="auto"/>
                <w:sz w:val="24"/>
                <w:szCs w:val="24"/>
                <w:highlight w:val="none"/>
                <w:lang w:eastAsia="zh-CN"/>
              </w:rPr>
              <w:t>支付前需提供相应面额的发票</w:t>
            </w:r>
            <w:r>
              <w:rPr>
                <w:rFonts w:hint="eastAsia" w:ascii="宋体" w:hAnsi="宋体" w:eastAsia="宋体" w:cs="宋体"/>
                <w:sz w:val="24"/>
                <w:szCs w:val="24"/>
                <w:highlight w:val="none"/>
                <w:lang w:val="en-US" w:eastAsia="zh-CN"/>
              </w:rPr>
              <w:t>；</w:t>
            </w:r>
          </w:p>
          <w:p w14:paraId="2EF6F025">
            <w:pPr>
              <w:kinsoku/>
              <w:spacing w:line="360" w:lineRule="auto"/>
              <w:jc w:val="both"/>
              <w:rPr>
                <w:rFonts w:hint="default" w:asci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2期：项目完成出具合法合规检验检测报告并由甲方验收合格后（项目完成后2个工作日内验收）20日内支付合同金额的70%，</w:t>
            </w:r>
            <w:r>
              <w:rPr>
                <w:rFonts w:hint="eastAsia" w:ascii="宋体" w:eastAsia="宋体" w:cs="宋体"/>
                <w:color w:val="auto"/>
                <w:sz w:val="24"/>
                <w:szCs w:val="24"/>
                <w:highlight w:val="none"/>
                <w:lang w:eastAsia="zh-CN"/>
              </w:rPr>
              <w:t>支付前需提供相应面额的发票。</w:t>
            </w:r>
          </w:p>
        </w:tc>
      </w:tr>
      <w:tr w14:paraId="61F5F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58" w:type="dxa"/>
            <w:shd w:val="clear" w:color="auto" w:fill="auto"/>
            <w:vAlign w:val="center"/>
          </w:tcPr>
          <w:p w14:paraId="4E478773">
            <w:pPr>
              <w:kinsoku/>
              <w:jc w:val="center"/>
              <w:rPr>
                <w:rFonts w:ascii="宋体" w:eastAsia="宋体" w:cs="宋体"/>
                <w:color w:val="auto"/>
                <w:sz w:val="24"/>
                <w:szCs w:val="24"/>
                <w:highlight w:val="none"/>
              </w:rPr>
            </w:pPr>
            <w:r>
              <w:rPr>
                <w:rFonts w:hint="eastAsia" w:ascii="宋体" w:eastAsia="宋体" w:cs="宋体"/>
                <w:color w:val="auto"/>
                <w:sz w:val="24"/>
                <w:szCs w:val="24"/>
                <w:highlight w:val="none"/>
              </w:rPr>
              <w:t>验收要求</w:t>
            </w:r>
          </w:p>
        </w:tc>
        <w:tc>
          <w:tcPr>
            <w:tcW w:w="6121" w:type="dxa"/>
            <w:shd w:val="clear" w:color="auto" w:fill="auto"/>
            <w:vAlign w:val="center"/>
          </w:tcPr>
          <w:p w14:paraId="7E6BCB1B">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1.成交供应商出具的水质检测报告应符合国家、行业、采购文件相关技术规范、规定的要求；</w:t>
            </w:r>
          </w:p>
          <w:p w14:paraId="7D82FC33">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z w:val="24"/>
                <w:szCs w:val="24"/>
                <w:highlight w:val="none"/>
                <w:lang w:val="en-US" w:eastAsia="zh-CN"/>
              </w:rPr>
            </w:pPr>
            <w:r>
              <w:rPr>
                <w:rFonts w:hint="eastAsia" w:ascii="宋体" w:eastAsia="宋体" w:cs="宋体"/>
                <w:color w:val="auto"/>
                <w:sz w:val="24"/>
                <w:szCs w:val="24"/>
                <w:highlight w:val="none"/>
                <w:lang w:eastAsia="zh-CN"/>
              </w:rPr>
              <w:t>2.项目完成后，由采购人按国家、行业、采购文件相关技术规范、规定进行验收。</w:t>
            </w:r>
          </w:p>
        </w:tc>
      </w:tr>
      <w:tr w14:paraId="73CC0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58" w:type="dxa"/>
            <w:shd w:val="clear" w:color="auto" w:fill="auto"/>
            <w:vAlign w:val="center"/>
          </w:tcPr>
          <w:p w14:paraId="0F3C6CBC">
            <w:pPr>
              <w:kinsoku/>
              <w:jc w:val="center"/>
              <w:rPr>
                <w:rFonts w:ascii="宋体" w:eastAsia="宋体" w:cs="宋体"/>
                <w:color w:val="auto"/>
                <w:sz w:val="24"/>
                <w:szCs w:val="24"/>
                <w:highlight w:val="none"/>
              </w:rPr>
            </w:pPr>
            <w:r>
              <w:rPr>
                <w:rFonts w:hint="eastAsia" w:ascii="宋体" w:eastAsia="宋体" w:cs="宋体"/>
                <w:color w:val="auto"/>
                <w:sz w:val="24"/>
                <w:szCs w:val="24"/>
                <w:highlight w:val="none"/>
              </w:rPr>
              <w:t>履约保证金</w:t>
            </w:r>
          </w:p>
        </w:tc>
        <w:tc>
          <w:tcPr>
            <w:tcW w:w="6121" w:type="dxa"/>
            <w:shd w:val="clear" w:color="auto" w:fill="auto"/>
            <w:vAlign w:val="center"/>
          </w:tcPr>
          <w:p w14:paraId="5F7AA54E">
            <w:pPr>
              <w:pStyle w:val="19"/>
              <w:keepNext w:val="0"/>
              <w:keepLines w:val="0"/>
              <w:pageBreakBefore w:val="0"/>
              <w:widowControl w:val="0"/>
              <w:kinsoku/>
              <w:wordWrap w:val="0"/>
              <w:overflowPunct/>
              <w:topLinePunct w:val="0"/>
              <w:autoSpaceDE/>
              <w:autoSpaceDN/>
              <w:bidi w:val="0"/>
              <w:adjustRightInd/>
              <w:snapToGrid/>
              <w:spacing w:after="0" w:line="400" w:lineRule="exact"/>
              <w:ind w:left="0" w:leftChars="0" w:firstLine="0" w:firstLineChars="0"/>
              <w:textAlignment w:val="auto"/>
              <w:rPr>
                <w:rFonts w:hint="eastAsia" w:asci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本项目不要求</w:t>
            </w:r>
          </w:p>
        </w:tc>
      </w:tr>
      <w:tr w14:paraId="10777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958" w:type="dxa"/>
            <w:shd w:val="clear" w:color="auto" w:fill="auto"/>
            <w:vAlign w:val="center"/>
          </w:tcPr>
          <w:p w14:paraId="57B5D82C">
            <w:pPr>
              <w:kinsoku/>
              <w:jc w:val="center"/>
              <w:rPr>
                <w:rFonts w:ascii="宋体" w:eastAsia="宋体" w:cs="宋体"/>
                <w:color w:val="auto"/>
                <w:sz w:val="24"/>
                <w:szCs w:val="24"/>
                <w:highlight w:val="none"/>
              </w:rPr>
            </w:pPr>
            <w:r>
              <w:rPr>
                <w:rFonts w:hint="eastAsia" w:ascii="宋体" w:eastAsia="宋体" w:cs="宋体"/>
                <w:color w:val="auto"/>
                <w:sz w:val="24"/>
                <w:szCs w:val="24"/>
                <w:highlight w:val="none"/>
              </w:rPr>
              <w:t>其他要求</w:t>
            </w:r>
          </w:p>
        </w:tc>
        <w:tc>
          <w:tcPr>
            <w:tcW w:w="6121" w:type="dxa"/>
            <w:shd w:val="clear" w:color="auto" w:fill="auto"/>
            <w:vAlign w:val="center"/>
          </w:tcPr>
          <w:p w14:paraId="6F637092">
            <w:pPr>
              <w:keepNext w:val="0"/>
              <w:keepLines w:val="0"/>
              <w:pageBreakBefore w:val="0"/>
              <w:widowControl w:val="0"/>
              <w:numPr>
                <w:ilvl w:val="0"/>
                <w:numId w:val="0"/>
              </w:numPr>
              <w:kinsoku/>
              <w:wordWrap w:val="0"/>
              <w:overflowPunct/>
              <w:topLinePunct w:val="0"/>
              <w:bidi w:val="0"/>
              <w:adjustRightInd/>
              <w:snapToGrid/>
              <w:spacing w:line="400" w:lineRule="exact"/>
              <w:ind w:left="0" w:leftChars="0" w:firstLine="0" w:firstLineChars="0"/>
              <w:textAlignment w:val="auto"/>
              <w:rPr>
                <w:rFonts w:hint="default" w:asci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w:t>
            </w:r>
          </w:p>
        </w:tc>
      </w:tr>
    </w:tbl>
    <w:p w14:paraId="4E448222">
      <w:pPr>
        <w:numPr>
          <w:ilvl w:val="0"/>
          <w:numId w:val="0"/>
        </w:numPr>
        <w:kinsoku/>
        <w:spacing w:before="240" w:beforeLines="100" w:line="360" w:lineRule="auto"/>
        <w:ind w:firstLine="482" w:firstLineChars="200"/>
        <w:outlineLvl w:val="2"/>
        <w:rPr>
          <w:rFonts w:hint="eastAsia" w:ascii="宋体" w:eastAsia="宋体" w:cs="宋体"/>
          <w:b/>
          <w:bCs/>
          <w:color w:val="auto"/>
          <w:sz w:val="24"/>
          <w:szCs w:val="24"/>
          <w:highlight w:val="none"/>
        </w:rPr>
      </w:pPr>
      <w:r>
        <w:rPr>
          <w:rFonts w:hint="eastAsia" w:ascii="宋体" w:hAnsi="Arial" w:eastAsia="宋体" w:cs="宋体"/>
          <w:b/>
          <w:bCs/>
          <w:color w:val="auto"/>
          <w:sz w:val="24"/>
          <w:szCs w:val="24"/>
          <w:highlight w:val="none"/>
          <w:lang w:val="en-US" w:eastAsia="en-US" w:bidi="ar-SA"/>
        </w:rPr>
        <w:t>2.</w:t>
      </w:r>
      <w:r>
        <w:rPr>
          <w:rFonts w:hint="eastAsia" w:ascii="宋体" w:eastAsia="宋体" w:cs="宋体"/>
          <w:b/>
          <w:bCs/>
          <w:color w:val="auto"/>
          <w:sz w:val="24"/>
          <w:szCs w:val="24"/>
          <w:highlight w:val="none"/>
        </w:rPr>
        <w:t>技术要求</w:t>
      </w:r>
    </w:p>
    <w:p w14:paraId="5CE2F06E">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outlineLvl w:val="3"/>
        <w:rPr>
          <w:rFonts w:hint="eastAsia" w:ascii="宋体" w:eastAsia="宋体" w:cs="宋体"/>
          <w:b w:val="0"/>
          <w:bCs w:val="0"/>
          <w:color w:val="auto"/>
          <w:sz w:val="24"/>
          <w:szCs w:val="24"/>
          <w:highlight w:val="none"/>
          <w:lang w:val="en-US" w:eastAsia="zh-CN"/>
        </w:rPr>
      </w:pPr>
      <w:r>
        <w:rPr>
          <w:rFonts w:hint="eastAsia" w:ascii="宋体" w:eastAsia="宋体" w:cs="宋体"/>
          <w:b w:val="0"/>
          <w:bCs w:val="0"/>
          <w:color w:val="auto"/>
          <w:sz w:val="24"/>
          <w:szCs w:val="24"/>
          <w:highlight w:val="none"/>
          <w:lang w:eastAsia="zh-CN"/>
        </w:rPr>
        <w:t>采购包</w:t>
      </w:r>
      <w:r>
        <w:rPr>
          <w:rFonts w:hint="eastAsia" w:ascii="宋体" w:eastAsia="宋体" w:cs="宋体"/>
          <w:b w:val="0"/>
          <w:bCs w:val="0"/>
          <w:color w:val="auto"/>
          <w:sz w:val="24"/>
          <w:szCs w:val="24"/>
          <w:highlight w:val="none"/>
          <w:lang w:val="en-US" w:eastAsia="zh-CN"/>
        </w:rPr>
        <w:t>1：2026年赤峰市红山区乡镇及农村集中式饮用水水源地水质监测服务项目</w:t>
      </w:r>
    </w:p>
    <w:tbl>
      <w:tblPr>
        <w:tblStyle w:val="21"/>
        <w:tblW w:w="90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0"/>
        <w:gridCol w:w="500"/>
        <w:gridCol w:w="7825"/>
      </w:tblGrid>
      <w:tr w14:paraId="2F95C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jc w:val="center"/>
        </w:trPr>
        <w:tc>
          <w:tcPr>
            <w:tcW w:w="680" w:type="dxa"/>
            <w:shd w:val="clear" w:color="auto" w:fill="auto"/>
            <w:vAlign w:val="center"/>
          </w:tcPr>
          <w:p w14:paraId="58608B19">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eastAsia="宋体" w:cs="宋体"/>
                <w:color w:val="auto"/>
                <w:sz w:val="24"/>
                <w:szCs w:val="24"/>
                <w:highlight w:val="none"/>
              </w:rPr>
            </w:pPr>
            <w:r>
              <w:rPr>
                <w:rFonts w:hint="eastAsia" w:ascii="宋体" w:eastAsia="宋体" w:cs="宋体"/>
                <w:color w:val="auto"/>
                <w:sz w:val="24"/>
                <w:szCs w:val="24"/>
                <w:highlight w:val="none"/>
              </w:rPr>
              <w:t>参数性质</w:t>
            </w:r>
          </w:p>
        </w:tc>
        <w:tc>
          <w:tcPr>
            <w:tcW w:w="500" w:type="dxa"/>
            <w:shd w:val="clear" w:color="auto" w:fill="auto"/>
            <w:vAlign w:val="center"/>
          </w:tcPr>
          <w:p w14:paraId="05B2C363">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eastAsia="宋体" w:cs="宋体"/>
                <w:color w:val="auto"/>
                <w:sz w:val="24"/>
                <w:szCs w:val="24"/>
                <w:highlight w:val="none"/>
              </w:rPr>
            </w:pPr>
            <w:r>
              <w:rPr>
                <w:rFonts w:hint="eastAsia" w:ascii="宋体" w:eastAsia="宋体" w:cs="宋体"/>
                <w:color w:val="auto"/>
                <w:sz w:val="24"/>
                <w:szCs w:val="24"/>
                <w:highlight w:val="none"/>
              </w:rPr>
              <w:t>序号</w:t>
            </w:r>
          </w:p>
        </w:tc>
        <w:tc>
          <w:tcPr>
            <w:tcW w:w="7825" w:type="dxa"/>
            <w:shd w:val="clear" w:color="auto" w:fill="auto"/>
            <w:vAlign w:val="center"/>
          </w:tcPr>
          <w:p w14:paraId="173D58F5">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eastAsia="宋体" w:cs="宋体"/>
                <w:color w:val="auto"/>
                <w:sz w:val="24"/>
                <w:szCs w:val="24"/>
                <w:highlight w:val="none"/>
              </w:rPr>
            </w:pPr>
            <w:r>
              <w:rPr>
                <w:rFonts w:hint="eastAsia" w:ascii="宋体" w:eastAsia="宋体" w:cs="宋体"/>
                <w:color w:val="auto"/>
                <w:sz w:val="24"/>
                <w:szCs w:val="24"/>
                <w:highlight w:val="none"/>
              </w:rPr>
              <w:t>具体技术(参数)要求</w:t>
            </w:r>
          </w:p>
        </w:tc>
      </w:tr>
      <w:tr w14:paraId="1FCC1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jc w:val="center"/>
        </w:trPr>
        <w:tc>
          <w:tcPr>
            <w:tcW w:w="680" w:type="dxa"/>
            <w:shd w:val="clear" w:color="auto" w:fill="auto"/>
            <w:vAlign w:val="center"/>
          </w:tcPr>
          <w:p w14:paraId="6B279AB4">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eastAsia="宋体" w:cs="宋体"/>
                <w:color w:val="auto"/>
                <w:sz w:val="24"/>
                <w:szCs w:val="24"/>
                <w:highlight w:val="none"/>
              </w:rPr>
            </w:pPr>
            <w:r>
              <w:rPr>
                <w:rFonts w:hint="eastAsia" w:ascii="宋体" w:eastAsia="宋体" w:cs="宋体"/>
                <w:color w:val="auto"/>
                <w:sz w:val="24"/>
                <w:szCs w:val="24"/>
                <w:highlight w:val="none"/>
              </w:rPr>
              <w:t>★</w:t>
            </w:r>
          </w:p>
        </w:tc>
        <w:tc>
          <w:tcPr>
            <w:tcW w:w="500" w:type="dxa"/>
            <w:shd w:val="clear" w:color="auto" w:fill="auto"/>
            <w:vAlign w:val="center"/>
          </w:tcPr>
          <w:p w14:paraId="71C78A12">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1</w:t>
            </w:r>
          </w:p>
        </w:tc>
        <w:tc>
          <w:tcPr>
            <w:tcW w:w="7825" w:type="dxa"/>
            <w:shd w:val="clear" w:color="auto" w:fill="auto"/>
            <w:vAlign w:val="center"/>
          </w:tcPr>
          <w:p w14:paraId="3F9FF902">
            <w:pPr>
              <w:pStyle w:val="13"/>
              <w:spacing w:line="360" w:lineRule="auto"/>
              <w:rPr>
                <w:rFonts w:hint="default" w:ascii="宋体" w:hAnsi="宋体" w:cs="宋体"/>
                <w:b/>
                <w:bCs/>
                <w:color w:val="auto"/>
                <w:kern w:val="0"/>
                <w:sz w:val="24"/>
                <w:szCs w:val="24"/>
                <w:lang w:val="en-US" w:eastAsia="zh-CN"/>
              </w:rPr>
            </w:pPr>
            <w:r>
              <w:rPr>
                <w:rFonts w:hint="default" w:ascii="宋体" w:hAnsi="宋体" w:cs="宋体"/>
                <w:b/>
                <w:bCs/>
                <w:color w:val="auto"/>
                <w:kern w:val="0"/>
                <w:sz w:val="24"/>
                <w:szCs w:val="24"/>
                <w:lang w:val="en-US" w:eastAsia="zh-CN"/>
              </w:rPr>
              <w:t>一、监测内容及监测频次</w:t>
            </w:r>
          </w:p>
          <w:p w14:paraId="1B212726">
            <w:pPr>
              <w:pStyle w:val="13"/>
              <w:spacing w:line="360" w:lineRule="auto"/>
              <w:rPr>
                <w:rFonts w:hint="default" w:ascii="宋体" w:hAnsi="宋体" w:cs="宋体"/>
                <w:color w:val="auto"/>
                <w:kern w:val="0"/>
                <w:sz w:val="24"/>
                <w:szCs w:val="24"/>
                <w:lang w:val="en-US" w:eastAsia="zh-CN"/>
              </w:rPr>
            </w:pPr>
            <w:r>
              <w:rPr>
                <w:rFonts w:hint="eastAsia" w:ascii="宋体" w:cs="宋体"/>
                <w:color w:val="auto"/>
                <w:sz w:val="24"/>
                <w:szCs w:val="24"/>
                <w:highlight w:val="none"/>
                <w:lang w:val="en-US" w:eastAsia="zh-CN"/>
              </w:rPr>
              <w:t>对赤峰市红山区9个乡镇及农村集中式饮用水水源地17眼水源井的水质进行监测，按照《地下水环境质量标准》（GB/T 14848-2017）要求，监测39项地下水质量常规指标。要求2026年丰水期和枯水期各监测一次，</w:t>
            </w:r>
            <w:r>
              <w:rPr>
                <w:rFonts w:hint="eastAsia" w:ascii="宋体" w:cs="宋体"/>
                <w:color w:val="auto"/>
                <w:sz w:val="24"/>
                <w:szCs w:val="24"/>
                <w:highlight w:val="none"/>
                <w:lang w:eastAsia="zh-CN"/>
              </w:rPr>
              <w:t>并出具检验检测报告</w:t>
            </w:r>
            <w:r>
              <w:rPr>
                <w:rFonts w:hint="default" w:ascii="宋体" w:hAnsi="宋体" w:cs="宋体"/>
                <w:color w:val="auto"/>
                <w:kern w:val="0"/>
                <w:sz w:val="24"/>
                <w:szCs w:val="24"/>
                <w:lang w:val="en-US" w:eastAsia="zh-CN"/>
              </w:rPr>
              <w:t>。</w:t>
            </w:r>
          </w:p>
          <w:p w14:paraId="3363327E">
            <w:pPr>
              <w:pStyle w:val="13"/>
              <w:spacing w:line="360" w:lineRule="auto"/>
              <w:rPr>
                <w:rFonts w:hint="default" w:ascii="宋体" w:hAnsi="宋体" w:cs="宋体"/>
                <w:b/>
                <w:bCs/>
                <w:color w:val="auto"/>
                <w:kern w:val="0"/>
                <w:sz w:val="24"/>
                <w:szCs w:val="24"/>
                <w:lang w:val="en-US" w:eastAsia="zh-CN"/>
              </w:rPr>
            </w:pPr>
            <w:r>
              <w:rPr>
                <w:rFonts w:hint="default" w:ascii="宋体" w:hAnsi="宋体" w:cs="宋体"/>
                <w:b/>
                <w:bCs/>
                <w:color w:val="auto"/>
                <w:kern w:val="0"/>
                <w:sz w:val="24"/>
                <w:szCs w:val="24"/>
                <w:lang w:val="en-US" w:eastAsia="zh-CN"/>
              </w:rPr>
              <w:t>二、其他要求</w:t>
            </w:r>
          </w:p>
          <w:p w14:paraId="520A8C1F">
            <w:pPr>
              <w:pStyle w:val="13"/>
              <w:spacing w:line="360" w:lineRule="auto"/>
              <w:rPr>
                <w:rFonts w:hint="default" w:ascii="宋体" w:hAnsi="宋体" w:cs="宋体"/>
                <w:color w:val="auto"/>
                <w:kern w:val="0"/>
                <w:sz w:val="24"/>
                <w:szCs w:val="24"/>
                <w:lang w:val="en-US" w:eastAsia="zh-CN"/>
              </w:rPr>
            </w:pPr>
            <w:r>
              <w:rPr>
                <w:rFonts w:hint="default" w:ascii="宋体" w:hAnsi="宋体" w:cs="宋体"/>
                <w:color w:val="auto"/>
                <w:kern w:val="0"/>
                <w:sz w:val="24"/>
                <w:szCs w:val="24"/>
                <w:lang w:val="en-US" w:eastAsia="zh-CN"/>
              </w:rPr>
              <w:t>1</w:t>
            </w:r>
            <w:r>
              <w:rPr>
                <w:rFonts w:hint="eastAsia" w:ascii="宋体" w:hAnsi="宋体" w:cs="宋体"/>
                <w:color w:val="auto"/>
                <w:kern w:val="0"/>
                <w:sz w:val="24"/>
                <w:szCs w:val="24"/>
                <w:lang w:val="en-US" w:eastAsia="zh-CN"/>
              </w:rPr>
              <w:t>.</w:t>
            </w:r>
            <w:r>
              <w:rPr>
                <w:rFonts w:hint="default" w:ascii="宋体" w:hAnsi="宋体" w:cs="宋体"/>
                <w:color w:val="auto"/>
                <w:kern w:val="0"/>
                <w:sz w:val="24"/>
                <w:szCs w:val="24"/>
                <w:lang w:val="en-US" w:eastAsia="zh-CN"/>
              </w:rPr>
              <w:t>赤峰市生态环境局红山区分局提供被监测单位联系方式，采样应提供现场照片。现场照片与监测报告须同时提交赤峰市生态环境局红山区分局。</w:t>
            </w:r>
          </w:p>
          <w:p w14:paraId="59DA9230">
            <w:pPr>
              <w:pStyle w:val="14"/>
              <w:ind w:left="0" w:leftChars="0" w:firstLine="0" w:firstLineChars="0"/>
              <w:jc w:val="both"/>
              <w:rPr>
                <w:rFonts w:hint="eastAsia" w:hAnsi="宋体" w:cs="宋体"/>
                <w:b/>
                <w:bCs/>
                <w:i w:val="0"/>
                <w:iCs/>
                <w:color w:val="auto"/>
                <w:kern w:val="0"/>
                <w:sz w:val="24"/>
                <w:szCs w:val="24"/>
                <w:lang w:val="en-US" w:eastAsia="zh-CN"/>
              </w:rPr>
            </w:pPr>
            <w:r>
              <w:rPr>
                <w:rFonts w:hint="eastAsia" w:hAnsi="宋体" w:cs="宋体"/>
                <w:b/>
                <w:bCs/>
                <w:i w:val="0"/>
                <w:iCs/>
                <w:color w:val="auto"/>
                <w:kern w:val="0"/>
                <w:sz w:val="24"/>
                <w:szCs w:val="24"/>
                <w:lang w:val="en-US" w:eastAsia="zh-CN"/>
              </w:rPr>
              <w:t>三、监测项目清单</w:t>
            </w:r>
          </w:p>
          <w:tbl>
            <w:tblPr>
              <w:tblStyle w:val="22"/>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3040"/>
              <w:gridCol w:w="1320"/>
              <w:gridCol w:w="2969"/>
            </w:tblGrid>
            <w:tr w14:paraId="7DB78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248" w:type="dxa"/>
                  <w:noWrap w:val="0"/>
                  <w:vAlign w:val="center"/>
                </w:tcPr>
                <w:p w14:paraId="02589AFC">
                  <w:pPr>
                    <w:widowControl w:val="0"/>
                    <w:ind w:left="0" w:leftChars="0" w:right="0" w:rightChars="0" w:firstLine="0" w:firstLineChars="0"/>
                    <w:jc w:val="center"/>
                    <w:rPr>
                      <w:rFonts w:hint="eastAsia" w:ascii="宋体" w:hAnsi="宋体" w:eastAsia="宋体" w:cs="宋体"/>
                      <w:b/>
                      <w:bCs/>
                      <w:lang w:val="en-US" w:eastAsia="zh-CN"/>
                    </w:rPr>
                  </w:pPr>
                  <w:r>
                    <w:rPr>
                      <w:rFonts w:hint="eastAsia" w:ascii="宋体" w:hAnsi="宋体" w:eastAsia="宋体" w:cs="宋体"/>
                      <w:b/>
                      <w:bCs/>
                      <w:lang w:val="en-US" w:eastAsia="zh-CN"/>
                    </w:rPr>
                    <w:t>序号</w:t>
                  </w:r>
                </w:p>
              </w:tc>
              <w:tc>
                <w:tcPr>
                  <w:tcW w:w="3040" w:type="dxa"/>
                  <w:noWrap w:val="0"/>
                  <w:vAlign w:val="center"/>
                </w:tcPr>
                <w:p w14:paraId="7D18C4DE">
                  <w:pPr>
                    <w:widowControl w:val="0"/>
                    <w:ind w:left="0" w:leftChars="0" w:right="0" w:rightChars="0" w:firstLine="0" w:firstLineChars="0"/>
                    <w:jc w:val="both"/>
                    <w:rPr>
                      <w:rFonts w:hint="eastAsia" w:ascii="宋体" w:hAnsi="宋体" w:eastAsia="宋体" w:cs="宋体"/>
                      <w:b/>
                      <w:bCs/>
                      <w:lang w:val="en-US" w:eastAsia="zh-CN"/>
                    </w:rPr>
                  </w:pPr>
                  <w:r>
                    <w:rPr>
                      <w:rFonts w:hint="eastAsia" w:ascii="宋体" w:hAnsi="宋体" w:eastAsia="宋体" w:cs="宋体"/>
                      <w:b/>
                      <w:bCs/>
                      <w:lang w:val="en-US" w:eastAsia="zh-CN"/>
                    </w:rPr>
                    <w:t>监测项目</w:t>
                  </w:r>
                </w:p>
              </w:tc>
              <w:tc>
                <w:tcPr>
                  <w:tcW w:w="1320" w:type="dxa"/>
                  <w:noWrap w:val="0"/>
                  <w:vAlign w:val="center"/>
                </w:tcPr>
                <w:p w14:paraId="7184B167">
                  <w:pPr>
                    <w:widowControl w:val="0"/>
                    <w:ind w:left="0" w:leftChars="0" w:right="0" w:rightChars="0" w:firstLine="0" w:firstLineChars="0"/>
                    <w:jc w:val="center"/>
                    <w:rPr>
                      <w:rFonts w:hint="eastAsia" w:ascii="宋体" w:hAnsi="宋体" w:eastAsia="宋体" w:cs="宋体"/>
                      <w:b/>
                      <w:bCs/>
                      <w:lang w:val="en-US" w:eastAsia="zh-CN"/>
                    </w:rPr>
                  </w:pPr>
                  <w:r>
                    <w:rPr>
                      <w:rFonts w:hint="eastAsia" w:ascii="宋体" w:hAnsi="宋体" w:eastAsia="宋体" w:cs="宋体"/>
                      <w:b/>
                      <w:bCs/>
                      <w:lang w:val="en-US" w:eastAsia="zh-CN"/>
                    </w:rPr>
                    <w:t>序号</w:t>
                  </w:r>
                </w:p>
              </w:tc>
              <w:tc>
                <w:tcPr>
                  <w:tcW w:w="2969" w:type="dxa"/>
                  <w:noWrap w:val="0"/>
                  <w:vAlign w:val="center"/>
                </w:tcPr>
                <w:p w14:paraId="5B90CA87">
                  <w:pPr>
                    <w:widowControl w:val="0"/>
                    <w:ind w:left="0" w:leftChars="0" w:right="0" w:rightChars="0" w:firstLine="0" w:firstLineChars="0"/>
                    <w:jc w:val="both"/>
                    <w:rPr>
                      <w:rFonts w:hint="eastAsia" w:ascii="宋体" w:hAnsi="宋体" w:eastAsia="宋体" w:cs="宋体"/>
                      <w:b/>
                      <w:bCs/>
                      <w:lang w:val="en-US" w:eastAsia="zh-CN"/>
                    </w:rPr>
                  </w:pPr>
                  <w:r>
                    <w:rPr>
                      <w:rFonts w:hint="eastAsia" w:ascii="宋体" w:hAnsi="宋体" w:eastAsia="宋体" w:cs="宋体"/>
                      <w:b/>
                      <w:bCs/>
                      <w:lang w:val="en-US" w:eastAsia="zh-CN"/>
                    </w:rPr>
                    <w:t>监测项目</w:t>
                  </w:r>
                </w:p>
              </w:tc>
            </w:tr>
            <w:tr w14:paraId="4F308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248" w:type="dxa"/>
                  <w:noWrap w:val="0"/>
                  <w:vAlign w:val="center"/>
                </w:tcPr>
                <w:p w14:paraId="4731DCD4">
                  <w:pPr>
                    <w:widowControl w:val="0"/>
                    <w:ind w:left="0" w:leftChars="0" w:right="0" w:righ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3040" w:type="dxa"/>
                  <w:noWrap w:val="0"/>
                  <w:vAlign w:val="center"/>
                </w:tcPr>
                <w:p w14:paraId="00791AFC">
                  <w:pPr>
                    <w:widowControl w:val="0"/>
                    <w:ind w:left="0" w:leftChars="0" w:right="0" w:rightChars="0" w:firstLine="0" w:firstLineChars="0"/>
                    <w:jc w:val="both"/>
                    <w:rPr>
                      <w:rFonts w:hint="eastAsia" w:ascii="宋体" w:hAnsi="宋体" w:eastAsia="宋体" w:cs="宋体"/>
                      <w:lang w:val="en-US" w:eastAsia="zh-CN"/>
                    </w:rPr>
                  </w:pPr>
                  <w:r>
                    <w:rPr>
                      <w:rFonts w:hint="eastAsia" w:ascii="宋体" w:hAnsi="宋体" w:eastAsia="宋体" w:cs="宋体"/>
                      <w:lang w:val="en-US" w:eastAsia="zh-CN"/>
                    </w:rPr>
                    <w:t>色度</w:t>
                  </w:r>
                </w:p>
              </w:tc>
              <w:tc>
                <w:tcPr>
                  <w:tcW w:w="1320" w:type="dxa"/>
                  <w:noWrap w:val="0"/>
                  <w:vAlign w:val="center"/>
                </w:tcPr>
                <w:p w14:paraId="3277922B">
                  <w:pPr>
                    <w:widowControl w:val="0"/>
                    <w:ind w:left="0" w:leftChars="0" w:right="0" w:righ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21</w:t>
                  </w:r>
                </w:p>
              </w:tc>
              <w:tc>
                <w:tcPr>
                  <w:tcW w:w="2969" w:type="dxa"/>
                  <w:noWrap w:val="0"/>
                  <w:vAlign w:val="center"/>
                </w:tcPr>
                <w:p w14:paraId="0EC35B9F">
                  <w:pPr>
                    <w:widowControl w:val="0"/>
                    <w:ind w:left="0" w:leftChars="0" w:right="0" w:rightChars="0" w:firstLine="0" w:firstLineChars="0"/>
                    <w:jc w:val="both"/>
                    <w:rPr>
                      <w:rFonts w:hint="eastAsia" w:ascii="宋体" w:hAnsi="宋体" w:eastAsia="宋体" w:cs="宋体"/>
                      <w:lang w:val="en-US" w:eastAsia="zh-CN"/>
                    </w:rPr>
                  </w:pPr>
                  <w:r>
                    <w:rPr>
                      <w:rFonts w:hint="eastAsia" w:ascii="宋体" w:hAnsi="宋体" w:eastAsia="宋体" w:cs="宋体"/>
                      <w:lang w:val="en-US" w:eastAsia="zh-CN"/>
                    </w:rPr>
                    <w:t>总大肠菌群</w:t>
                  </w:r>
                </w:p>
              </w:tc>
            </w:tr>
            <w:tr w14:paraId="457C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248" w:type="dxa"/>
                  <w:noWrap w:val="0"/>
                  <w:vAlign w:val="center"/>
                </w:tcPr>
                <w:p w14:paraId="268949CB">
                  <w:pPr>
                    <w:widowControl w:val="0"/>
                    <w:ind w:left="0" w:leftChars="0" w:right="0" w:righ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3040" w:type="dxa"/>
                  <w:noWrap w:val="0"/>
                  <w:vAlign w:val="center"/>
                </w:tcPr>
                <w:p w14:paraId="55687EE7">
                  <w:pPr>
                    <w:widowControl w:val="0"/>
                    <w:ind w:left="0" w:leftChars="0" w:right="0" w:rightChars="0" w:firstLine="0" w:firstLineChars="0"/>
                    <w:jc w:val="both"/>
                    <w:rPr>
                      <w:rFonts w:hint="eastAsia" w:ascii="宋体" w:hAnsi="宋体" w:eastAsia="宋体" w:cs="宋体"/>
                      <w:lang w:val="en-US" w:eastAsia="zh-CN"/>
                    </w:rPr>
                  </w:pPr>
                  <w:r>
                    <w:rPr>
                      <w:rFonts w:hint="eastAsia" w:ascii="宋体" w:hAnsi="宋体" w:eastAsia="宋体" w:cs="宋体"/>
                      <w:lang w:val="en-US" w:eastAsia="zh-CN"/>
                    </w:rPr>
                    <w:t>嗅和味</w:t>
                  </w:r>
                </w:p>
              </w:tc>
              <w:tc>
                <w:tcPr>
                  <w:tcW w:w="1320" w:type="dxa"/>
                  <w:noWrap w:val="0"/>
                  <w:vAlign w:val="center"/>
                </w:tcPr>
                <w:p w14:paraId="3D634B96">
                  <w:pPr>
                    <w:widowControl w:val="0"/>
                    <w:ind w:left="0" w:leftChars="0" w:right="0" w:righ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22</w:t>
                  </w:r>
                </w:p>
              </w:tc>
              <w:tc>
                <w:tcPr>
                  <w:tcW w:w="2969" w:type="dxa"/>
                  <w:noWrap w:val="0"/>
                  <w:vAlign w:val="center"/>
                </w:tcPr>
                <w:p w14:paraId="3A86B240">
                  <w:pPr>
                    <w:widowControl w:val="0"/>
                    <w:ind w:left="0" w:leftChars="0" w:right="0" w:rightChars="0" w:firstLine="0" w:firstLineChars="0"/>
                    <w:jc w:val="both"/>
                    <w:rPr>
                      <w:rFonts w:hint="eastAsia" w:ascii="宋体" w:hAnsi="宋体" w:eastAsia="宋体" w:cs="宋体"/>
                      <w:lang w:val="en-US" w:eastAsia="zh-CN"/>
                    </w:rPr>
                  </w:pPr>
                  <w:r>
                    <w:rPr>
                      <w:rFonts w:hint="eastAsia" w:ascii="宋体" w:hAnsi="宋体" w:eastAsia="宋体" w:cs="宋体"/>
                      <w:lang w:val="en-US" w:eastAsia="zh-CN"/>
                    </w:rPr>
                    <w:t>菌落总数</w:t>
                  </w:r>
                </w:p>
              </w:tc>
            </w:tr>
            <w:tr w14:paraId="7685D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248" w:type="dxa"/>
                  <w:noWrap w:val="0"/>
                  <w:vAlign w:val="center"/>
                </w:tcPr>
                <w:p w14:paraId="2567B7AD">
                  <w:pPr>
                    <w:widowControl w:val="0"/>
                    <w:ind w:left="0" w:leftChars="0" w:right="0" w:righ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3040" w:type="dxa"/>
                  <w:noWrap w:val="0"/>
                  <w:vAlign w:val="center"/>
                </w:tcPr>
                <w:p w14:paraId="2E06EA4C">
                  <w:pPr>
                    <w:widowControl w:val="0"/>
                    <w:ind w:left="0" w:leftChars="0" w:right="0" w:rightChars="0" w:firstLine="0" w:firstLineChars="0"/>
                    <w:jc w:val="both"/>
                    <w:rPr>
                      <w:rFonts w:hint="eastAsia" w:ascii="宋体" w:hAnsi="宋体" w:eastAsia="宋体" w:cs="宋体"/>
                      <w:lang w:val="en-US" w:eastAsia="zh-CN"/>
                    </w:rPr>
                  </w:pPr>
                  <w:r>
                    <w:rPr>
                      <w:rFonts w:hint="eastAsia" w:ascii="宋体" w:hAnsi="宋体" w:eastAsia="宋体" w:cs="宋体"/>
                      <w:lang w:val="en-US" w:eastAsia="zh-CN"/>
                    </w:rPr>
                    <w:t>浑浊度</w:t>
                  </w:r>
                </w:p>
              </w:tc>
              <w:tc>
                <w:tcPr>
                  <w:tcW w:w="1320" w:type="dxa"/>
                  <w:noWrap w:val="0"/>
                  <w:vAlign w:val="center"/>
                </w:tcPr>
                <w:p w14:paraId="669206A3">
                  <w:pPr>
                    <w:widowControl w:val="0"/>
                    <w:ind w:left="0" w:leftChars="0" w:right="0" w:righ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23</w:t>
                  </w:r>
                </w:p>
              </w:tc>
              <w:tc>
                <w:tcPr>
                  <w:tcW w:w="2969" w:type="dxa"/>
                  <w:noWrap w:val="0"/>
                  <w:vAlign w:val="center"/>
                </w:tcPr>
                <w:p w14:paraId="037DCBBB">
                  <w:pPr>
                    <w:widowControl w:val="0"/>
                    <w:ind w:left="0" w:leftChars="0" w:right="0" w:rightChars="0" w:firstLine="0" w:firstLineChars="0"/>
                    <w:jc w:val="both"/>
                    <w:rPr>
                      <w:rFonts w:hint="eastAsia" w:ascii="宋体" w:hAnsi="宋体" w:eastAsia="宋体" w:cs="宋体"/>
                      <w:lang w:val="en-US" w:eastAsia="zh-CN"/>
                    </w:rPr>
                  </w:pPr>
                  <w:r>
                    <w:rPr>
                      <w:rFonts w:hint="eastAsia" w:ascii="宋体" w:hAnsi="宋体" w:eastAsia="宋体" w:cs="宋体"/>
                      <w:lang w:val="en-US" w:eastAsia="zh-CN"/>
                    </w:rPr>
                    <w:t>亚硝酸盐氮</w:t>
                  </w:r>
                </w:p>
              </w:tc>
            </w:tr>
            <w:tr w14:paraId="62E7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248" w:type="dxa"/>
                  <w:noWrap w:val="0"/>
                  <w:vAlign w:val="center"/>
                </w:tcPr>
                <w:p w14:paraId="39BE1D58">
                  <w:pPr>
                    <w:widowControl w:val="0"/>
                    <w:ind w:left="0" w:leftChars="0" w:right="0" w:righ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4</w:t>
                  </w:r>
                </w:p>
              </w:tc>
              <w:tc>
                <w:tcPr>
                  <w:tcW w:w="3040" w:type="dxa"/>
                  <w:noWrap w:val="0"/>
                  <w:vAlign w:val="center"/>
                </w:tcPr>
                <w:p w14:paraId="7F0243D9">
                  <w:pPr>
                    <w:widowControl w:val="0"/>
                    <w:ind w:left="0" w:leftChars="0" w:right="0" w:rightChars="0" w:firstLine="0" w:firstLineChars="0"/>
                    <w:jc w:val="both"/>
                    <w:rPr>
                      <w:rFonts w:hint="eastAsia" w:ascii="宋体" w:hAnsi="宋体" w:eastAsia="宋体" w:cs="宋体"/>
                      <w:lang w:val="en-US" w:eastAsia="zh-CN"/>
                    </w:rPr>
                  </w:pPr>
                  <w:r>
                    <w:rPr>
                      <w:rFonts w:hint="eastAsia" w:ascii="宋体" w:hAnsi="宋体" w:eastAsia="宋体" w:cs="宋体"/>
                      <w:lang w:val="en-US" w:eastAsia="zh-CN"/>
                    </w:rPr>
                    <w:t>肉眼可见物</w:t>
                  </w:r>
                </w:p>
              </w:tc>
              <w:tc>
                <w:tcPr>
                  <w:tcW w:w="1320" w:type="dxa"/>
                  <w:noWrap w:val="0"/>
                  <w:vAlign w:val="center"/>
                </w:tcPr>
                <w:p w14:paraId="2ED0112D">
                  <w:pPr>
                    <w:widowControl w:val="0"/>
                    <w:ind w:left="0" w:leftChars="0" w:right="0" w:righ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24</w:t>
                  </w:r>
                </w:p>
              </w:tc>
              <w:tc>
                <w:tcPr>
                  <w:tcW w:w="2969" w:type="dxa"/>
                  <w:noWrap w:val="0"/>
                  <w:vAlign w:val="center"/>
                </w:tcPr>
                <w:p w14:paraId="52E3A3E9">
                  <w:pPr>
                    <w:widowControl w:val="0"/>
                    <w:ind w:left="0" w:leftChars="0" w:right="0" w:rightChars="0" w:firstLine="0" w:firstLineChars="0"/>
                    <w:jc w:val="both"/>
                    <w:rPr>
                      <w:rFonts w:hint="eastAsia" w:ascii="宋体" w:hAnsi="宋体" w:eastAsia="宋体" w:cs="宋体"/>
                      <w:lang w:val="en-US" w:eastAsia="zh-CN"/>
                    </w:rPr>
                  </w:pPr>
                  <w:r>
                    <w:rPr>
                      <w:rFonts w:hint="eastAsia" w:ascii="宋体" w:hAnsi="宋体" w:eastAsia="宋体" w:cs="宋体"/>
                      <w:lang w:val="en-US" w:eastAsia="zh-CN"/>
                    </w:rPr>
                    <w:t>硝酸盐氮</w:t>
                  </w:r>
                </w:p>
              </w:tc>
            </w:tr>
            <w:tr w14:paraId="12046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248" w:type="dxa"/>
                  <w:noWrap w:val="0"/>
                  <w:vAlign w:val="center"/>
                </w:tcPr>
                <w:p w14:paraId="7C676638">
                  <w:pPr>
                    <w:widowControl w:val="0"/>
                    <w:ind w:left="0" w:leftChars="0" w:right="0" w:righ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3040" w:type="dxa"/>
                  <w:noWrap w:val="0"/>
                  <w:vAlign w:val="center"/>
                </w:tcPr>
                <w:p w14:paraId="5AED5D6A">
                  <w:pPr>
                    <w:widowControl w:val="0"/>
                    <w:ind w:left="0" w:leftChars="0" w:right="0" w:rightChars="0" w:firstLine="0" w:firstLineChars="0"/>
                    <w:jc w:val="both"/>
                    <w:rPr>
                      <w:rFonts w:hint="eastAsia" w:ascii="宋体" w:hAnsi="宋体" w:eastAsia="宋体" w:cs="宋体"/>
                      <w:lang w:val="en-US" w:eastAsia="zh-CN"/>
                    </w:rPr>
                  </w:pPr>
                  <w:r>
                    <w:rPr>
                      <w:rFonts w:hint="eastAsia" w:ascii="宋体" w:hAnsi="宋体" w:eastAsia="宋体" w:cs="宋体"/>
                      <w:lang w:val="en-US" w:eastAsia="zh-CN"/>
                    </w:rPr>
                    <w:t>pH</w:t>
                  </w:r>
                </w:p>
              </w:tc>
              <w:tc>
                <w:tcPr>
                  <w:tcW w:w="1320" w:type="dxa"/>
                  <w:noWrap w:val="0"/>
                  <w:vAlign w:val="center"/>
                </w:tcPr>
                <w:p w14:paraId="275BA36E">
                  <w:pPr>
                    <w:widowControl w:val="0"/>
                    <w:ind w:left="0" w:leftChars="0" w:right="0" w:righ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25</w:t>
                  </w:r>
                </w:p>
              </w:tc>
              <w:tc>
                <w:tcPr>
                  <w:tcW w:w="2969" w:type="dxa"/>
                  <w:noWrap w:val="0"/>
                  <w:vAlign w:val="center"/>
                </w:tcPr>
                <w:p w14:paraId="78961F56">
                  <w:pPr>
                    <w:widowControl w:val="0"/>
                    <w:ind w:left="0" w:leftChars="0" w:right="0" w:rightChars="0" w:firstLine="0" w:firstLineChars="0"/>
                    <w:jc w:val="both"/>
                    <w:rPr>
                      <w:rFonts w:hint="eastAsia" w:ascii="宋体" w:hAnsi="宋体" w:eastAsia="宋体" w:cs="宋体"/>
                      <w:lang w:val="en-US" w:eastAsia="zh-CN"/>
                    </w:rPr>
                  </w:pPr>
                  <w:r>
                    <w:rPr>
                      <w:rFonts w:hint="eastAsia" w:ascii="宋体" w:hAnsi="宋体" w:eastAsia="宋体" w:cs="宋体"/>
                      <w:lang w:val="en-US" w:eastAsia="zh-CN"/>
                    </w:rPr>
                    <w:t>氰化物</w:t>
                  </w:r>
                </w:p>
              </w:tc>
            </w:tr>
            <w:tr w14:paraId="04BCB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248" w:type="dxa"/>
                  <w:noWrap w:val="0"/>
                  <w:vAlign w:val="center"/>
                </w:tcPr>
                <w:p w14:paraId="741808D3">
                  <w:pPr>
                    <w:widowControl w:val="0"/>
                    <w:ind w:left="0" w:leftChars="0" w:right="0" w:righ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6</w:t>
                  </w:r>
                </w:p>
              </w:tc>
              <w:tc>
                <w:tcPr>
                  <w:tcW w:w="3040" w:type="dxa"/>
                  <w:noWrap w:val="0"/>
                  <w:vAlign w:val="center"/>
                </w:tcPr>
                <w:p w14:paraId="0256FD71">
                  <w:pPr>
                    <w:widowControl w:val="0"/>
                    <w:ind w:left="0" w:leftChars="0" w:right="0" w:rightChars="0" w:firstLine="0" w:firstLineChars="0"/>
                    <w:jc w:val="both"/>
                    <w:rPr>
                      <w:rFonts w:hint="eastAsia" w:ascii="宋体" w:hAnsi="宋体" w:eastAsia="宋体" w:cs="宋体"/>
                      <w:lang w:val="en-US" w:eastAsia="zh-CN"/>
                    </w:rPr>
                  </w:pPr>
                  <w:r>
                    <w:rPr>
                      <w:rFonts w:hint="eastAsia" w:ascii="宋体" w:hAnsi="宋体" w:eastAsia="宋体" w:cs="宋体"/>
                      <w:lang w:val="en-US" w:eastAsia="zh-CN"/>
                    </w:rPr>
                    <w:t>总硬度</w:t>
                  </w:r>
                </w:p>
              </w:tc>
              <w:tc>
                <w:tcPr>
                  <w:tcW w:w="1320" w:type="dxa"/>
                  <w:noWrap w:val="0"/>
                  <w:vAlign w:val="center"/>
                </w:tcPr>
                <w:p w14:paraId="40DCE229">
                  <w:pPr>
                    <w:widowControl w:val="0"/>
                    <w:ind w:left="0" w:leftChars="0" w:right="0" w:righ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26</w:t>
                  </w:r>
                </w:p>
              </w:tc>
              <w:tc>
                <w:tcPr>
                  <w:tcW w:w="2969" w:type="dxa"/>
                  <w:noWrap w:val="0"/>
                  <w:vAlign w:val="center"/>
                </w:tcPr>
                <w:p w14:paraId="63365E8F">
                  <w:pPr>
                    <w:widowControl w:val="0"/>
                    <w:ind w:left="0" w:leftChars="0" w:right="0" w:rightChars="0" w:firstLine="0" w:firstLineChars="0"/>
                    <w:jc w:val="both"/>
                    <w:rPr>
                      <w:rFonts w:hint="eastAsia" w:ascii="宋体" w:hAnsi="宋体" w:eastAsia="宋体" w:cs="宋体"/>
                      <w:lang w:val="en-US" w:eastAsia="zh-CN"/>
                    </w:rPr>
                  </w:pPr>
                  <w:r>
                    <w:rPr>
                      <w:rFonts w:hint="eastAsia" w:ascii="宋体" w:hAnsi="宋体" w:eastAsia="宋体" w:cs="宋体"/>
                      <w:lang w:val="en-US" w:eastAsia="zh-CN"/>
                    </w:rPr>
                    <w:t>氟化物</w:t>
                  </w:r>
                </w:p>
              </w:tc>
            </w:tr>
            <w:tr w14:paraId="2D415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248" w:type="dxa"/>
                  <w:noWrap w:val="0"/>
                  <w:vAlign w:val="center"/>
                </w:tcPr>
                <w:p w14:paraId="3818E4D4">
                  <w:pPr>
                    <w:widowControl w:val="0"/>
                    <w:ind w:left="0" w:leftChars="0" w:right="0" w:righ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7</w:t>
                  </w:r>
                </w:p>
              </w:tc>
              <w:tc>
                <w:tcPr>
                  <w:tcW w:w="3040" w:type="dxa"/>
                  <w:noWrap w:val="0"/>
                  <w:vAlign w:val="center"/>
                </w:tcPr>
                <w:p w14:paraId="3527882A">
                  <w:pPr>
                    <w:widowControl w:val="0"/>
                    <w:ind w:left="0" w:leftChars="0" w:right="0" w:rightChars="0" w:firstLine="0" w:firstLineChars="0"/>
                    <w:jc w:val="both"/>
                    <w:rPr>
                      <w:rFonts w:hint="eastAsia" w:ascii="宋体" w:hAnsi="宋体" w:eastAsia="宋体" w:cs="宋体"/>
                      <w:lang w:val="en-US" w:eastAsia="zh-CN"/>
                    </w:rPr>
                  </w:pPr>
                  <w:r>
                    <w:rPr>
                      <w:rFonts w:hint="eastAsia" w:ascii="宋体" w:hAnsi="宋体" w:eastAsia="宋体" w:cs="宋体"/>
                      <w:lang w:val="en-US" w:eastAsia="zh-CN"/>
                    </w:rPr>
                    <w:t>溶解性总固体</w:t>
                  </w:r>
                </w:p>
              </w:tc>
              <w:tc>
                <w:tcPr>
                  <w:tcW w:w="1320" w:type="dxa"/>
                  <w:noWrap w:val="0"/>
                  <w:vAlign w:val="center"/>
                </w:tcPr>
                <w:p w14:paraId="493F638B">
                  <w:pPr>
                    <w:widowControl w:val="0"/>
                    <w:ind w:left="0" w:leftChars="0" w:right="0" w:righ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27</w:t>
                  </w:r>
                </w:p>
              </w:tc>
              <w:tc>
                <w:tcPr>
                  <w:tcW w:w="2969" w:type="dxa"/>
                  <w:noWrap w:val="0"/>
                  <w:vAlign w:val="center"/>
                </w:tcPr>
                <w:p w14:paraId="43E528ED">
                  <w:pPr>
                    <w:widowControl w:val="0"/>
                    <w:ind w:left="0" w:leftChars="0" w:right="0" w:rightChars="0" w:firstLine="0" w:firstLineChars="0"/>
                    <w:jc w:val="both"/>
                    <w:rPr>
                      <w:rFonts w:hint="eastAsia" w:ascii="宋体" w:hAnsi="宋体" w:eastAsia="宋体" w:cs="宋体"/>
                      <w:lang w:val="en-US" w:eastAsia="zh-CN"/>
                    </w:rPr>
                  </w:pPr>
                  <w:r>
                    <w:rPr>
                      <w:rFonts w:hint="eastAsia" w:ascii="宋体" w:hAnsi="宋体" w:eastAsia="宋体" w:cs="宋体"/>
                      <w:lang w:val="en-US" w:eastAsia="zh-CN"/>
                    </w:rPr>
                    <w:t>碘化物</w:t>
                  </w:r>
                </w:p>
              </w:tc>
            </w:tr>
            <w:tr w14:paraId="31806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248" w:type="dxa"/>
                  <w:noWrap w:val="0"/>
                  <w:vAlign w:val="center"/>
                </w:tcPr>
                <w:p w14:paraId="2BE9B4A9">
                  <w:pPr>
                    <w:widowControl w:val="0"/>
                    <w:ind w:left="0" w:leftChars="0" w:right="0" w:righ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8</w:t>
                  </w:r>
                </w:p>
              </w:tc>
              <w:tc>
                <w:tcPr>
                  <w:tcW w:w="3040" w:type="dxa"/>
                  <w:noWrap w:val="0"/>
                  <w:vAlign w:val="center"/>
                </w:tcPr>
                <w:p w14:paraId="043189CF">
                  <w:pPr>
                    <w:widowControl w:val="0"/>
                    <w:ind w:left="0" w:leftChars="0" w:right="0" w:rightChars="0" w:firstLine="0" w:firstLineChars="0"/>
                    <w:jc w:val="both"/>
                    <w:rPr>
                      <w:rFonts w:hint="eastAsia" w:ascii="宋体" w:hAnsi="宋体" w:eastAsia="宋体" w:cs="宋体"/>
                      <w:lang w:val="en-US" w:eastAsia="zh-CN"/>
                    </w:rPr>
                  </w:pPr>
                  <w:r>
                    <w:rPr>
                      <w:rFonts w:hint="eastAsia" w:ascii="宋体" w:hAnsi="宋体" w:eastAsia="宋体" w:cs="宋体"/>
                      <w:lang w:val="en-US" w:eastAsia="zh-CN"/>
                    </w:rPr>
                    <w:t>硫酸盐</w:t>
                  </w:r>
                </w:p>
              </w:tc>
              <w:tc>
                <w:tcPr>
                  <w:tcW w:w="1320" w:type="dxa"/>
                  <w:noWrap w:val="0"/>
                  <w:vAlign w:val="center"/>
                </w:tcPr>
                <w:p w14:paraId="33776E23">
                  <w:pPr>
                    <w:widowControl w:val="0"/>
                    <w:ind w:left="0" w:leftChars="0" w:right="0" w:righ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28</w:t>
                  </w:r>
                </w:p>
              </w:tc>
              <w:tc>
                <w:tcPr>
                  <w:tcW w:w="2969" w:type="dxa"/>
                  <w:noWrap w:val="0"/>
                  <w:vAlign w:val="center"/>
                </w:tcPr>
                <w:p w14:paraId="7FD3CF8C">
                  <w:pPr>
                    <w:widowControl w:val="0"/>
                    <w:ind w:left="0" w:leftChars="0" w:right="0" w:rightChars="0" w:firstLine="0" w:firstLineChars="0"/>
                    <w:jc w:val="both"/>
                    <w:rPr>
                      <w:rFonts w:hint="eastAsia" w:ascii="宋体" w:hAnsi="宋体" w:eastAsia="宋体" w:cs="宋体"/>
                      <w:lang w:val="en-US" w:eastAsia="zh-CN"/>
                    </w:rPr>
                  </w:pPr>
                  <w:r>
                    <w:rPr>
                      <w:rFonts w:hint="eastAsia" w:ascii="宋体" w:hAnsi="宋体" w:eastAsia="宋体" w:cs="宋体"/>
                      <w:lang w:val="en-US" w:eastAsia="zh-CN"/>
                    </w:rPr>
                    <w:t>汞</w:t>
                  </w:r>
                </w:p>
              </w:tc>
            </w:tr>
            <w:tr w14:paraId="228C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248" w:type="dxa"/>
                  <w:noWrap w:val="0"/>
                  <w:vAlign w:val="center"/>
                </w:tcPr>
                <w:p w14:paraId="62E06C0A">
                  <w:pPr>
                    <w:widowControl w:val="0"/>
                    <w:ind w:left="0" w:leftChars="0" w:right="0" w:righ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9</w:t>
                  </w:r>
                </w:p>
              </w:tc>
              <w:tc>
                <w:tcPr>
                  <w:tcW w:w="3040" w:type="dxa"/>
                  <w:noWrap w:val="0"/>
                  <w:vAlign w:val="center"/>
                </w:tcPr>
                <w:p w14:paraId="09A8955E">
                  <w:pPr>
                    <w:widowControl w:val="0"/>
                    <w:ind w:left="0" w:leftChars="0" w:right="0" w:rightChars="0" w:firstLine="0" w:firstLineChars="0"/>
                    <w:jc w:val="both"/>
                    <w:rPr>
                      <w:rFonts w:hint="eastAsia" w:ascii="宋体" w:hAnsi="宋体" w:eastAsia="宋体" w:cs="宋体"/>
                      <w:lang w:val="en-US" w:eastAsia="zh-CN"/>
                    </w:rPr>
                  </w:pPr>
                  <w:r>
                    <w:rPr>
                      <w:rFonts w:hint="eastAsia" w:ascii="宋体" w:hAnsi="宋体" w:eastAsia="宋体" w:cs="宋体"/>
                      <w:lang w:val="en-US" w:eastAsia="zh-CN"/>
                    </w:rPr>
                    <w:t>氯化物</w:t>
                  </w:r>
                </w:p>
              </w:tc>
              <w:tc>
                <w:tcPr>
                  <w:tcW w:w="1320" w:type="dxa"/>
                  <w:noWrap w:val="0"/>
                  <w:vAlign w:val="center"/>
                </w:tcPr>
                <w:p w14:paraId="51478ECF">
                  <w:pPr>
                    <w:widowControl w:val="0"/>
                    <w:ind w:left="0" w:leftChars="0" w:right="0" w:righ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29</w:t>
                  </w:r>
                </w:p>
              </w:tc>
              <w:tc>
                <w:tcPr>
                  <w:tcW w:w="2969" w:type="dxa"/>
                  <w:noWrap w:val="0"/>
                  <w:vAlign w:val="center"/>
                </w:tcPr>
                <w:p w14:paraId="3DDAEEB4">
                  <w:pPr>
                    <w:widowControl w:val="0"/>
                    <w:ind w:left="0" w:leftChars="0" w:right="0" w:rightChars="0" w:firstLine="0" w:firstLineChars="0"/>
                    <w:jc w:val="both"/>
                    <w:rPr>
                      <w:rFonts w:hint="eastAsia" w:ascii="宋体" w:hAnsi="宋体" w:eastAsia="宋体" w:cs="宋体"/>
                      <w:lang w:val="en-US" w:eastAsia="zh-CN"/>
                    </w:rPr>
                  </w:pPr>
                  <w:r>
                    <w:rPr>
                      <w:rFonts w:hint="eastAsia" w:ascii="宋体" w:hAnsi="宋体" w:eastAsia="宋体" w:cs="宋体"/>
                      <w:lang w:val="en-US" w:eastAsia="zh-CN"/>
                    </w:rPr>
                    <w:t>砷</w:t>
                  </w:r>
                </w:p>
              </w:tc>
            </w:tr>
            <w:tr w14:paraId="3A410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248" w:type="dxa"/>
                  <w:noWrap w:val="0"/>
                  <w:vAlign w:val="center"/>
                </w:tcPr>
                <w:p w14:paraId="173CC23B">
                  <w:pPr>
                    <w:widowControl w:val="0"/>
                    <w:ind w:left="0" w:leftChars="0" w:right="0" w:righ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10</w:t>
                  </w:r>
                </w:p>
              </w:tc>
              <w:tc>
                <w:tcPr>
                  <w:tcW w:w="3040" w:type="dxa"/>
                  <w:noWrap w:val="0"/>
                  <w:vAlign w:val="center"/>
                </w:tcPr>
                <w:p w14:paraId="23CF417B">
                  <w:pPr>
                    <w:widowControl w:val="0"/>
                    <w:ind w:left="0" w:leftChars="0" w:right="0" w:rightChars="0" w:firstLine="0" w:firstLineChars="0"/>
                    <w:jc w:val="both"/>
                    <w:rPr>
                      <w:rFonts w:hint="eastAsia" w:ascii="宋体" w:hAnsi="宋体" w:eastAsia="宋体" w:cs="宋体"/>
                      <w:lang w:val="en-US" w:eastAsia="zh-CN"/>
                    </w:rPr>
                  </w:pPr>
                  <w:r>
                    <w:rPr>
                      <w:rFonts w:hint="eastAsia" w:ascii="宋体" w:hAnsi="宋体" w:eastAsia="宋体" w:cs="宋体"/>
                      <w:lang w:val="en-US" w:eastAsia="zh-CN"/>
                    </w:rPr>
                    <w:t>铁</w:t>
                  </w:r>
                </w:p>
              </w:tc>
              <w:tc>
                <w:tcPr>
                  <w:tcW w:w="1320" w:type="dxa"/>
                  <w:noWrap w:val="0"/>
                  <w:vAlign w:val="center"/>
                </w:tcPr>
                <w:p w14:paraId="2B788DF4">
                  <w:pPr>
                    <w:widowControl w:val="0"/>
                    <w:ind w:left="0" w:leftChars="0" w:right="0" w:righ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30</w:t>
                  </w:r>
                </w:p>
              </w:tc>
              <w:tc>
                <w:tcPr>
                  <w:tcW w:w="2969" w:type="dxa"/>
                  <w:noWrap w:val="0"/>
                  <w:vAlign w:val="center"/>
                </w:tcPr>
                <w:p w14:paraId="20B84192">
                  <w:pPr>
                    <w:widowControl w:val="0"/>
                    <w:ind w:left="0" w:leftChars="0" w:right="0" w:rightChars="0" w:firstLine="0" w:firstLineChars="0"/>
                    <w:jc w:val="both"/>
                    <w:rPr>
                      <w:rFonts w:hint="eastAsia" w:ascii="宋体" w:hAnsi="宋体" w:eastAsia="宋体" w:cs="宋体"/>
                      <w:lang w:val="en-US" w:eastAsia="zh-CN"/>
                    </w:rPr>
                  </w:pPr>
                  <w:r>
                    <w:rPr>
                      <w:rFonts w:hint="eastAsia" w:ascii="宋体" w:hAnsi="宋体" w:eastAsia="宋体" w:cs="宋体"/>
                      <w:lang w:val="en-US" w:eastAsia="zh-CN"/>
                    </w:rPr>
                    <w:t>硒</w:t>
                  </w:r>
                </w:p>
              </w:tc>
            </w:tr>
            <w:tr w14:paraId="7B2D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248" w:type="dxa"/>
                  <w:noWrap w:val="0"/>
                  <w:vAlign w:val="center"/>
                </w:tcPr>
                <w:p w14:paraId="60C41D5E">
                  <w:pPr>
                    <w:widowControl w:val="0"/>
                    <w:ind w:left="0" w:leftChars="0" w:right="0" w:righ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11</w:t>
                  </w:r>
                </w:p>
              </w:tc>
              <w:tc>
                <w:tcPr>
                  <w:tcW w:w="3040" w:type="dxa"/>
                  <w:noWrap w:val="0"/>
                  <w:vAlign w:val="center"/>
                </w:tcPr>
                <w:p w14:paraId="0DE86CEB">
                  <w:pPr>
                    <w:widowControl w:val="0"/>
                    <w:ind w:left="0" w:leftChars="0" w:right="0" w:rightChars="0" w:firstLine="0" w:firstLineChars="0"/>
                    <w:jc w:val="both"/>
                    <w:rPr>
                      <w:rFonts w:hint="eastAsia" w:ascii="宋体" w:hAnsi="宋体" w:eastAsia="宋体" w:cs="宋体"/>
                      <w:lang w:val="en-US" w:eastAsia="zh-CN"/>
                    </w:rPr>
                  </w:pPr>
                  <w:r>
                    <w:rPr>
                      <w:rFonts w:hint="eastAsia" w:ascii="宋体" w:hAnsi="宋体" w:eastAsia="宋体" w:cs="宋体"/>
                      <w:lang w:val="en-US" w:eastAsia="zh-CN"/>
                    </w:rPr>
                    <w:t>锰</w:t>
                  </w:r>
                </w:p>
              </w:tc>
              <w:tc>
                <w:tcPr>
                  <w:tcW w:w="1320" w:type="dxa"/>
                  <w:noWrap w:val="0"/>
                  <w:vAlign w:val="center"/>
                </w:tcPr>
                <w:p w14:paraId="4823150A">
                  <w:pPr>
                    <w:widowControl w:val="0"/>
                    <w:ind w:left="0" w:leftChars="0" w:right="0" w:righ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31</w:t>
                  </w:r>
                </w:p>
              </w:tc>
              <w:tc>
                <w:tcPr>
                  <w:tcW w:w="2969" w:type="dxa"/>
                  <w:noWrap w:val="0"/>
                  <w:vAlign w:val="center"/>
                </w:tcPr>
                <w:p w14:paraId="2777D391">
                  <w:pPr>
                    <w:widowControl w:val="0"/>
                    <w:ind w:left="0" w:leftChars="0" w:right="0" w:rightChars="0" w:firstLine="0" w:firstLineChars="0"/>
                    <w:jc w:val="both"/>
                    <w:rPr>
                      <w:rFonts w:hint="eastAsia" w:ascii="宋体" w:hAnsi="宋体" w:eastAsia="宋体" w:cs="宋体"/>
                      <w:lang w:val="en-US" w:eastAsia="zh-CN"/>
                    </w:rPr>
                  </w:pPr>
                  <w:r>
                    <w:rPr>
                      <w:rFonts w:hint="eastAsia" w:ascii="宋体" w:hAnsi="宋体" w:eastAsia="宋体" w:cs="宋体"/>
                      <w:lang w:val="en-US" w:eastAsia="zh-CN"/>
                    </w:rPr>
                    <w:t>镉</w:t>
                  </w:r>
                </w:p>
              </w:tc>
            </w:tr>
            <w:tr w14:paraId="6F689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248" w:type="dxa"/>
                  <w:noWrap w:val="0"/>
                  <w:vAlign w:val="center"/>
                </w:tcPr>
                <w:p w14:paraId="77986B09">
                  <w:pPr>
                    <w:widowControl w:val="0"/>
                    <w:ind w:left="0" w:leftChars="0" w:right="0" w:righ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12</w:t>
                  </w:r>
                </w:p>
              </w:tc>
              <w:tc>
                <w:tcPr>
                  <w:tcW w:w="3040" w:type="dxa"/>
                  <w:noWrap w:val="0"/>
                  <w:vAlign w:val="center"/>
                </w:tcPr>
                <w:p w14:paraId="10D9C1C5">
                  <w:pPr>
                    <w:widowControl w:val="0"/>
                    <w:ind w:left="0" w:leftChars="0" w:right="0" w:rightChars="0" w:firstLine="0" w:firstLineChars="0"/>
                    <w:jc w:val="both"/>
                    <w:rPr>
                      <w:rFonts w:hint="eastAsia" w:ascii="宋体" w:hAnsi="宋体" w:eastAsia="宋体" w:cs="宋体"/>
                      <w:lang w:val="en-US" w:eastAsia="zh-CN"/>
                    </w:rPr>
                  </w:pPr>
                  <w:r>
                    <w:rPr>
                      <w:rFonts w:hint="eastAsia" w:ascii="宋体" w:hAnsi="宋体" w:eastAsia="宋体" w:cs="宋体"/>
                      <w:lang w:val="en-US" w:eastAsia="zh-CN"/>
                    </w:rPr>
                    <w:t>铜</w:t>
                  </w:r>
                </w:p>
              </w:tc>
              <w:tc>
                <w:tcPr>
                  <w:tcW w:w="1320" w:type="dxa"/>
                  <w:noWrap w:val="0"/>
                  <w:vAlign w:val="center"/>
                </w:tcPr>
                <w:p w14:paraId="19688857">
                  <w:pPr>
                    <w:widowControl w:val="0"/>
                    <w:ind w:left="0" w:leftChars="0" w:right="0" w:righ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32</w:t>
                  </w:r>
                </w:p>
              </w:tc>
              <w:tc>
                <w:tcPr>
                  <w:tcW w:w="2969" w:type="dxa"/>
                  <w:noWrap w:val="0"/>
                  <w:vAlign w:val="center"/>
                </w:tcPr>
                <w:p w14:paraId="372CD207">
                  <w:pPr>
                    <w:widowControl w:val="0"/>
                    <w:ind w:left="0" w:leftChars="0" w:right="0" w:rightChars="0" w:firstLine="0" w:firstLineChars="0"/>
                    <w:jc w:val="both"/>
                    <w:rPr>
                      <w:rFonts w:hint="eastAsia" w:ascii="宋体" w:hAnsi="宋体" w:eastAsia="宋体" w:cs="宋体"/>
                      <w:lang w:val="en-US" w:eastAsia="zh-CN"/>
                    </w:rPr>
                  </w:pPr>
                  <w:r>
                    <w:rPr>
                      <w:rFonts w:hint="eastAsia" w:ascii="宋体" w:hAnsi="宋体" w:eastAsia="宋体" w:cs="宋体"/>
                      <w:lang w:val="en-US" w:eastAsia="zh-CN"/>
                    </w:rPr>
                    <w:t>六价铬</w:t>
                  </w:r>
                </w:p>
              </w:tc>
            </w:tr>
            <w:tr w14:paraId="0A51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248" w:type="dxa"/>
                  <w:noWrap w:val="0"/>
                  <w:vAlign w:val="center"/>
                </w:tcPr>
                <w:p w14:paraId="5B6E76E9">
                  <w:pPr>
                    <w:widowControl w:val="0"/>
                    <w:ind w:left="0" w:leftChars="0" w:right="0" w:righ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13</w:t>
                  </w:r>
                </w:p>
              </w:tc>
              <w:tc>
                <w:tcPr>
                  <w:tcW w:w="3040" w:type="dxa"/>
                  <w:noWrap w:val="0"/>
                  <w:vAlign w:val="center"/>
                </w:tcPr>
                <w:p w14:paraId="362C9D9A">
                  <w:pPr>
                    <w:widowControl w:val="0"/>
                    <w:ind w:left="0" w:leftChars="0" w:right="0" w:rightChars="0" w:firstLine="0" w:firstLineChars="0"/>
                    <w:jc w:val="both"/>
                    <w:rPr>
                      <w:rFonts w:hint="eastAsia" w:ascii="宋体" w:hAnsi="宋体" w:eastAsia="宋体" w:cs="宋体"/>
                      <w:lang w:val="en-US" w:eastAsia="zh-CN"/>
                    </w:rPr>
                  </w:pPr>
                  <w:r>
                    <w:rPr>
                      <w:rFonts w:hint="eastAsia" w:ascii="宋体" w:hAnsi="宋体" w:eastAsia="宋体" w:cs="宋体"/>
                      <w:lang w:val="en-US" w:eastAsia="zh-CN"/>
                    </w:rPr>
                    <w:t>锌</w:t>
                  </w:r>
                </w:p>
              </w:tc>
              <w:tc>
                <w:tcPr>
                  <w:tcW w:w="1320" w:type="dxa"/>
                  <w:noWrap w:val="0"/>
                  <w:vAlign w:val="center"/>
                </w:tcPr>
                <w:p w14:paraId="5713C6B7">
                  <w:pPr>
                    <w:widowControl w:val="0"/>
                    <w:ind w:left="0" w:leftChars="0" w:right="0" w:righ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33</w:t>
                  </w:r>
                </w:p>
              </w:tc>
              <w:tc>
                <w:tcPr>
                  <w:tcW w:w="2969" w:type="dxa"/>
                  <w:noWrap w:val="0"/>
                  <w:vAlign w:val="center"/>
                </w:tcPr>
                <w:p w14:paraId="4FE0783E">
                  <w:pPr>
                    <w:widowControl w:val="0"/>
                    <w:ind w:left="0" w:leftChars="0" w:right="0" w:rightChars="0" w:firstLine="0" w:firstLineChars="0"/>
                    <w:jc w:val="both"/>
                    <w:rPr>
                      <w:rFonts w:hint="eastAsia" w:ascii="宋体" w:hAnsi="宋体" w:eastAsia="宋体" w:cs="宋体"/>
                      <w:lang w:val="en-US" w:eastAsia="zh-CN"/>
                    </w:rPr>
                  </w:pPr>
                  <w:r>
                    <w:rPr>
                      <w:rFonts w:hint="eastAsia" w:ascii="宋体" w:hAnsi="宋体" w:eastAsia="宋体" w:cs="宋体"/>
                      <w:lang w:val="en-US" w:eastAsia="zh-CN"/>
                    </w:rPr>
                    <w:t>铅</w:t>
                  </w:r>
                </w:p>
              </w:tc>
            </w:tr>
            <w:tr w14:paraId="45FE7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248" w:type="dxa"/>
                  <w:noWrap w:val="0"/>
                  <w:vAlign w:val="center"/>
                </w:tcPr>
                <w:p w14:paraId="7968018C">
                  <w:pPr>
                    <w:widowControl w:val="0"/>
                    <w:ind w:left="0" w:leftChars="0" w:right="0" w:righ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14</w:t>
                  </w:r>
                </w:p>
              </w:tc>
              <w:tc>
                <w:tcPr>
                  <w:tcW w:w="3040" w:type="dxa"/>
                  <w:noWrap w:val="0"/>
                  <w:vAlign w:val="center"/>
                </w:tcPr>
                <w:p w14:paraId="0CA59177">
                  <w:pPr>
                    <w:widowControl w:val="0"/>
                    <w:ind w:left="0" w:leftChars="0" w:right="0" w:rightChars="0" w:firstLine="0" w:firstLineChars="0"/>
                    <w:jc w:val="both"/>
                    <w:rPr>
                      <w:rFonts w:hint="eastAsia" w:ascii="宋体" w:hAnsi="宋体" w:eastAsia="宋体" w:cs="宋体"/>
                      <w:lang w:val="en-US" w:eastAsia="zh-CN"/>
                    </w:rPr>
                  </w:pPr>
                  <w:r>
                    <w:rPr>
                      <w:rFonts w:hint="eastAsia" w:ascii="宋体" w:hAnsi="宋体" w:eastAsia="宋体" w:cs="宋体"/>
                      <w:lang w:val="en-US" w:eastAsia="zh-CN"/>
                    </w:rPr>
                    <w:t>铝</w:t>
                  </w:r>
                </w:p>
              </w:tc>
              <w:tc>
                <w:tcPr>
                  <w:tcW w:w="1320" w:type="dxa"/>
                  <w:noWrap w:val="0"/>
                  <w:vAlign w:val="center"/>
                </w:tcPr>
                <w:p w14:paraId="7E72074B">
                  <w:pPr>
                    <w:widowControl w:val="0"/>
                    <w:ind w:left="0" w:leftChars="0" w:right="0" w:righ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34</w:t>
                  </w:r>
                </w:p>
              </w:tc>
              <w:tc>
                <w:tcPr>
                  <w:tcW w:w="2969" w:type="dxa"/>
                  <w:noWrap w:val="0"/>
                  <w:vAlign w:val="center"/>
                </w:tcPr>
                <w:p w14:paraId="66E94BE4">
                  <w:pPr>
                    <w:widowControl w:val="0"/>
                    <w:ind w:left="0" w:leftChars="0" w:right="0" w:rightChars="0" w:firstLine="0" w:firstLineChars="0"/>
                    <w:jc w:val="both"/>
                    <w:rPr>
                      <w:rFonts w:hint="eastAsia" w:ascii="宋体" w:hAnsi="宋体" w:eastAsia="宋体" w:cs="宋体"/>
                      <w:lang w:val="en-US" w:eastAsia="zh-CN"/>
                    </w:rPr>
                  </w:pPr>
                  <w:r>
                    <w:rPr>
                      <w:rFonts w:hint="eastAsia" w:ascii="宋体" w:hAnsi="宋体" w:eastAsia="宋体" w:cs="宋体"/>
                      <w:lang w:val="en-US" w:eastAsia="zh-CN"/>
                    </w:rPr>
                    <w:t>三氯甲烷</w:t>
                  </w:r>
                </w:p>
              </w:tc>
            </w:tr>
            <w:tr w14:paraId="5EDBD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248" w:type="dxa"/>
                  <w:noWrap w:val="0"/>
                  <w:vAlign w:val="center"/>
                </w:tcPr>
                <w:p w14:paraId="12E768CA">
                  <w:pPr>
                    <w:widowControl w:val="0"/>
                    <w:ind w:left="0" w:leftChars="0" w:right="0" w:righ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15</w:t>
                  </w:r>
                </w:p>
              </w:tc>
              <w:tc>
                <w:tcPr>
                  <w:tcW w:w="3040" w:type="dxa"/>
                  <w:noWrap w:val="0"/>
                  <w:vAlign w:val="center"/>
                </w:tcPr>
                <w:p w14:paraId="5140F3DA">
                  <w:pPr>
                    <w:widowControl w:val="0"/>
                    <w:ind w:left="0" w:leftChars="0" w:right="0" w:rightChars="0" w:firstLine="0" w:firstLineChars="0"/>
                    <w:jc w:val="both"/>
                    <w:rPr>
                      <w:rFonts w:hint="eastAsia" w:ascii="宋体" w:hAnsi="宋体" w:eastAsia="宋体" w:cs="宋体"/>
                      <w:lang w:val="en-US" w:eastAsia="zh-CN"/>
                    </w:rPr>
                  </w:pPr>
                  <w:r>
                    <w:rPr>
                      <w:rFonts w:hint="eastAsia" w:ascii="宋体" w:hAnsi="宋体" w:eastAsia="宋体" w:cs="宋体"/>
                      <w:lang w:val="en-US" w:eastAsia="zh-CN"/>
                    </w:rPr>
                    <w:t>挥发性酚类</w:t>
                  </w:r>
                </w:p>
              </w:tc>
              <w:tc>
                <w:tcPr>
                  <w:tcW w:w="1320" w:type="dxa"/>
                  <w:noWrap w:val="0"/>
                  <w:vAlign w:val="center"/>
                </w:tcPr>
                <w:p w14:paraId="1F30315F">
                  <w:pPr>
                    <w:widowControl w:val="0"/>
                    <w:ind w:left="0" w:leftChars="0" w:right="0" w:righ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35</w:t>
                  </w:r>
                </w:p>
              </w:tc>
              <w:tc>
                <w:tcPr>
                  <w:tcW w:w="2969" w:type="dxa"/>
                  <w:noWrap w:val="0"/>
                  <w:vAlign w:val="center"/>
                </w:tcPr>
                <w:p w14:paraId="5799E28B">
                  <w:pPr>
                    <w:widowControl w:val="0"/>
                    <w:ind w:left="0" w:leftChars="0" w:right="0" w:rightChars="0" w:firstLine="0" w:firstLineChars="0"/>
                    <w:jc w:val="both"/>
                    <w:rPr>
                      <w:rFonts w:hint="eastAsia" w:ascii="宋体" w:hAnsi="宋体" w:eastAsia="宋体" w:cs="宋体"/>
                      <w:lang w:val="en-US" w:eastAsia="zh-CN"/>
                    </w:rPr>
                  </w:pPr>
                  <w:r>
                    <w:rPr>
                      <w:rFonts w:hint="eastAsia" w:ascii="宋体" w:hAnsi="宋体" w:eastAsia="宋体" w:cs="宋体"/>
                      <w:lang w:val="en-US" w:eastAsia="zh-CN"/>
                    </w:rPr>
                    <w:t>四氯化碳</w:t>
                  </w:r>
                </w:p>
              </w:tc>
            </w:tr>
            <w:tr w14:paraId="6793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248" w:type="dxa"/>
                  <w:noWrap w:val="0"/>
                  <w:vAlign w:val="center"/>
                </w:tcPr>
                <w:p w14:paraId="058F96A4">
                  <w:pPr>
                    <w:widowControl w:val="0"/>
                    <w:ind w:left="0" w:leftChars="0" w:right="0" w:righ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16</w:t>
                  </w:r>
                </w:p>
              </w:tc>
              <w:tc>
                <w:tcPr>
                  <w:tcW w:w="3040" w:type="dxa"/>
                  <w:noWrap w:val="0"/>
                  <w:vAlign w:val="center"/>
                </w:tcPr>
                <w:p w14:paraId="473BBBAF">
                  <w:pPr>
                    <w:widowControl w:val="0"/>
                    <w:ind w:left="0" w:leftChars="0" w:right="0" w:rightChars="0" w:firstLine="0" w:firstLineChars="0"/>
                    <w:jc w:val="both"/>
                    <w:rPr>
                      <w:rFonts w:hint="eastAsia" w:ascii="宋体" w:hAnsi="宋体" w:eastAsia="宋体" w:cs="宋体"/>
                      <w:lang w:val="en-US" w:eastAsia="zh-CN"/>
                    </w:rPr>
                  </w:pPr>
                  <w:r>
                    <w:rPr>
                      <w:rFonts w:hint="eastAsia" w:ascii="宋体" w:hAnsi="宋体" w:eastAsia="宋体" w:cs="宋体"/>
                      <w:lang w:val="en-US" w:eastAsia="zh-CN"/>
                    </w:rPr>
                    <w:t>阴离子表面活性剂</w:t>
                  </w:r>
                </w:p>
              </w:tc>
              <w:tc>
                <w:tcPr>
                  <w:tcW w:w="1320" w:type="dxa"/>
                  <w:noWrap w:val="0"/>
                  <w:vAlign w:val="center"/>
                </w:tcPr>
                <w:p w14:paraId="753D0D86">
                  <w:pPr>
                    <w:widowControl w:val="0"/>
                    <w:ind w:left="0" w:leftChars="0" w:right="0" w:righ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36</w:t>
                  </w:r>
                </w:p>
              </w:tc>
              <w:tc>
                <w:tcPr>
                  <w:tcW w:w="2969" w:type="dxa"/>
                  <w:noWrap w:val="0"/>
                  <w:vAlign w:val="center"/>
                </w:tcPr>
                <w:p w14:paraId="320B455F">
                  <w:pPr>
                    <w:widowControl w:val="0"/>
                    <w:ind w:left="0" w:leftChars="0" w:right="0" w:rightChars="0" w:firstLine="0" w:firstLineChars="0"/>
                    <w:jc w:val="both"/>
                    <w:rPr>
                      <w:rFonts w:hint="eastAsia" w:ascii="宋体" w:hAnsi="宋体" w:eastAsia="宋体" w:cs="宋体"/>
                      <w:lang w:val="en-US" w:eastAsia="zh-CN"/>
                    </w:rPr>
                  </w:pPr>
                  <w:r>
                    <w:rPr>
                      <w:rFonts w:hint="eastAsia" w:ascii="宋体" w:hAnsi="宋体" w:eastAsia="宋体" w:cs="宋体"/>
                      <w:lang w:val="en-US" w:eastAsia="zh-CN"/>
                    </w:rPr>
                    <w:t>苯</w:t>
                  </w:r>
                </w:p>
              </w:tc>
            </w:tr>
            <w:tr w14:paraId="50A01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248" w:type="dxa"/>
                  <w:noWrap w:val="0"/>
                  <w:vAlign w:val="center"/>
                </w:tcPr>
                <w:p w14:paraId="0241491A">
                  <w:pPr>
                    <w:widowControl w:val="0"/>
                    <w:ind w:left="0" w:leftChars="0" w:right="0" w:righ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17</w:t>
                  </w:r>
                </w:p>
              </w:tc>
              <w:tc>
                <w:tcPr>
                  <w:tcW w:w="3040" w:type="dxa"/>
                  <w:noWrap w:val="0"/>
                  <w:vAlign w:val="center"/>
                </w:tcPr>
                <w:p w14:paraId="49245111">
                  <w:pPr>
                    <w:widowControl w:val="0"/>
                    <w:ind w:left="0" w:leftChars="0" w:right="0" w:rightChars="0" w:firstLine="0" w:firstLineChars="0"/>
                    <w:jc w:val="both"/>
                    <w:rPr>
                      <w:rFonts w:hint="eastAsia" w:ascii="宋体" w:hAnsi="宋体" w:eastAsia="宋体" w:cs="宋体"/>
                      <w:lang w:val="en-US" w:eastAsia="zh-CN"/>
                    </w:rPr>
                  </w:pPr>
                  <w:r>
                    <w:rPr>
                      <w:rFonts w:hint="eastAsia" w:ascii="宋体" w:hAnsi="宋体" w:eastAsia="宋体" w:cs="宋体"/>
                      <w:lang w:val="en-US" w:eastAsia="zh-CN"/>
                    </w:rPr>
                    <w:t>耗氧量</w:t>
                  </w:r>
                </w:p>
              </w:tc>
              <w:tc>
                <w:tcPr>
                  <w:tcW w:w="1320" w:type="dxa"/>
                  <w:noWrap w:val="0"/>
                  <w:vAlign w:val="center"/>
                </w:tcPr>
                <w:p w14:paraId="7687D577">
                  <w:pPr>
                    <w:widowControl w:val="0"/>
                    <w:ind w:left="0" w:leftChars="0" w:right="0" w:righ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37</w:t>
                  </w:r>
                </w:p>
              </w:tc>
              <w:tc>
                <w:tcPr>
                  <w:tcW w:w="2969" w:type="dxa"/>
                  <w:noWrap w:val="0"/>
                  <w:vAlign w:val="center"/>
                </w:tcPr>
                <w:p w14:paraId="6A922EC9">
                  <w:pPr>
                    <w:widowControl w:val="0"/>
                    <w:ind w:left="0" w:leftChars="0" w:right="0" w:rightChars="0" w:firstLine="0" w:firstLineChars="0"/>
                    <w:jc w:val="both"/>
                    <w:rPr>
                      <w:rFonts w:hint="eastAsia" w:ascii="宋体" w:hAnsi="宋体" w:eastAsia="宋体" w:cs="宋体"/>
                      <w:lang w:val="en-US" w:eastAsia="zh-CN"/>
                    </w:rPr>
                  </w:pPr>
                  <w:r>
                    <w:rPr>
                      <w:rFonts w:hint="eastAsia" w:ascii="宋体" w:hAnsi="宋体" w:eastAsia="宋体" w:cs="宋体"/>
                      <w:lang w:val="en-US" w:eastAsia="zh-CN"/>
                    </w:rPr>
                    <w:t>甲苯</w:t>
                  </w:r>
                </w:p>
              </w:tc>
            </w:tr>
            <w:tr w14:paraId="4A45D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248" w:type="dxa"/>
                  <w:noWrap w:val="0"/>
                  <w:vAlign w:val="center"/>
                </w:tcPr>
                <w:p w14:paraId="6CD3BA62">
                  <w:pPr>
                    <w:widowControl w:val="0"/>
                    <w:ind w:left="0" w:leftChars="0" w:right="0" w:righ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18</w:t>
                  </w:r>
                </w:p>
              </w:tc>
              <w:tc>
                <w:tcPr>
                  <w:tcW w:w="3040" w:type="dxa"/>
                  <w:noWrap w:val="0"/>
                  <w:vAlign w:val="center"/>
                </w:tcPr>
                <w:p w14:paraId="51DD704B">
                  <w:pPr>
                    <w:widowControl w:val="0"/>
                    <w:ind w:left="0" w:leftChars="0" w:right="0" w:rightChars="0" w:firstLine="0" w:firstLineChars="0"/>
                    <w:jc w:val="both"/>
                    <w:rPr>
                      <w:rFonts w:hint="eastAsia" w:ascii="宋体" w:hAnsi="宋体" w:eastAsia="宋体" w:cs="宋体"/>
                      <w:lang w:val="en-US" w:eastAsia="zh-CN"/>
                    </w:rPr>
                  </w:pPr>
                  <w:r>
                    <w:rPr>
                      <w:rFonts w:hint="eastAsia" w:ascii="宋体" w:hAnsi="宋体" w:eastAsia="宋体" w:cs="宋体"/>
                      <w:lang w:val="en-US" w:eastAsia="zh-CN"/>
                    </w:rPr>
                    <w:t>氨氮</w:t>
                  </w:r>
                </w:p>
              </w:tc>
              <w:tc>
                <w:tcPr>
                  <w:tcW w:w="1320" w:type="dxa"/>
                  <w:noWrap w:val="0"/>
                  <w:vAlign w:val="center"/>
                </w:tcPr>
                <w:p w14:paraId="4007AE10">
                  <w:pPr>
                    <w:widowControl w:val="0"/>
                    <w:ind w:left="0" w:leftChars="0" w:right="0" w:righ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38</w:t>
                  </w:r>
                </w:p>
              </w:tc>
              <w:tc>
                <w:tcPr>
                  <w:tcW w:w="2969" w:type="dxa"/>
                  <w:noWrap w:val="0"/>
                  <w:vAlign w:val="center"/>
                </w:tcPr>
                <w:p w14:paraId="7BC84C3E">
                  <w:pPr>
                    <w:widowControl w:val="0"/>
                    <w:ind w:left="0" w:leftChars="0" w:right="0" w:rightChars="0" w:firstLine="0" w:firstLineChars="0"/>
                    <w:jc w:val="both"/>
                    <w:rPr>
                      <w:rFonts w:hint="eastAsia" w:ascii="宋体" w:hAnsi="宋体" w:eastAsia="宋体" w:cs="宋体"/>
                      <w:lang w:val="en-US" w:eastAsia="zh-CN"/>
                    </w:rPr>
                  </w:pPr>
                  <w:r>
                    <w:rPr>
                      <w:rFonts w:hint="eastAsia" w:ascii="宋体" w:hAnsi="宋体" w:eastAsia="宋体" w:cs="宋体"/>
                      <w:lang w:val="en-US" w:eastAsia="zh-CN"/>
                    </w:rPr>
                    <w:t>总α放射性</w:t>
                  </w:r>
                </w:p>
              </w:tc>
            </w:tr>
            <w:tr w14:paraId="1FB64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248" w:type="dxa"/>
                  <w:noWrap w:val="0"/>
                  <w:vAlign w:val="center"/>
                </w:tcPr>
                <w:p w14:paraId="4C2C8B47">
                  <w:pPr>
                    <w:widowControl w:val="0"/>
                    <w:ind w:left="0" w:leftChars="0" w:right="0" w:righ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19</w:t>
                  </w:r>
                </w:p>
              </w:tc>
              <w:tc>
                <w:tcPr>
                  <w:tcW w:w="3040" w:type="dxa"/>
                  <w:noWrap w:val="0"/>
                  <w:vAlign w:val="center"/>
                </w:tcPr>
                <w:p w14:paraId="0423C035">
                  <w:pPr>
                    <w:widowControl w:val="0"/>
                    <w:ind w:left="0" w:leftChars="0" w:right="0" w:rightChars="0" w:firstLine="0" w:firstLineChars="0"/>
                    <w:jc w:val="both"/>
                    <w:rPr>
                      <w:rFonts w:hint="eastAsia" w:ascii="宋体" w:hAnsi="宋体" w:eastAsia="宋体" w:cs="宋体"/>
                      <w:lang w:val="en-US" w:eastAsia="zh-CN"/>
                    </w:rPr>
                  </w:pPr>
                  <w:r>
                    <w:rPr>
                      <w:rFonts w:hint="eastAsia" w:ascii="宋体" w:hAnsi="宋体" w:eastAsia="宋体" w:cs="宋体"/>
                      <w:lang w:val="en-US" w:eastAsia="zh-CN"/>
                    </w:rPr>
                    <w:t>硫化物</w:t>
                  </w:r>
                </w:p>
              </w:tc>
              <w:tc>
                <w:tcPr>
                  <w:tcW w:w="1320" w:type="dxa"/>
                  <w:noWrap w:val="0"/>
                  <w:vAlign w:val="center"/>
                </w:tcPr>
                <w:p w14:paraId="33FF8139">
                  <w:pPr>
                    <w:widowControl w:val="0"/>
                    <w:ind w:left="0" w:leftChars="0" w:right="0" w:righ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39</w:t>
                  </w:r>
                </w:p>
              </w:tc>
              <w:tc>
                <w:tcPr>
                  <w:tcW w:w="2969" w:type="dxa"/>
                  <w:noWrap w:val="0"/>
                  <w:vAlign w:val="center"/>
                </w:tcPr>
                <w:p w14:paraId="597EFA49">
                  <w:pPr>
                    <w:widowControl w:val="0"/>
                    <w:ind w:left="0" w:leftChars="0" w:right="0" w:rightChars="0" w:firstLine="0" w:firstLineChars="0"/>
                    <w:jc w:val="both"/>
                    <w:rPr>
                      <w:rFonts w:hint="eastAsia" w:ascii="宋体" w:hAnsi="宋体" w:eastAsia="宋体" w:cs="宋体"/>
                      <w:lang w:val="en-US" w:eastAsia="zh-CN"/>
                    </w:rPr>
                  </w:pPr>
                  <w:r>
                    <w:rPr>
                      <w:rFonts w:hint="eastAsia" w:ascii="宋体" w:hAnsi="宋体" w:eastAsia="宋体" w:cs="宋体"/>
                      <w:lang w:val="en-US" w:eastAsia="zh-CN"/>
                    </w:rPr>
                    <w:t>总β放射性</w:t>
                  </w:r>
                </w:p>
              </w:tc>
            </w:tr>
            <w:tr w14:paraId="3AF87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248" w:type="dxa"/>
                  <w:noWrap w:val="0"/>
                  <w:vAlign w:val="center"/>
                </w:tcPr>
                <w:p w14:paraId="4CC3C445">
                  <w:pPr>
                    <w:widowControl w:val="0"/>
                    <w:ind w:left="0" w:leftChars="0" w:right="0" w:rightChars="0" w:firstLine="0" w:firstLineChars="0"/>
                    <w:jc w:val="center"/>
                    <w:rPr>
                      <w:rFonts w:hint="eastAsia" w:ascii="宋体" w:hAnsi="宋体" w:eastAsia="宋体" w:cs="宋体"/>
                      <w:lang w:val="en-US" w:eastAsia="zh-CN"/>
                    </w:rPr>
                  </w:pPr>
                  <w:r>
                    <w:rPr>
                      <w:rFonts w:hint="eastAsia" w:ascii="宋体" w:hAnsi="宋体" w:eastAsia="宋体" w:cs="宋体"/>
                      <w:lang w:val="en-US" w:eastAsia="zh-CN"/>
                    </w:rPr>
                    <w:t>20</w:t>
                  </w:r>
                </w:p>
              </w:tc>
              <w:tc>
                <w:tcPr>
                  <w:tcW w:w="3040" w:type="dxa"/>
                  <w:noWrap w:val="0"/>
                  <w:vAlign w:val="center"/>
                </w:tcPr>
                <w:p w14:paraId="3C198538">
                  <w:pPr>
                    <w:widowControl w:val="0"/>
                    <w:ind w:left="0" w:leftChars="0" w:right="0" w:rightChars="0" w:firstLine="0" w:firstLineChars="0"/>
                    <w:jc w:val="both"/>
                    <w:rPr>
                      <w:rFonts w:hint="eastAsia" w:ascii="宋体" w:hAnsi="宋体" w:eastAsia="宋体" w:cs="宋体"/>
                      <w:lang w:val="en-US" w:eastAsia="zh-CN"/>
                    </w:rPr>
                  </w:pPr>
                  <w:r>
                    <w:rPr>
                      <w:rFonts w:hint="eastAsia" w:ascii="宋体" w:hAnsi="宋体" w:eastAsia="宋体" w:cs="宋体"/>
                      <w:lang w:val="en-US" w:eastAsia="zh-CN"/>
                    </w:rPr>
                    <w:t>钠</w:t>
                  </w:r>
                </w:p>
              </w:tc>
              <w:tc>
                <w:tcPr>
                  <w:tcW w:w="1320" w:type="dxa"/>
                  <w:noWrap w:val="0"/>
                  <w:vAlign w:val="center"/>
                </w:tcPr>
                <w:p w14:paraId="1A932756">
                  <w:pPr>
                    <w:widowControl w:val="0"/>
                    <w:ind w:left="0" w:leftChars="0" w:right="0" w:rightChars="0" w:firstLine="0" w:firstLineChars="0"/>
                    <w:jc w:val="center"/>
                    <w:rPr>
                      <w:rFonts w:hint="default" w:ascii="宋体" w:hAnsi="宋体" w:eastAsia="宋体" w:cs="宋体"/>
                      <w:lang w:val="en-US" w:eastAsia="zh-CN"/>
                    </w:rPr>
                  </w:pPr>
                  <w:r>
                    <w:rPr>
                      <w:rFonts w:hint="eastAsia" w:ascii="宋体" w:hAnsi="宋体" w:eastAsia="宋体" w:cs="宋体"/>
                      <w:lang w:val="en-US" w:eastAsia="zh-CN"/>
                    </w:rPr>
                    <w:t>40</w:t>
                  </w:r>
                </w:p>
              </w:tc>
              <w:tc>
                <w:tcPr>
                  <w:tcW w:w="2969" w:type="dxa"/>
                  <w:noWrap w:val="0"/>
                  <w:vAlign w:val="center"/>
                </w:tcPr>
                <w:p w14:paraId="2B6F63E3">
                  <w:pPr>
                    <w:widowControl w:val="0"/>
                    <w:ind w:left="0" w:leftChars="0" w:right="0" w:rightChars="0" w:firstLine="0" w:firstLineChars="0"/>
                    <w:jc w:val="both"/>
                    <w:rPr>
                      <w:rFonts w:hint="eastAsia" w:ascii="宋体" w:hAnsi="宋体" w:eastAsia="宋体" w:cs="宋体"/>
                      <w:lang w:val="en-US" w:eastAsia="zh-CN"/>
                    </w:rPr>
                  </w:pPr>
                  <w:r>
                    <w:rPr>
                      <w:rFonts w:hint="eastAsia" w:ascii="宋体" w:hAnsi="宋体" w:eastAsia="宋体" w:cs="宋体"/>
                      <w:lang w:val="en-US" w:eastAsia="zh-CN"/>
                    </w:rPr>
                    <w:t>采样</w:t>
                  </w:r>
                </w:p>
              </w:tc>
            </w:tr>
          </w:tbl>
          <w:p w14:paraId="59E26F86">
            <w:pPr>
              <w:rPr>
                <w:rFonts w:hint="default"/>
                <w:lang w:val="en-US" w:eastAsia="zh-CN"/>
              </w:rPr>
            </w:pPr>
          </w:p>
        </w:tc>
      </w:tr>
      <w:tr w14:paraId="47C73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2" w:hRule="atLeast"/>
          <w:jc w:val="center"/>
        </w:trPr>
        <w:tc>
          <w:tcPr>
            <w:tcW w:w="680" w:type="dxa"/>
            <w:shd w:val="clear" w:color="auto" w:fill="auto"/>
            <w:vAlign w:val="center"/>
          </w:tcPr>
          <w:p w14:paraId="052C819F">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eastAsia="宋体" w:cs="宋体"/>
                <w:color w:val="auto"/>
                <w:sz w:val="24"/>
                <w:szCs w:val="24"/>
                <w:highlight w:val="none"/>
              </w:rPr>
            </w:pPr>
            <w:r>
              <w:rPr>
                <w:rFonts w:hint="eastAsia" w:ascii="宋体" w:eastAsia="宋体" w:cs="宋体"/>
                <w:color w:val="auto"/>
                <w:sz w:val="24"/>
                <w:szCs w:val="24"/>
                <w:highlight w:val="none"/>
              </w:rPr>
              <w:t>说明</w:t>
            </w:r>
          </w:p>
        </w:tc>
        <w:tc>
          <w:tcPr>
            <w:tcW w:w="8325" w:type="dxa"/>
            <w:gridSpan w:val="2"/>
            <w:shd w:val="clear" w:color="auto" w:fill="auto"/>
            <w:vAlign w:val="center"/>
          </w:tcPr>
          <w:p w14:paraId="5EE2D68A">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rPr>
              <w:t>打“★”号条款为实质性条款，若有任何一条负偏离或不满足则导致响应无效。</w:t>
            </w:r>
          </w:p>
        </w:tc>
      </w:tr>
    </w:tbl>
    <w:p w14:paraId="2F79EE7C">
      <w:pPr>
        <w:rPr>
          <w:rFonts w:ascii="宋体" w:eastAsia="宋体" w:cs="宋体"/>
          <w:color w:val="auto"/>
          <w:sz w:val="24"/>
          <w:szCs w:val="24"/>
          <w:highlight w:val="none"/>
          <w:lang w:eastAsia="zh-CN"/>
        </w:rPr>
      </w:pPr>
    </w:p>
    <w:p w14:paraId="3C376AFE">
      <w:pPr>
        <w:kinsoku/>
        <w:spacing w:line="360" w:lineRule="auto"/>
        <w:ind w:firstLine="562" w:firstLineChars="200"/>
        <w:jc w:val="center"/>
        <w:outlineLvl w:val="0"/>
        <w:rPr>
          <w:rFonts w:ascii="宋体" w:eastAsia="宋体" w:cs="宋体"/>
          <w:color w:val="auto"/>
          <w:sz w:val="24"/>
          <w:szCs w:val="24"/>
          <w:highlight w:val="none"/>
          <w:lang w:eastAsia="zh-CN"/>
        </w:rPr>
      </w:pPr>
      <w:bookmarkStart w:id="18" w:name="_Toc21814"/>
      <w:r>
        <w:rPr>
          <w:rFonts w:hint="eastAsia" w:ascii="宋体" w:eastAsia="宋体" w:cs="宋体"/>
          <w:b/>
          <w:bCs/>
          <w:color w:val="auto"/>
          <w:sz w:val="28"/>
          <w:szCs w:val="28"/>
          <w:highlight w:val="none"/>
          <w:lang w:eastAsia="zh-CN"/>
        </w:rPr>
        <w:t>第四章  供应商应当提交的资格、资信证明文件</w:t>
      </w:r>
      <w:bookmarkEnd w:id="18"/>
    </w:p>
    <w:p w14:paraId="393ACE22">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供应商应提交证明其有资格参加磋商和成交后有能力履行合同的相关文件，并作为其响应文件的一部分，所有文件必须真实可靠、不得伪造，否则将按相关规定予以处罚。</w:t>
      </w:r>
    </w:p>
    <w:p w14:paraId="25C9653A">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一、法人或者其他组织的营业执照等证明文件，自然人的身份证明。法人包括企业法人、机关法人、事业单位法人和社会团体法人；其他组织主要包括合伙企业、非企业专业服务机构、个体工商户、农村承包经营户；自然人是指具有完全民事行为能力、能够承担民事责任和义务的公民。如供应商是企业（包括合伙企业），要提供在市场监督管理部门注册的有效“企业法人营业执照”或“营业执照”；如供应商是事业单位，要提供有效的“事业单位法人证书”；供应商是非企业专业服务机构，如律师事务所、会计师事务所，要提供有效的执业许可证等证明文件；如供应商是个体工商户，要提供有效的“个体工商户营业执照”；如供应商是自然人，要提供有效的自然人身份证明。</w:t>
      </w:r>
    </w:p>
    <w:p w14:paraId="1CBEBBF0">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分公司不是独立法人，不具备政府采购法第二十二条规定的供应商应当具备独立承担民事责任能力的条件。分公司经总公司授权，可以以分公司的名义参加政府采购活动，但其民事责任由总公司承担。</w:t>
      </w:r>
    </w:p>
    <w:p w14:paraId="745789FB">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二、财务状况报告，依法缴纳税收和社会保障资金的相关材料（详见资格审查表）</w:t>
      </w:r>
    </w:p>
    <w:p w14:paraId="153E6479">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三、具备履行合同所必需的设备和专业技术能力的相关材料。</w:t>
      </w:r>
    </w:p>
    <w:p w14:paraId="48DEED67">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四、参加政府采购活动前 3 年内在经营活动中没有重大违法记录的书面声明。</w:t>
      </w:r>
    </w:p>
    <w:p w14:paraId="36AC753B">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五、按照磋商文件要求，供应商应当提交的其他资格、资信证明文件。</w:t>
      </w:r>
    </w:p>
    <w:p w14:paraId="13B17E34">
      <w:pPr>
        <w:kinsoku/>
        <w:spacing w:line="360" w:lineRule="auto"/>
        <w:ind w:firstLine="480" w:firstLineChars="200"/>
        <w:rPr>
          <w:rFonts w:ascii="宋体" w:eastAsia="宋体" w:cs="宋体"/>
          <w:color w:val="auto"/>
          <w:sz w:val="24"/>
          <w:szCs w:val="24"/>
          <w:highlight w:val="none"/>
          <w:lang w:eastAsia="zh-CN"/>
        </w:rPr>
      </w:pPr>
    </w:p>
    <w:p w14:paraId="49BD683B">
      <w:pPr>
        <w:kinsoku/>
        <w:spacing w:line="360" w:lineRule="auto"/>
        <w:ind w:firstLine="480" w:firstLineChars="200"/>
        <w:rPr>
          <w:rFonts w:ascii="宋体" w:eastAsia="宋体" w:cs="宋体"/>
          <w:color w:val="auto"/>
          <w:sz w:val="24"/>
          <w:szCs w:val="24"/>
          <w:highlight w:val="none"/>
          <w:lang w:eastAsia="zh-CN"/>
        </w:rPr>
      </w:pPr>
    </w:p>
    <w:p w14:paraId="12AFB45E">
      <w:pPr>
        <w:kinsoku/>
        <w:spacing w:line="360" w:lineRule="auto"/>
        <w:ind w:firstLine="480" w:firstLineChars="200"/>
        <w:rPr>
          <w:rFonts w:ascii="宋体" w:eastAsia="宋体" w:cs="宋体"/>
          <w:color w:val="auto"/>
          <w:sz w:val="24"/>
          <w:szCs w:val="24"/>
          <w:highlight w:val="none"/>
          <w:lang w:eastAsia="zh-CN"/>
        </w:rPr>
      </w:pPr>
    </w:p>
    <w:p w14:paraId="16464D98">
      <w:pPr>
        <w:kinsoku/>
        <w:spacing w:line="360" w:lineRule="auto"/>
        <w:ind w:firstLine="480" w:firstLineChars="200"/>
        <w:rPr>
          <w:rFonts w:ascii="宋体" w:eastAsia="宋体" w:cs="宋体"/>
          <w:color w:val="auto"/>
          <w:sz w:val="24"/>
          <w:szCs w:val="24"/>
          <w:highlight w:val="none"/>
          <w:lang w:eastAsia="zh-CN"/>
        </w:rPr>
      </w:pPr>
    </w:p>
    <w:p w14:paraId="3D361DCD">
      <w:pPr>
        <w:kinsoku/>
        <w:spacing w:line="360" w:lineRule="auto"/>
        <w:ind w:firstLine="480" w:firstLineChars="200"/>
        <w:rPr>
          <w:rFonts w:ascii="宋体" w:eastAsia="宋体" w:cs="宋体"/>
          <w:color w:val="auto"/>
          <w:sz w:val="24"/>
          <w:szCs w:val="24"/>
          <w:highlight w:val="none"/>
          <w:lang w:eastAsia="zh-CN"/>
        </w:rPr>
      </w:pPr>
    </w:p>
    <w:p w14:paraId="68F62D6E">
      <w:pPr>
        <w:kinsoku/>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br w:type="page"/>
      </w:r>
    </w:p>
    <w:p w14:paraId="34E9835B">
      <w:pPr>
        <w:kinsoku/>
        <w:spacing w:line="360" w:lineRule="auto"/>
        <w:ind w:firstLine="562" w:firstLineChars="200"/>
        <w:jc w:val="center"/>
        <w:outlineLvl w:val="0"/>
        <w:rPr>
          <w:rFonts w:ascii="宋体" w:eastAsia="宋体" w:cs="宋体"/>
          <w:b/>
          <w:bCs/>
          <w:color w:val="auto"/>
          <w:sz w:val="24"/>
          <w:szCs w:val="24"/>
          <w:highlight w:val="none"/>
          <w:lang w:eastAsia="zh-CN"/>
        </w:rPr>
      </w:pPr>
      <w:bookmarkStart w:id="19" w:name="_Toc22090"/>
      <w:r>
        <w:rPr>
          <w:rFonts w:hint="eastAsia" w:ascii="宋体" w:eastAsia="宋体" w:cs="宋体"/>
          <w:b/>
          <w:bCs/>
          <w:color w:val="auto"/>
          <w:sz w:val="28"/>
          <w:szCs w:val="28"/>
          <w:highlight w:val="none"/>
          <w:lang w:eastAsia="zh-CN"/>
        </w:rPr>
        <w:t>第五章  评审</w:t>
      </w:r>
      <w:bookmarkEnd w:id="19"/>
    </w:p>
    <w:p w14:paraId="2EC04A69">
      <w:pPr>
        <w:kinsoku/>
        <w:spacing w:line="360" w:lineRule="auto"/>
        <w:ind w:firstLine="482" w:firstLineChars="200"/>
        <w:outlineLvl w:val="1"/>
        <w:rPr>
          <w:rFonts w:ascii="宋体" w:eastAsia="宋体" w:cs="宋体"/>
          <w:color w:val="auto"/>
          <w:sz w:val="24"/>
          <w:szCs w:val="24"/>
          <w:highlight w:val="none"/>
          <w:lang w:eastAsia="zh-CN"/>
        </w:rPr>
      </w:pPr>
      <w:bookmarkStart w:id="20" w:name="_Toc18962"/>
      <w:r>
        <w:rPr>
          <w:rFonts w:hint="eastAsia" w:ascii="宋体" w:eastAsia="宋体" w:cs="宋体"/>
          <w:b/>
          <w:bCs/>
          <w:color w:val="auto"/>
          <w:sz w:val="24"/>
          <w:szCs w:val="24"/>
          <w:highlight w:val="none"/>
          <w:lang w:eastAsia="zh-CN"/>
        </w:rPr>
        <w:t>一、评审要求</w:t>
      </w:r>
      <w:bookmarkEnd w:id="20"/>
    </w:p>
    <w:p w14:paraId="42CB300F">
      <w:pPr>
        <w:kinsoku/>
        <w:spacing w:line="360" w:lineRule="auto"/>
        <w:ind w:firstLine="482" w:firstLineChars="200"/>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1.评审方法</w:t>
      </w:r>
    </w:p>
    <w:p w14:paraId="7FEFD30B">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4C4812D5">
      <w:pPr>
        <w:kinsoku/>
        <w:spacing w:line="360" w:lineRule="auto"/>
        <w:ind w:firstLine="482" w:firstLineChars="200"/>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2.评审原则</w:t>
      </w:r>
    </w:p>
    <w:p w14:paraId="5F2CCD07">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2.1 磋商小组成员应当遵循客观、公正、审慎的原则，根据磋商文件规定的评审程序、评审方法和评审标准进行独立评审。</w:t>
      </w:r>
    </w:p>
    <w:p w14:paraId="5903CF39">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2.2 具体评审事项由磋商小组负责，并按磋商文件规定的办法进行评审。</w:t>
      </w:r>
    </w:p>
    <w:p w14:paraId="0805495F">
      <w:pPr>
        <w:kinsoku/>
        <w:spacing w:line="360" w:lineRule="auto"/>
        <w:ind w:firstLine="482" w:firstLineChars="200"/>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3.磋商小组</w:t>
      </w:r>
    </w:p>
    <w:p w14:paraId="6F4DDB5B">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3.1 磋商小组由采购人代表和评审专家共 3 人以上单数组成，其中评审专家人数不得少于磋商小组成员总数的 2/3。</w:t>
      </w:r>
    </w:p>
    <w:p w14:paraId="16437563">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3.2 磋商小组成员有下列情形之一的，应当回避：</w:t>
      </w:r>
    </w:p>
    <w:p w14:paraId="7428333A">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（1）参加政府采购活动前 3 年内,与供应商存在劳动关系,或者担任过供应商的董事、监事,或者是供应商的控股股东或实际控制人；</w:t>
      </w:r>
    </w:p>
    <w:p w14:paraId="1F188189">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（2）与供应商的法定代表人或者负责人有夫妻、直系血亲、三代以内旁系血亲或者近姻亲关系；</w:t>
      </w:r>
    </w:p>
    <w:p w14:paraId="68DC0D51">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（3）与供应商有其他可能影响政府采购活动公平、公正进行的关系。</w:t>
      </w:r>
    </w:p>
    <w:p w14:paraId="642AE642">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3.3 磋商小组负责具体评审事务，并独立履行下列职责：</w:t>
      </w:r>
    </w:p>
    <w:p w14:paraId="014F0B93">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（1）对响应文件的有效性、完整性和响应程度进行审查；</w:t>
      </w:r>
    </w:p>
    <w:p w14:paraId="1B29CCC0">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（2）要求供应商对响应文件有关事项作出澄清、说明或更正；</w:t>
      </w:r>
    </w:p>
    <w:p w14:paraId="087ACED0">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（3）磋商小组所有成员应当集中与单一供应商分别进行磋商；</w:t>
      </w:r>
    </w:p>
    <w:p w14:paraId="2E12C071">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（4）对响应文件进行比较和评价；</w:t>
      </w:r>
    </w:p>
    <w:p w14:paraId="0338CD85">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（5）确定成交候选人名单，以及根据采购人委托直接确定成交供应商；</w:t>
      </w:r>
    </w:p>
    <w:p w14:paraId="41034747">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（6）向采购人、采购代理机构或者有关部门报告评审中发现的违法行为；</w:t>
      </w:r>
    </w:p>
    <w:p w14:paraId="01A0DA2B">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（7）法律法规规定的其他职责。</w:t>
      </w:r>
    </w:p>
    <w:p w14:paraId="07B45177">
      <w:pPr>
        <w:kinsoku/>
        <w:spacing w:line="360" w:lineRule="auto"/>
        <w:ind w:firstLine="482" w:firstLineChars="200"/>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4.澄清</w:t>
      </w:r>
    </w:p>
    <w:p w14:paraId="0490F8A5">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F512AD4">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19E4E448">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4.1 磋商小组不接受供应商主动提出的澄清、说明或更正。</w:t>
      </w:r>
    </w:p>
    <w:p w14:paraId="58AD37C9">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4.2 磋商小组对供应商提交的澄清、说明或更正有疑问的，可以要求供应商进一步澄清、说明或更正。</w:t>
      </w:r>
    </w:p>
    <w:p w14:paraId="76B23E1B">
      <w:pPr>
        <w:kinsoku/>
        <w:spacing w:line="360" w:lineRule="auto"/>
        <w:ind w:firstLine="482" w:firstLineChars="200"/>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5.有下列情形之一的，属于恶意串通，并追究法律责任：</w:t>
      </w:r>
    </w:p>
    <w:p w14:paraId="4B5E158D">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（1）供应商直接或者间接从采购人或者采购代理机构处获得其他供应商的相关情况并修改其响应文件；</w:t>
      </w:r>
    </w:p>
    <w:p w14:paraId="383F28C8">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（2）供应商按照采购人或者采购代理机构的授意撤换、修改响应文件；</w:t>
      </w:r>
    </w:p>
    <w:p w14:paraId="15CB7E0E">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（3）供应商之间协商报价、技术方案等响应文件的实质性内容；</w:t>
      </w:r>
    </w:p>
    <w:p w14:paraId="664D665D">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（4）属于同一集团、协会、商会等组织成员的供应商按照该组织要求协同参加政府采购活动；</w:t>
      </w:r>
    </w:p>
    <w:p w14:paraId="6188567F">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（5）供应商之间事先约定由某一特定供应商成交；</w:t>
      </w:r>
    </w:p>
    <w:p w14:paraId="1767DAD4">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（6）供应商之间商定部分供应商放弃参加政府采购活动或者放弃成交；</w:t>
      </w:r>
    </w:p>
    <w:p w14:paraId="5C245BF2">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（7）供应商与采购人或者采购代理机构之间、供应商相互之间，为谋求特定供应商成交或者排斥其他供应商的其他串通行为。</w:t>
      </w:r>
    </w:p>
    <w:p w14:paraId="52B17E77">
      <w:pPr>
        <w:kinsoku/>
        <w:spacing w:line="360" w:lineRule="auto"/>
        <w:ind w:firstLine="482" w:firstLineChars="200"/>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6.响应无效的情形</w:t>
      </w:r>
    </w:p>
    <w:p w14:paraId="7971E391">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（1）供应商未按照磋商文件要求提交磋商保证金的，响应无效；</w:t>
      </w:r>
    </w:p>
    <w:p w14:paraId="2F5C2E40">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（2）在提交响应文件截止时间后递交响应文件的，响应无效；</w:t>
      </w:r>
    </w:p>
    <w:p w14:paraId="2FAD35B9">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（3）未实质性响应磋商文件的，响应无效；</w:t>
      </w:r>
    </w:p>
    <w:p w14:paraId="5F30CEA6">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（4）法律、法规和磋商文件规定的其他无效情形。</w:t>
      </w:r>
    </w:p>
    <w:p w14:paraId="15DA0E12">
      <w:pPr>
        <w:kinsoku/>
        <w:spacing w:line="360" w:lineRule="auto"/>
        <w:ind w:firstLine="482" w:firstLineChars="200"/>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7.终止的情形</w:t>
      </w:r>
    </w:p>
    <w:p w14:paraId="7943BDDE">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出现下列情形之一的，采购人或者采购代理机构应当终止竞争性磋商采购活动，发布公告并说明原因，重新开展采购活动：</w:t>
      </w:r>
    </w:p>
    <w:p w14:paraId="2C060A46">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（1）因情况变化，不再符合规定的竞争性磋商采购方式适用情形的；</w:t>
      </w:r>
    </w:p>
    <w:p w14:paraId="0433A8DF">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（2）出现影响采购公正的违法、违规行为的；</w:t>
      </w:r>
    </w:p>
    <w:p w14:paraId="2BBD7F03">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（3）除《政府采购竞争性磋商采购方式管理暂行办法》及其补充通知规定的情形外，在采购过程中符合要求的供应商或者报价未超过采购预算的供应商不足 3 家的。</w:t>
      </w:r>
    </w:p>
    <w:p w14:paraId="7BF67650">
      <w:pPr>
        <w:kinsoku/>
        <w:spacing w:line="360" w:lineRule="auto"/>
        <w:ind w:firstLine="480" w:firstLineChars="200"/>
        <w:rPr>
          <w:rFonts w:hint="eastAsia" w:ascii="宋体" w:eastAsia="宋体" w:cs="宋体"/>
          <w:b/>
          <w:bCs/>
          <w:color w:val="auto"/>
          <w:sz w:val="24"/>
          <w:szCs w:val="24"/>
          <w:highlight w:val="none"/>
          <w:lang w:eastAsia="zh-CN"/>
        </w:rPr>
      </w:pPr>
      <w:r>
        <w:rPr>
          <w:rFonts w:hint="eastAsia" w:ascii="宋体" w:eastAsia="宋体" w:cs="宋体"/>
          <w:b w:val="0"/>
          <w:bCs w:val="0"/>
          <w:color w:val="auto"/>
          <w:sz w:val="24"/>
          <w:szCs w:val="24"/>
          <w:highlight w:val="none"/>
          <w:lang w:eastAsia="zh-CN"/>
        </w:rPr>
        <w:t>（4）法律、法规以及磋商文件规定的其他情形。</w:t>
      </w:r>
    </w:p>
    <w:p w14:paraId="00C7BEAA">
      <w:pPr>
        <w:kinsoku/>
        <w:spacing w:line="360" w:lineRule="auto"/>
        <w:ind w:firstLine="482" w:firstLineChars="200"/>
        <w:rPr>
          <w:rFonts w:hint="eastAsia" w:ascii="宋体" w:eastAsia="宋体" w:cs="宋体"/>
          <w:b/>
          <w:bCs/>
          <w:color w:val="auto"/>
          <w:sz w:val="24"/>
          <w:szCs w:val="24"/>
          <w:highlight w:val="none"/>
          <w:lang w:val="zh-CN" w:eastAsia="zh-CN"/>
        </w:rPr>
      </w:pPr>
      <w:bookmarkStart w:id="21" w:name="_Toc29984"/>
      <w:r>
        <w:rPr>
          <w:rFonts w:hint="eastAsia" w:ascii="宋体" w:eastAsia="宋体" w:cs="宋体"/>
          <w:b/>
          <w:bCs/>
          <w:color w:val="auto"/>
          <w:sz w:val="24"/>
          <w:szCs w:val="24"/>
          <w:highlight w:val="none"/>
          <w:lang w:val="en-US" w:eastAsia="zh-CN"/>
        </w:rPr>
        <w:t>8</w:t>
      </w:r>
      <w:r>
        <w:rPr>
          <w:rFonts w:hint="eastAsia" w:ascii="宋体" w:eastAsia="宋体" w:cs="宋体"/>
          <w:b/>
          <w:bCs/>
          <w:color w:val="auto"/>
          <w:sz w:val="24"/>
          <w:szCs w:val="24"/>
          <w:highlight w:val="none"/>
          <w:lang w:eastAsia="zh-CN"/>
        </w:rPr>
        <w:t>、</w:t>
      </w:r>
      <w:r>
        <w:rPr>
          <w:rFonts w:hint="eastAsia" w:ascii="宋体" w:eastAsia="宋体" w:cs="宋体"/>
          <w:b/>
          <w:bCs/>
          <w:color w:val="auto"/>
          <w:sz w:val="24"/>
          <w:szCs w:val="24"/>
          <w:highlight w:val="none"/>
          <w:lang w:val="zh-CN" w:eastAsia="zh-CN"/>
        </w:rPr>
        <w:t>磋商评审纪律</w:t>
      </w:r>
    </w:p>
    <w:p w14:paraId="43591EF8">
      <w:pPr>
        <w:kinsoku/>
        <w:spacing w:line="360" w:lineRule="auto"/>
        <w:ind w:firstLine="480" w:firstLineChars="200"/>
        <w:rPr>
          <w:rFonts w:hint="eastAsia" w:ascii="宋体" w:eastAsia="宋体" w:cs="宋体"/>
          <w:color w:val="auto"/>
          <w:sz w:val="24"/>
          <w:szCs w:val="24"/>
          <w:highlight w:val="none"/>
          <w:lang w:val="zh-CN" w:eastAsia="zh-CN"/>
        </w:rPr>
      </w:pPr>
      <w:r>
        <w:rPr>
          <w:rFonts w:hint="eastAsia" w:ascii="宋体" w:eastAsia="宋体" w:cs="宋体"/>
          <w:color w:val="auto"/>
          <w:sz w:val="24"/>
          <w:szCs w:val="24"/>
          <w:highlight w:val="none"/>
          <w:lang w:eastAsia="zh-CN"/>
        </w:rPr>
        <w:t>1、磋商小组成员</w:t>
      </w:r>
      <w:r>
        <w:rPr>
          <w:rFonts w:hint="eastAsia" w:ascii="宋体" w:eastAsia="宋体" w:cs="宋体"/>
          <w:color w:val="auto"/>
          <w:sz w:val="24"/>
          <w:szCs w:val="24"/>
          <w:highlight w:val="none"/>
          <w:lang w:val="zh-CN" w:eastAsia="zh-CN"/>
        </w:rPr>
        <w:t>内部讨论的情况和意见应当予以保密，任何人不得以任何形式透露给供应商或与供应商有关的单位或个人；</w:t>
      </w:r>
    </w:p>
    <w:p w14:paraId="5CDF780E">
      <w:pPr>
        <w:kinsoku/>
        <w:spacing w:line="360" w:lineRule="auto"/>
        <w:ind w:firstLine="480" w:firstLineChars="200"/>
        <w:rPr>
          <w:rFonts w:hint="eastAsia" w:ascii="宋体" w:eastAsia="宋体" w:cs="宋体"/>
          <w:color w:val="auto"/>
          <w:sz w:val="24"/>
          <w:szCs w:val="24"/>
          <w:highlight w:val="none"/>
          <w:lang w:val="zh-CN" w:eastAsia="zh-CN"/>
        </w:rPr>
      </w:pPr>
      <w:r>
        <w:rPr>
          <w:rFonts w:hint="eastAsia" w:ascii="宋体" w:eastAsia="宋体" w:cs="宋体"/>
          <w:color w:val="auto"/>
          <w:sz w:val="24"/>
          <w:szCs w:val="24"/>
          <w:highlight w:val="none"/>
          <w:lang w:eastAsia="zh-CN"/>
        </w:rPr>
        <w:t>2、</w:t>
      </w:r>
      <w:r>
        <w:rPr>
          <w:rFonts w:hint="eastAsia" w:ascii="宋体" w:eastAsia="宋体" w:cs="宋体"/>
          <w:color w:val="auto"/>
          <w:sz w:val="24"/>
          <w:szCs w:val="24"/>
          <w:highlight w:val="none"/>
          <w:lang w:val="zh-CN" w:eastAsia="zh-CN"/>
        </w:rPr>
        <w:t>在磋商过程中，供应商不得以任何形式对磋商小组成员进行旨在影响磋商结果的私下接触，否则取消其磋商资格；</w:t>
      </w:r>
    </w:p>
    <w:p w14:paraId="57AEDBA3">
      <w:pPr>
        <w:kinsoku/>
        <w:spacing w:line="360" w:lineRule="auto"/>
        <w:ind w:firstLine="480" w:firstLineChars="200"/>
        <w:rPr>
          <w:rFonts w:hint="eastAsia" w:ascii="宋体" w:eastAsia="宋体" w:cs="宋体"/>
          <w:color w:val="auto"/>
          <w:sz w:val="24"/>
          <w:szCs w:val="24"/>
          <w:highlight w:val="none"/>
          <w:lang w:val="zh-CN" w:eastAsia="zh-CN"/>
        </w:rPr>
      </w:pPr>
      <w:r>
        <w:rPr>
          <w:rFonts w:hint="eastAsia" w:ascii="宋体" w:eastAsia="宋体" w:cs="宋体"/>
          <w:color w:val="auto"/>
          <w:sz w:val="24"/>
          <w:szCs w:val="24"/>
          <w:highlight w:val="none"/>
          <w:lang w:eastAsia="zh-CN"/>
        </w:rPr>
        <w:t>3磋商</w:t>
      </w:r>
      <w:r>
        <w:rPr>
          <w:rFonts w:hint="eastAsia" w:ascii="宋体" w:eastAsia="宋体" w:cs="宋体"/>
          <w:color w:val="auto"/>
          <w:sz w:val="24"/>
          <w:szCs w:val="24"/>
          <w:highlight w:val="none"/>
          <w:lang w:val="zh-CN" w:eastAsia="zh-CN"/>
        </w:rPr>
        <w:t>小组成员以及与磋商有关的人员应当对评审情况和评审过程中获悉的国家秘密、商业秘密予以保密。</w:t>
      </w:r>
    </w:p>
    <w:p w14:paraId="15384774">
      <w:pPr>
        <w:kinsoku/>
        <w:spacing w:line="360" w:lineRule="auto"/>
        <w:ind w:firstLine="482" w:firstLineChars="200"/>
        <w:rPr>
          <w:rFonts w:hint="eastAsia" w:ascii="宋体" w:eastAsia="宋体" w:cs="宋体"/>
          <w:b/>
          <w:bCs/>
          <w:color w:val="auto"/>
          <w:sz w:val="24"/>
          <w:szCs w:val="24"/>
          <w:highlight w:val="none"/>
          <w:lang w:val="en-US" w:eastAsia="zh-CN"/>
        </w:rPr>
      </w:pPr>
      <w:r>
        <w:rPr>
          <w:rFonts w:hint="eastAsia" w:ascii="宋体" w:eastAsia="宋体" w:cs="宋体"/>
          <w:b/>
          <w:bCs/>
          <w:color w:val="auto"/>
          <w:sz w:val="24"/>
          <w:szCs w:val="24"/>
          <w:highlight w:val="none"/>
          <w:lang w:val="en-US" w:eastAsia="zh-CN"/>
        </w:rPr>
        <w:t>9、组织磋商及评审工作程序</w:t>
      </w:r>
    </w:p>
    <w:p w14:paraId="49C2AB7E">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磋商小组应当按照客观、公正、审慎的原则，根据竞争性磋商文件规定的评审程序、评审方法和评审标准进行独立评审。磋商会在采购人或其委托人主持下按程序进行。</w:t>
      </w:r>
    </w:p>
    <w:p w14:paraId="686B3CA6">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1、磋商小组根据竞争性磋商文件共同对供应商的资格、响应文件及其他资料进行评审，未实质性响应竞争性磋商文件的响应文件及其他资料按无效响应处理，磋商小组应当告知提交响应文件的供应商。</w:t>
      </w:r>
    </w:p>
    <w:p w14:paraId="7CE9FCA8">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val="zh-CN" w:eastAsia="zh-CN"/>
        </w:rPr>
        <w:t>在竞争性磋商文件及程序符合法律规定的前提下，</w:t>
      </w:r>
      <w:r>
        <w:rPr>
          <w:rFonts w:hint="eastAsia" w:ascii="宋体" w:eastAsia="宋体" w:cs="宋体"/>
          <w:color w:val="auto"/>
          <w:sz w:val="24"/>
          <w:szCs w:val="24"/>
          <w:highlight w:val="none"/>
          <w:lang w:eastAsia="zh-CN"/>
        </w:rPr>
        <w:t>符合要求的供应商有3家及以上的，竞争性磋商采购活动可以继续进行。符合要求的供应商不足3家的，采购人或者采购代理机构应当终止竞争性磋商采购活动，</w:t>
      </w:r>
      <w:r>
        <w:rPr>
          <w:rFonts w:hint="eastAsia" w:ascii="宋体" w:eastAsia="宋体" w:cs="宋体"/>
          <w:color w:val="auto"/>
          <w:sz w:val="24"/>
          <w:szCs w:val="24"/>
          <w:highlight w:val="none"/>
          <w:lang w:val="zh-CN" w:eastAsia="zh-CN"/>
        </w:rPr>
        <w:t>发布项目终止公告并说明原因，重新开展采购活动</w:t>
      </w:r>
      <w:r>
        <w:rPr>
          <w:rFonts w:hint="eastAsia" w:ascii="宋体" w:eastAsia="宋体" w:cs="宋体"/>
          <w:color w:val="auto"/>
          <w:sz w:val="24"/>
          <w:szCs w:val="24"/>
          <w:highlight w:val="none"/>
          <w:lang w:eastAsia="zh-CN"/>
        </w:rPr>
        <w:t>。</w:t>
      </w:r>
    </w:p>
    <w:p w14:paraId="3108CFA7">
      <w:pPr>
        <w:kinsoku/>
        <w:spacing w:line="360" w:lineRule="auto"/>
        <w:ind w:firstLine="480" w:firstLineChars="200"/>
        <w:rPr>
          <w:rFonts w:hint="eastAsia" w:ascii="宋体" w:eastAsia="宋体" w:cs="宋体"/>
          <w:color w:val="auto"/>
          <w:sz w:val="24"/>
          <w:szCs w:val="24"/>
          <w:highlight w:val="none"/>
          <w:lang w:val="zh-CN" w:eastAsia="zh-CN"/>
        </w:rPr>
      </w:pPr>
      <w:r>
        <w:rPr>
          <w:rFonts w:hint="eastAsia" w:ascii="宋体" w:eastAsia="宋体" w:cs="宋体"/>
          <w:color w:val="auto"/>
          <w:sz w:val="24"/>
          <w:szCs w:val="24"/>
          <w:highlight w:val="none"/>
          <w:lang w:eastAsia="zh-CN"/>
        </w:rPr>
        <w:t>根据《财政部关于政府</w:t>
      </w:r>
      <w:r>
        <w:rPr>
          <w:rFonts w:hint="eastAsia" w:ascii="宋体" w:eastAsia="宋体" w:cs="宋体"/>
          <w:color w:val="auto"/>
          <w:sz w:val="24"/>
          <w:szCs w:val="24"/>
          <w:highlight w:val="none"/>
          <w:lang w:val="zh-CN" w:eastAsia="zh-CN"/>
        </w:rPr>
        <w:t>采购竞争性磋商采购方式管理暂行办法有关问题的补充通知》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37916536">
      <w:pPr>
        <w:kinsoku/>
        <w:spacing w:line="360" w:lineRule="auto"/>
        <w:ind w:firstLine="480" w:firstLineChars="200"/>
        <w:rPr>
          <w:rFonts w:hint="eastAsia" w:ascii="宋体" w:eastAsia="宋体" w:cs="宋体"/>
          <w:color w:val="auto"/>
          <w:sz w:val="24"/>
          <w:szCs w:val="24"/>
          <w:highlight w:val="none"/>
          <w:lang w:val="zh-CN" w:eastAsia="zh-CN"/>
        </w:rPr>
      </w:pPr>
      <w:r>
        <w:rPr>
          <w:rFonts w:hint="eastAsia" w:ascii="宋体" w:eastAsia="宋体" w:cs="宋体"/>
          <w:color w:val="auto"/>
          <w:sz w:val="24"/>
          <w:szCs w:val="24"/>
          <w:highlight w:val="none"/>
          <w:lang w:eastAsia="zh-CN"/>
        </w:rPr>
        <w:t>2、</w:t>
      </w:r>
      <w:r>
        <w:rPr>
          <w:rFonts w:hint="eastAsia" w:ascii="宋体" w:eastAsia="宋体" w:cs="宋体"/>
          <w:color w:val="auto"/>
          <w:sz w:val="24"/>
          <w:szCs w:val="24"/>
          <w:highlight w:val="none"/>
          <w:lang w:val="zh-CN" w:eastAsia="zh-CN"/>
        </w:rPr>
        <w:t>磋商小组所有成员集中与单一供应商按照</w:t>
      </w:r>
      <w:r>
        <w:rPr>
          <w:rFonts w:hint="eastAsia" w:ascii="宋体" w:eastAsia="宋体" w:cs="宋体"/>
          <w:color w:val="auto"/>
          <w:sz w:val="24"/>
          <w:szCs w:val="24"/>
          <w:highlight w:val="none"/>
          <w:lang w:eastAsia="zh-CN"/>
        </w:rPr>
        <w:t>磋商现场决定的顺序</w:t>
      </w:r>
      <w:r>
        <w:rPr>
          <w:rFonts w:hint="eastAsia" w:ascii="宋体" w:eastAsia="宋体" w:cs="宋体"/>
          <w:color w:val="auto"/>
          <w:sz w:val="24"/>
          <w:szCs w:val="24"/>
          <w:highlight w:val="none"/>
          <w:lang w:val="zh-CN" w:eastAsia="zh-CN"/>
        </w:rPr>
        <w:t>分别进行磋商，并给予所有参加磋商的供应商平等的磋商机会。</w:t>
      </w:r>
      <w:r>
        <w:rPr>
          <w:rFonts w:hint="eastAsia" w:ascii="宋体" w:eastAsia="宋体" w:cs="宋体"/>
          <w:color w:val="auto"/>
          <w:sz w:val="24"/>
          <w:szCs w:val="24"/>
          <w:highlight w:val="none"/>
          <w:lang w:eastAsia="zh-CN"/>
        </w:rPr>
        <w:t>每个供应商分别进行一轮或多轮单一保密磋商。</w:t>
      </w:r>
    </w:p>
    <w:p w14:paraId="3D18F9D6">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 xml:space="preserve">3、在磋商过程中，磋商小组可以根据竞争性磋商文件和磋商情况实质性变动采购需求中的技术、服务要求以及合同草案条款，但不得变动竞争性磋商文件中的其他内容。实质性变动的内容，须经采购人代表确认。 </w:t>
      </w:r>
    </w:p>
    <w:p w14:paraId="0BBCC865">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 xml:space="preserve">对竞争性磋商文件作出的实质性变动是竞争性磋商文件的有效组成部分，磋商小组应当及时以书面形式同时通知所有参加磋商的供应商。 </w:t>
      </w:r>
    </w:p>
    <w:p w14:paraId="4E3A8C01">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4、供应商应当按照竞争性磋商文件的变动情况和磋商小组的要求重新提交响应文件，并由其法定代表人或授权代表签字或者加盖公章。由授权代表签字的，应当附法定代表人授权书。供应商为自然人的，应当由本人签章并附身份证明。</w:t>
      </w:r>
    </w:p>
    <w:p w14:paraId="49921ED6">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5、竞争性磋商文件能够详细列明采购标的的技术、服务要求的，磋商结束后，磋商小组应当要求所有实质性响应的供应商在规定时间内提交最后报价，提交最后报价的供应商不得少于3家。</w:t>
      </w:r>
    </w:p>
    <w:p w14:paraId="411FF321">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竞争性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提交最后报价。</w:t>
      </w:r>
    </w:p>
    <w:p w14:paraId="6BBFFC62">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最后报价是供应商响应文件的有效组成部分。符合《财政部关于政府</w:t>
      </w:r>
      <w:r>
        <w:rPr>
          <w:rFonts w:hint="eastAsia" w:ascii="宋体" w:eastAsia="宋体" w:cs="宋体"/>
          <w:color w:val="auto"/>
          <w:sz w:val="24"/>
          <w:szCs w:val="24"/>
          <w:highlight w:val="none"/>
          <w:lang w:val="zh-CN" w:eastAsia="zh-CN"/>
        </w:rPr>
        <w:t>采购竞争性磋商采购方式管理暂行办法有关问题的补充通知》规定的</w:t>
      </w:r>
      <w:r>
        <w:rPr>
          <w:rFonts w:hint="eastAsia" w:ascii="宋体" w:eastAsia="宋体" w:cs="宋体"/>
          <w:color w:val="auto"/>
          <w:sz w:val="24"/>
          <w:szCs w:val="24"/>
          <w:highlight w:val="none"/>
          <w:lang w:eastAsia="zh-CN"/>
        </w:rPr>
        <w:t>情形的，提交最后报价的供应商可以为2家。</w:t>
      </w:r>
    </w:p>
    <w:p w14:paraId="7D4F0D82">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6、经磋商确定最终采购需求和提交最后报价的供应商后，由磋商小组采用综合评分法对提交最后报价的供应商的响应文件和最后报价进行</w:t>
      </w:r>
      <w:bookmarkStart w:id="22" w:name="OLE_LINK4"/>
      <w:r>
        <w:rPr>
          <w:rFonts w:hint="eastAsia" w:ascii="宋体" w:eastAsia="宋体" w:cs="宋体"/>
          <w:color w:val="auto"/>
          <w:sz w:val="24"/>
          <w:szCs w:val="24"/>
          <w:highlight w:val="none"/>
          <w:lang w:eastAsia="zh-CN"/>
        </w:rPr>
        <w:t>综合评分</w:t>
      </w:r>
      <w:bookmarkEnd w:id="22"/>
      <w:r>
        <w:rPr>
          <w:rFonts w:hint="eastAsia" w:ascii="宋体" w:eastAsia="宋体" w:cs="宋体"/>
          <w:color w:val="auto"/>
          <w:sz w:val="24"/>
          <w:szCs w:val="24"/>
          <w:highlight w:val="none"/>
          <w:lang w:eastAsia="zh-CN"/>
        </w:rPr>
        <w:t>。</w:t>
      </w:r>
    </w:p>
    <w:p w14:paraId="1323C508">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评审时，磋商小组各成员应当独立对每个有效响应的文件进行评价、打分，然后汇总每个供应商每项评分因素的得分。</w:t>
      </w:r>
    </w:p>
    <w:p w14:paraId="28BD66F0">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7、磋商小组应当根据综合评分情况，按照评审得分由高到低顺序推荐3名及以上成交候选供应商，并编写评审报告。符合《财政部关于政府</w:t>
      </w:r>
      <w:r>
        <w:rPr>
          <w:rFonts w:hint="eastAsia" w:ascii="宋体" w:eastAsia="宋体" w:cs="宋体"/>
          <w:color w:val="auto"/>
          <w:sz w:val="24"/>
          <w:szCs w:val="24"/>
          <w:highlight w:val="none"/>
          <w:lang w:val="zh-CN" w:eastAsia="zh-CN"/>
        </w:rPr>
        <w:t>采购竞争性磋商采购方式管理暂行办法有关问题的补充通知》规定的</w:t>
      </w:r>
      <w:r>
        <w:rPr>
          <w:rFonts w:hint="eastAsia" w:ascii="宋体" w:eastAsia="宋体" w:cs="宋体"/>
          <w:color w:val="auto"/>
          <w:sz w:val="24"/>
          <w:szCs w:val="24"/>
          <w:highlight w:val="none"/>
          <w:lang w:eastAsia="zh-CN"/>
        </w:rPr>
        <w:t>情形的，可以推荐2家成交候选供应商。评审得分相同的，按照最后报价由低到高的顺序推荐。评审得分且最后报价相同的，按照技术指标优劣顺序推荐。</w:t>
      </w:r>
    </w:p>
    <w:p w14:paraId="1D12D5C4">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评审报告应当由磋商小组全体人员签字认可。</w:t>
      </w:r>
    </w:p>
    <w:p w14:paraId="62187059">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 由的，视为同意评审报告。</w:t>
      </w:r>
    </w:p>
    <w:p w14:paraId="2975B9C7">
      <w:pPr>
        <w:kinsoku/>
        <w:spacing w:line="360" w:lineRule="auto"/>
        <w:ind w:firstLine="482" w:firstLineChars="200"/>
        <w:rPr>
          <w:rFonts w:hint="eastAsia" w:ascii="宋体" w:eastAsia="宋体" w:cs="宋体"/>
          <w:b/>
          <w:bCs/>
          <w:color w:val="auto"/>
          <w:sz w:val="24"/>
          <w:szCs w:val="24"/>
          <w:highlight w:val="none"/>
          <w:lang w:val="en-US" w:eastAsia="zh-CN"/>
        </w:rPr>
      </w:pPr>
      <w:r>
        <w:rPr>
          <w:rFonts w:hint="eastAsia" w:ascii="宋体" w:eastAsia="宋体" w:cs="宋体"/>
          <w:b/>
          <w:bCs/>
          <w:color w:val="auto"/>
          <w:sz w:val="24"/>
          <w:szCs w:val="24"/>
          <w:highlight w:val="none"/>
          <w:lang w:val="en-US" w:eastAsia="zh-CN"/>
        </w:rPr>
        <w:t>十、提交评审报告</w:t>
      </w:r>
    </w:p>
    <w:p w14:paraId="537A2DDF">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采购代理机构应当在评审结束后1个工作日内将评审报告送采购人确认。</w:t>
      </w:r>
    </w:p>
    <w:p w14:paraId="125BEE90">
      <w:pPr>
        <w:kinsoku/>
        <w:spacing w:line="360" w:lineRule="auto"/>
        <w:ind w:firstLine="482" w:firstLineChars="200"/>
        <w:rPr>
          <w:rFonts w:hint="eastAsia" w:ascii="宋体" w:eastAsia="宋体" w:cs="宋体"/>
          <w:b/>
          <w:bCs/>
          <w:color w:val="auto"/>
          <w:sz w:val="24"/>
          <w:szCs w:val="24"/>
          <w:highlight w:val="none"/>
          <w:lang w:val="en-US" w:eastAsia="zh-CN"/>
        </w:rPr>
      </w:pPr>
      <w:r>
        <w:rPr>
          <w:rFonts w:hint="eastAsia" w:ascii="宋体" w:eastAsia="宋体" w:cs="宋体"/>
          <w:b/>
          <w:bCs/>
          <w:color w:val="auto"/>
          <w:sz w:val="24"/>
          <w:szCs w:val="24"/>
          <w:highlight w:val="none"/>
          <w:lang w:val="en-US" w:eastAsia="zh-CN"/>
        </w:rPr>
        <w:t>十一、确定成交供应商</w:t>
      </w:r>
    </w:p>
    <w:p w14:paraId="4456700A">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采购人应当在收到评审报告后1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500587E">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成交供应商拒绝与采购人签订合同的，采购人可以按照评审报告推荐的成交候选供应商名单排序，确定其他供应商作为成交供应商并签订政府采购合同，也可以重新开展采购活动。拒绝签订政府采购合同的成交供应商不得参加对该项目重新开展的采购活动。</w:t>
      </w:r>
    </w:p>
    <w:p w14:paraId="0F7981B0">
      <w:pPr>
        <w:kinsoku/>
        <w:spacing w:line="360" w:lineRule="auto"/>
        <w:ind w:firstLine="482" w:firstLineChars="200"/>
        <w:rPr>
          <w:rFonts w:hint="eastAsia" w:ascii="宋体" w:eastAsia="宋体" w:cs="宋体"/>
          <w:b/>
          <w:bCs/>
          <w:color w:val="auto"/>
          <w:sz w:val="24"/>
          <w:szCs w:val="24"/>
          <w:highlight w:val="none"/>
          <w:lang w:val="en-US" w:eastAsia="zh-CN"/>
        </w:rPr>
      </w:pPr>
      <w:r>
        <w:rPr>
          <w:rFonts w:hint="eastAsia" w:ascii="宋体" w:eastAsia="宋体" w:cs="宋体"/>
          <w:b/>
          <w:bCs/>
          <w:color w:val="auto"/>
          <w:sz w:val="24"/>
          <w:szCs w:val="24"/>
          <w:highlight w:val="none"/>
          <w:lang w:val="en-US" w:eastAsia="zh-CN"/>
        </w:rPr>
        <w:t>十二、成交结果</w:t>
      </w:r>
    </w:p>
    <w:p w14:paraId="210BA443">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采购人或者采购代理机构应当在成交供应商确定后2个工作日内，在“赤峰市生态环境局”http://sthjj.chifeng.gov.cn/网站或国资智采电子招投标交易平台（https://www.gzzczb.com）上公告成交结果，同时向成交供应商发出成交通知书。</w:t>
      </w:r>
    </w:p>
    <w:p w14:paraId="4FFFEC24">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成交结果公告包括以下内容：</w:t>
      </w:r>
    </w:p>
    <w:p w14:paraId="500AE4CA">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（一）采购人和采购代理机构的名称、地址和联系方式；</w:t>
      </w:r>
    </w:p>
    <w:p w14:paraId="08D34087">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（二）项目名称和项目编号；</w:t>
      </w:r>
    </w:p>
    <w:p w14:paraId="4B98421C">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（三）成交供应商名称、地址和成交金额；</w:t>
      </w:r>
    </w:p>
    <w:p w14:paraId="4FA542DC">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（四）主要成交标的的名称、规格型号、数量、单价、服务要求；</w:t>
      </w:r>
    </w:p>
    <w:p w14:paraId="07049C74">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（五）磋商小组成员名单。</w:t>
      </w:r>
    </w:p>
    <w:p w14:paraId="0BC6FECD">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成交通知书发出后，采购人改变成交结果，或者成交供应商放弃成交，应当承担相应的法律责任。</w:t>
      </w:r>
    </w:p>
    <w:p w14:paraId="6DEE2E55">
      <w:pPr>
        <w:kinsoku/>
        <w:spacing w:line="360" w:lineRule="auto"/>
        <w:ind w:firstLine="482" w:firstLineChars="200"/>
        <w:rPr>
          <w:rFonts w:hint="eastAsia" w:ascii="宋体" w:eastAsia="宋体" w:cs="宋体"/>
          <w:b/>
          <w:bCs/>
          <w:color w:val="auto"/>
          <w:sz w:val="24"/>
          <w:szCs w:val="24"/>
          <w:highlight w:val="none"/>
          <w:lang w:val="en-US" w:eastAsia="zh-CN"/>
        </w:rPr>
      </w:pPr>
      <w:r>
        <w:rPr>
          <w:rFonts w:hint="eastAsia" w:ascii="宋体" w:eastAsia="宋体" w:cs="宋体"/>
          <w:b/>
          <w:bCs/>
          <w:color w:val="auto"/>
          <w:sz w:val="24"/>
          <w:szCs w:val="24"/>
          <w:highlight w:val="none"/>
          <w:lang w:val="en-US" w:eastAsia="zh-CN"/>
        </w:rPr>
        <w:t>十三、合同签订</w:t>
      </w:r>
    </w:p>
    <w:p w14:paraId="72C7D2BA">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1、采购人与成交供应商应当在成交通知书发出之日起7日内，按照竞争性磋商文件确定的合同文本以及采购标的、规格型号、采购金额、采购数量、技术和服务要求等事项签订政府采购合同。</w:t>
      </w:r>
    </w:p>
    <w:p w14:paraId="327F6915">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采购人不得向成交供应商提出超出竞争性磋商文件以外的任何要求作为签订合同的条件，不得与成交供应商订立背离竞争性磋商文件确定的合同样本以及采购标的、规格型号、采购金额、采购数量、技术和服务要求等实质性内容的协议。</w:t>
      </w:r>
    </w:p>
    <w:p w14:paraId="069F19BB">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3、竞争性磋商文件、响应文件及磋商过程中有关补充文件均作为合同附件，并与合同具有相同的法律效力。</w:t>
      </w:r>
    </w:p>
    <w:p w14:paraId="46BF1B54">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4、供应商应当按照合同履行义务，完成磋商项目。未经采购人同意，成交供应商不得向他人分包、转包成交项目。</w:t>
      </w:r>
    </w:p>
    <w:p w14:paraId="0CA95E54">
      <w:pPr>
        <w:kinsoku/>
        <w:spacing w:line="360" w:lineRule="auto"/>
        <w:ind w:firstLine="482" w:firstLineChars="200"/>
        <w:rPr>
          <w:rFonts w:hint="eastAsia" w:ascii="宋体" w:eastAsia="宋体" w:cs="宋体"/>
          <w:b/>
          <w:bCs/>
          <w:color w:val="auto"/>
          <w:sz w:val="24"/>
          <w:szCs w:val="24"/>
          <w:highlight w:val="none"/>
          <w:lang w:val="en-US" w:eastAsia="zh-CN"/>
        </w:rPr>
      </w:pPr>
      <w:r>
        <w:rPr>
          <w:rFonts w:hint="eastAsia" w:ascii="宋体" w:eastAsia="宋体" w:cs="宋体"/>
          <w:b/>
          <w:bCs/>
          <w:color w:val="auto"/>
          <w:sz w:val="24"/>
          <w:szCs w:val="24"/>
          <w:highlight w:val="none"/>
          <w:lang w:val="en-US" w:eastAsia="zh-CN"/>
        </w:rPr>
        <w:t>十四、验收</w:t>
      </w:r>
    </w:p>
    <w:p w14:paraId="176F289E">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项目完成后，成交供应商应当配合采购人提供验收需要的相关资料，按采购人要求的验收流程及措施对项目进行履约验收。</w:t>
      </w:r>
    </w:p>
    <w:p w14:paraId="591D3F46">
      <w:pPr>
        <w:kinsoku/>
        <w:spacing w:line="360" w:lineRule="auto"/>
        <w:ind w:firstLine="482" w:firstLineChars="200"/>
        <w:outlineLvl w:val="1"/>
        <w:rPr>
          <w:rFonts w:ascii="宋体" w:eastAsia="宋体" w:cs="宋体"/>
          <w:color w:val="auto"/>
          <w:sz w:val="24"/>
          <w:szCs w:val="24"/>
          <w:highlight w:val="none"/>
          <w:lang w:eastAsia="zh-CN"/>
        </w:rPr>
      </w:pPr>
      <w:r>
        <w:rPr>
          <w:rFonts w:hint="eastAsia" w:ascii="宋体" w:eastAsia="宋体" w:cs="宋体"/>
          <w:b/>
          <w:bCs/>
          <w:color w:val="auto"/>
          <w:sz w:val="24"/>
          <w:szCs w:val="24"/>
          <w:highlight w:val="none"/>
          <w:lang w:eastAsia="zh-CN"/>
        </w:rPr>
        <w:t>二、落实政府采购政策</w:t>
      </w:r>
      <w:bookmarkEnd w:id="21"/>
    </w:p>
    <w:p w14:paraId="1CE0FC8D">
      <w:pPr>
        <w:kinsoku/>
        <w:spacing w:line="360" w:lineRule="auto"/>
        <w:ind w:firstLine="482" w:firstLineChars="200"/>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1.节约能源、保护环境</w:t>
      </w:r>
    </w:p>
    <w:p w14:paraId="273B14AB">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采购的产品属于品目清单范围的，将依据国家确定的认证机构出具的、处于有效期之内的节能产品、环境标志产品认证证书，对获得证书的产品实施政府优先采购或强制采购，具体按照本磋商文件相关要求执行。</w:t>
      </w:r>
    </w:p>
    <w:p w14:paraId="3E90CA13">
      <w:pPr>
        <w:kinsoku/>
        <w:spacing w:line="360" w:lineRule="auto"/>
        <w:ind w:firstLine="482" w:firstLineChars="200"/>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2.促进中小企业发展</w:t>
      </w:r>
    </w:p>
    <w:p w14:paraId="4891E1A3">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2.1 采购人在政府采购活动中应当通过加强采购需求管理，落实预留采购份额、价格评审优惠、优先采购等措施，提高中小企业在政府采购中的份额，支持中小企业发展。</w:t>
      </w:r>
    </w:p>
    <w:p w14:paraId="181FEDFD">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2.2</w:t>
      </w:r>
      <w:r>
        <w:rPr>
          <w:rFonts w:hint="eastAsia" w:ascii="宋体" w:eastAsia="宋体" w:cs="宋体"/>
          <w:color w:val="auto"/>
          <w:sz w:val="24"/>
          <w:szCs w:val="24"/>
          <w:highlight w:val="none"/>
          <w:lang w:val="en-US" w:eastAsia="zh-CN"/>
        </w:rPr>
        <w:t xml:space="preserve"> </w:t>
      </w:r>
      <w:r>
        <w:rPr>
          <w:rFonts w:hint="eastAsia" w:ascii="宋体" w:eastAsia="宋体" w:cs="宋体"/>
          <w:color w:val="auto"/>
          <w:sz w:val="24"/>
          <w:szCs w:val="24"/>
          <w:highlight w:val="none"/>
          <w:lang w:eastAsia="zh-CN"/>
        </w:rPr>
        <w:t>《政府采购促进中小企业发展管理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5E0C0EFE">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2.3 在政府采购活动中，供应商提供的货物、工程或者服务符合下列情形的，享受《政府采购促进中小企业发展管理办法》规定的中小企业扶持政策：</w:t>
      </w:r>
    </w:p>
    <w:p w14:paraId="0C45C698">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（1）在货物采购项目中，货物由中小企业制造，即货物由中小企业生产且使用该中小企业商号或者注册商标；</w:t>
      </w:r>
    </w:p>
    <w:p w14:paraId="65790E7D">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（2）在工程采购项目中，工程由中小企业承建，即工程施工单位为中小企业；</w:t>
      </w:r>
    </w:p>
    <w:p w14:paraId="673FEC7F">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（3）在服务采购项目中，服务由中小企业承接，即提供服务的人员为中小企业依照《中华人民共和国劳动合同法》订立劳动合同的从业人员。</w:t>
      </w:r>
    </w:p>
    <w:p w14:paraId="55B41164">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在货物采购项目中，供应商提供的货物既有中小企业制造货物，也有大型企业制造货物的，不享受《政府采购促进中小企业发展管理办法》规定的中小企业扶持政策。</w:t>
      </w:r>
    </w:p>
    <w:p w14:paraId="18BD37FF">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以联合体形式参加政府采购活动，联合体各方均为中小企业的，联合体视同中小企业。其中，联合体各方均为小微企业的，联合体视同小微企业。</w:t>
      </w:r>
    </w:p>
    <w:p w14:paraId="47BBCA0E">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2.4 依照《政府采购促进中小企业发展管理办法》《关于政府采购支持监狱企业发展有关问题的通知》和《财政部 民政部 中国残疾人联合会关于促进残疾人就业政府采购政策的通知》的规定，凡符合要求的小型、微型企业、监狱企业或残疾人福利性单位，按照以下比例给予相应的价格扣除：</w:t>
      </w:r>
    </w:p>
    <w:tbl>
      <w:tblPr>
        <w:tblStyle w:val="39"/>
        <w:tblW w:w="97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1866"/>
        <w:gridCol w:w="1140"/>
        <w:gridCol w:w="1906"/>
        <w:gridCol w:w="4069"/>
      </w:tblGrid>
      <w:tr w14:paraId="72E17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36" w:type="dxa"/>
            <w:textDirection w:val="tbRlV"/>
            <w:vAlign w:val="top"/>
          </w:tcPr>
          <w:p w14:paraId="36454AAA">
            <w:pPr>
              <w:spacing w:before="205" w:line="212" w:lineRule="auto"/>
              <w:ind w:left="4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序号</w:t>
            </w:r>
          </w:p>
        </w:tc>
        <w:tc>
          <w:tcPr>
            <w:tcW w:w="1866" w:type="dxa"/>
            <w:vAlign w:val="top"/>
          </w:tcPr>
          <w:p w14:paraId="3FED086E">
            <w:pPr>
              <w:spacing w:before="195" w:line="219" w:lineRule="auto"/>
              <w:ind w:left="598"/>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情形</w:t>
            </w:r>
          </w:p>
        </w:tc>
        <w:tc>
          <w:tcPr>
            <w:tcW w:w="1140" w:type="dxa"/>
            <w:vAlign w:val="top"/>
          </w:tcPr>
          <w:p w14:paraId="15ACAADA">
            <w:pPr>
              <w:spacing w:before="39" w:line="224" w:lineRule="auto"/>
              <w:ind w:left="403" w:right="146" w:hanging="248"/>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适用对</w:t>
            </w:r>
            <w:r>
              <w:rPr>
                <w:rFonts w:hint="eastAsia" w:ascii="宋体" w:hAnsi="宋体" w:eastAsia="宋体" w:cs="宋体"/>
                <w:spacing w:val="1"/>
                <w:sz w:val="24"/>
                <w:szCs w:val="24"/>
                <w:highlight w:val="none"/>
              </w:rPr>
              <w:t xml:space="preserve"> </w:t>
            </w:r>
            <w:r>
              <w:rPr>
                <w:rFonts w:hint="eastAsia" w:ascii="宋体" w:hAnsi="宋体" w:eastAsia="宋体" w:cs="宋体"/>
                <w:sz w:val="24"/>
                <w:szCs w:val="24"/>
                <w:highlight w:val="none"/>
              </w:rPr>
              <w:t>象</w:t>
            </w:r>
          </w:p>
        </w:tc>
        <w:tc>
          <w:tcPr>
            <w:tcW w:w="1906" w:type="dxa"/>
            <w:vAlign w:val="top"/>
          </w:tcPr>
          <w:p w14:paraId="48F71C7E">
            <w:pPr>
              <w:spacing w:before="195" w:line="222" w:lineRule="auto"/>
              <w:ind w:left="137"/>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价格扣除比例</w:t>
            </w:r>
          </w:p>
        </w:tc>
        <w:tc>
          <w:tcPr>
            <w:tcW w:w="4069" w:type="dxa"/>
            <w:vAlign w:val="top"/>
          </w:tcPr>
          <w:p w14:paraId="401C4A1A">
            <w:pPr>
              <w:spacing w:before="196" w:line="203" w:lineRule="auto"/>
              <w:ind w:left="1340"/>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计算公式</w:t>
            </w:r>
          </w:p>
        </w:tc>
      </w:tr>
      <w:tr w14:paraId="62736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717" w:type="dxa"/>
            <w:gridSpan w:val="5"/>
            <w:vAlign w:val="top"/>
          </w:tcPr>
          <w:p w14:paraId="70DCA34F">
            <w:pPr>
              <w:spacing w:before="39" w:line="203" w:lineRule="auto"/>
              <w:ind w:left="14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注</w:t>
            </w:r>
            <w:r>
              <w:rPr>
                <w:rFonts w:hint="eastAsia" w:ascii="宋体" w:hAnsi="宋体" w:eastAsia="宋体" w:cs="宋体"/>
                <w:spacing w:val="-28"/>
                <w:w w:val="98"/>
                <w:sz w:val="24"/>
                <w:szCs w:val="24"/>
                <w:highlight w:val="none"/>
              </w:rPr>
              <w:t>：（</w:t>
            </w:r>
            <w:r>
              <w:rPr>
                <w:rFonts w:hint="eastAsia" w:ascii="宋体" w:hAnsi="宋体" w:eastAsia="宋体" w:cs="宋体"/>
                <w:spacing w:val="2"/>
                <w:sz w:val="24"/>
                <w:szCs w:val="24"/>
                <w:highlight w:val="none"/>
              </w:rPr>
              <w:t>1）上述评标价仅用于计算价格评分，成交</w:t>
            </w:r>
            <w:r>
              <w:rPr>
                <w:rFonts w:hint="eastAsia" w:ascii="宋体" w:hAnsi="宋体" w:eastAsia="宋体" w:cs="宋体"/>
                <w:spacing w:val="1"/>
                <w:sz w:val="24"/>
                <w:szCs w:val="24"/>
                <w:highlight w:val="none"/>
              </w:rPr>
              <w:t>金额以实际投标价为准。（2）</w:t>
            </w:r>
            <w:r>
              <w:rPr>
                <w:rFonts w:hint="eastAsia" w:ascii="宋体" w:hAnsi="宋体" w:eastAsia="宋体" w:cs="宋体"/>
                <w:sz w:val="24"/>
                <w:szCs w:val="24"/>
                <w:highlight w:val="none"/>
              </w:rPr>
              <w:t>组成联合</w:t>
            </w:r>
          </w:p>
          <w:p w14:paraId="4BBF24AC">
            <w:pPr>
              <w:spacing w:before="39" w:line="203" w:lineRule="auto"/>
              <w:ind w:left="141"/>
              <w:rPr>
                <w:rFonts w:hint="eastAsia" w:ascii="宋体" w:hAnsi="宋体" w:eastAsia="宋体" w:cs="宋体"/>
                <w:sz w:val="24"/>
                <w:szCs w:val="24"/>
                <w:highlight w:val="none"/>
              </w:rPr>
            </w:pPr>
            <w:r>
              <w:rPr>
                <w:rFonts w:hint="eastAsia" w:ascii="宋体" w:hAnsi="宋体" w:eastAsia="宋体" w:cs="宋体"/>
                <w:sz w:val="24"/>
                <w:szCs w:val="24"/>
                <w:highlight w:val="none"/>
              </w:rPr>
              <w:t>体的大中型企业和其他自然人、法人或</w:t>
            </w:r>
            <w:r>
              <w:rPr>
                <w:rFonts w:hint="eastAsia" w:ascii="宋体" w:hAnsi="宋体" w:eastAsia="宋体" w:cs="宋体"/>
                <w:spacing w:val="-1"/>
                <w:sz w:val="24"/>
                <w:szCs w:val="24"/>
                <w:highlight w:val="none"/>
              </w:rPr>
              <w:t>者其他组织，与小型、微型企业</w:t>
            </w:r>
            <w:r>
              <w:rPr>
                <w:rFonts w:hint="eastAsia" w:ascii="宋体" w:hAnsi="宋体" w:eastAsia="宋体" w:cs="宋体"/>
                <w:spacing w:val="-2"/>
                <w:sz w:val="24"/>
                <w:szCs w:val="24"/>
                <w:highlight w:val="none"/>
              </w:rPr>
              <w:t>之间不得存在投资关系。</w:t>
            </w:r>
          </w:p>
        </w:tc>
      </w:tr>
    </w:tbl>
    <w:p w14:paraId="60C2AF13">
      <w:pPr>
        <w:kinsoku/>
        <w:spacing w:before="240" w:beforeLines="100"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2.5 供应商属于中小企业的，应提供《中小企业声明函》；属于监狱企业的，应提供由省级以上监狱管理局、戒毒管理局（含新疆生产建设兵团）出具的属于监狱企业的证明文件；属于残疾人福利性单位的，应提供《残疾人福利性单位声明函》。供应商应当按照《中小企业声明函》《残疾人福利性单位声明函》规定格式提供（格式附后，不可修改），未按规定提供的，不得享受相关中小企业扶持政策。</w:t>
      </w:r>
    </w:p>
    <w:p w14:paraId="0B73E886">
      <w:pPr>
        <w:kinsoku/>
        <w:spacing w:line="360" w:lineRule="auto"/>
        <w:ind w:firstLine="480" w:firstLineChars="200"/>
        <w:outlineLvl w:val="9"/>
        <w:rPr>
          <w:rFonts w:hint="eastAsia" w:ascii="宋体" w:eastAsia="宋体" w:cs="宋体"/>
          <w:b/>
          <w:bCs/>
          <w:color w:val="auto"/>
          <w:sz w:val="24"/>
          <w:szCs w:val="24"/>
          <w:highlight w:val="none"/>
          <w:lang w:eastAsia="zh-CN"/>
        </w:rPr>
      </w:pPr>
      <w:r>
        <w:rPr>
          <w:rFonts w:hint="eastAsia" w:ascii="宋体" w:eastAsia="宋体" w:cs="宋体"/>
          <w:color w:val="auto"/>
          <w:sz w:val="24"/>
          <w:szCs w:val="24"/>
          <w:highlight w:val="none"/>
          <w:lang w:eastAsia="zh-CN"/>
        </w:rPr>
        <w:t>供应商应当对提供材料的真实性负责，若有虚假，将追究其法律责任。</w:t>
      </w:r>
    </w:p>
    <w:p w14:paraId="4B210ECA">
      <w:pPr>
        <w:kinsoku/>
        <w:spacing w:line="360" w:lineRule="auto"/>
        <w:ind w:firstLine="482" w:firstLineChars="200"/>
        <w:outlineLvl w:val="1"/>
        <w:rPr>
          <w:rFonts w:ascii="宋体" w:eastAsia="宋体" w:cs="宋体"/>
          <w:color w:val="auto"/>
          <w:sz w:val="24"/>
          <w:szCs w:val="24"/>
          <w:highlight w:val="none"/>
          <w:lang w:eastAsia="zh-CN"/>
        </w:rPr>
      </w:pPr>
      <w:bookmarkStart w:id="23" w:name="_Toc24185"/>
      <w:r>
        <w:rPr>
          <w:rFonts w:hint="eastAsia" w:ascii="宋体" w:eastAsia="宋体" w:cs="宋体"/>
          <w:b/>
          <w:bCs/>
          <w:color w:val="auto"/>
          <w:sz w:val="24"/>
          <w:szCs w:val="24"/>
          <w:highlight w:val="none"/>
          <w:lang w:eastAsia="zh-CN"/>
        </w:rPr>
        <w:t>三、评审程序</w:t>
      </w:r>
      <w:bookmarkEnd w:id="23"/>
    </w:p>
    <w:p w14:paraId="6FBA498D">
      <w:pPr>
        <w:kinsoku/>
        <w:spacing w:line="360" w:lineRule="auto"/>
        <w:ind w:firstLine="482" w:firstLineChars="200"/>
        <w:outlineLvl w:val="2"/>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1.资格审查</w:t>
      </w:r>
    </w:p>
    <w:p w14:paraId="53D7D6FE">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1.1 磋商小组依据法律法规和磋商文件的规定，对响应文件中的资格证明文件等进行审查，以确定供应商是否具备响应资格。</w:t>
      </w:r>
    </w:p>
    <w:p w14:paraId="48DB9619">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1.2 资格审查中有任意一项未通过的，审查结果为未通过，未通过资格审查的供应商按无效响应处理。</w:t>
      </w:r>
    </w:p>
    <w:p w14:paraId="2707AE24">
      <w:pPr>
        <w:kinsoku/>
        <w:spacing w:line="360" w:lineRule="auto"/>
        <w:ind w:firstLine="480" w:firstLineChars="200"/>
        <w:rPr>
          <w:rFonts w:ascii="宋体" w:eastAsia="宋体" w:cs="宋体"/>
          <w:color w:val="auto"/>
          <w:sz w:val="24"/>
          <w:szCs w:val="24"/>
          <w:highlight w:val="none"/>
        </w:rPr>
      </w:pPr>
      <w:r>
        <w:rPr>
          <w:rFonts w:hint="eastAsia" w:ascii="宋体" w:eastAsia="宋体" w:cs="宋体"/>
          <w:color w:val="auto"/>
          <w:sz w:val="24"/>
          <w:szCs w:val="24"/>
          <w:highlight w:val="none"/>
        </w:rPr>
        <w:t>1.3 信用记录查询</w:t>
      </w:r>
    </w:p>
    <w:p w14:paraId="19681FF1">
      <w:pPr>
        <w:kinsoku/>
        <w:spacing w:line="360" w:lineRule="auto"/>
        <w:ind w:firstLine="480" w:firstLineChars="200"/>
        <w:rPr>
          <w:rFonts w:ascii="宋体" w:eastAsia="宋体" w:cs="宋体"/>
          <w:color w:val="auto"/>
          <w:sz w:val="24"/>
          <w:szCs w:val="24"/>
          <w:highlight w:val="none"/>
        </w:rPr>
      </w:pPr>
      <w:r>
        <w:rPr>
          <w:rFonts w:hint="eastAsia" w:ascii="宋体" w:eastAsia="宋体" w:cs="宋体"/>
          <w:color w:val="auto"/>
          <w:sz w:val="24"/>
          <w:szCs w:val="24"/>
          <w:highlight w:val="none"/>
        </w:rPr>
        <w:t>查询渠道：通过“信用中国”网站(www.creditchina.gov.cn)和“中国政府采购网”（www.ccgp.gov.cn）进行查询；</w:t>
      </w:r>
    </w:p>
    <w:p w14:paraId="630510F3">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查询截止时点：本项目资格审查时查询；</w:t>
      </w:r>
    </w:p>
    <w:p w14:paraId="0611B5BB">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查询记录：对列入失信被执行人、重大税收违法失信主体名单、政府采购严重违法失信行为记录名单进行查询；</w:t>
      </w:r>
    </w:p>
    <w:p w14:paraId="5E718CA0">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磋商小组应当按照查询渠道、查询时间节点、查询记录内容进行查询</w:t>
      </w:r>
      <w:r>
        <w:rPr>
          <w:rFonts w:hint="default" w:ascii="宋体" w:hAnsi="宋体" w:eastAsia="宋体" w:cs="宋体"/>
          <w:color w:val="auto"/>
          <w:sz w:val="24"/>
          <w:szCs w:val="24"/>
          <w:highlight w:val="none"/>
          <w:lang w:val="en-US" w:eastAsia="zh-CN"/>
        </w:rPr>
        <w:t>。</w:t>
      </w:r>
      <w:r>
        <w:rPr>
          <w:rFonts w:hint="eastAsia" w:ascii="宋体" w:eastAsia="宋体" w:cs="宋体"/>
          <w:color w:val="auto"/>
          <w:sz w:val="24"/>
          <w:szCs w:val="24"/>
          <w:highlight w:val="none"/>
          <w:lang w:eastAsia="zh-CN"/>
        </w:rPr>
        <w:t>对信用记录查询结果中显示被列入失信被执行人、重大税收违法失信主体名单、政府采购严重违法失信行为记录名单的供应商将被拒绝参与政府采购活动。</w:t>
      </w:r>
    </w:p>
    <w:p w14:paraId="051BD92A">
      <w:pPr>
        <w:kinsoku/>
        <w:spacing w:line="360" w:lineRule="auto"/>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资格审查表</w:t>
      </w:r>
    </w:p>
    <w:p w14:paraId="48D86875">
      <w:pPr>
        <w:pStyle w:val="8"/>
        <w:keepNext w:val="0"/>
        <w:keepLines w:val="0"/>
        <w:pageBreakBefore w:val="0"/>
        <w:widowControl/>
        <w:kinsoku w:val="0"/>
        <w:wordWrap/>
        <w:overflowPunct/>
        <w:topLinePunct w:val="0"/>
        <w:autoSpaceDE w:val="0"/>
        <w:autoSpaceDN w:val="0"/>
        <w:bidi w:val="0"/>
        <w:adjustRightInd w:val="0"/>
        <w:snapToGrid w:val="0"/>
        <w:spacing w:before="313" w:beforeLines="100" w:line="360" w:lineRule="auto"/>
        <w:ind w:firstLine="480" w:firstLineChars="200"/>
        <w:outlineLvl w:val="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：2026年赤峰市红山区乡镇及农村集中式饮用水水源地水质监测服务项目</w:t>
      </w:r>
    </w:p>
    <w:tbl>
      <w:tblPr>
        <w:tblStyle w:val="21"/>
        <w:tblW w:w="91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3533"/>
        <w:gridCol w:w="4912"/>
      </w:tblGrid>
      <w:tr w14:paraId="04CBE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14:paraId="28D4418C">
            <w:pPr>
              <w:kinsoku/>
              <w:jc w:val="center"/>
              <w:rPr>
                <w:rFonts w:hint="eastAsia"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序号</w:t>
            </w:r>
          </w:p>
        </w:tc>
        <w:tc>
          <w:tcPr>
            <w:tcW w:w="3533" w:type="dxa"/>
            <w:shd w:val="clear" w:color="auto" w:fill="auto"/>
            <w:vAlign w:val="center"/>
          </w:tcPr>
          <w:p w14:paraId="1F75BEEB">
            <w:pPr>
              <w:kinsoku/>
              <w:jc w:val="center"/>
              <w:rPr>
                <w:rFonts w:hint="eastAsia" w:ascii="宋体" w:eastAsia="宋体" w:cs="宋体"/>
                <w:color w:val="auto"/>
                <w:sz w:val="24"/>
                <w:szCs w:val="24"/>
                <w:highlight w:val="none"/>
                <w:lang w:eastAsia="zh-CN"/>
              </w:rPr>
            </w:pPr>
            <w:r>
              <w:rPr>
                <w:rFonts w:hint="eastAsia" w:ascii="宋体" w:eastAsia="宋体" w:cs="宋体"/>
                <w:b/>
                <w:bCs/>
                <w:color w:val="auto"/>
                <w:sz w:val="24"/>
                <w:szCs w:val="24"/>
                <w:highlight w:val="none"/>
                <w:lang w:eastAsia="zh-CN"/>
              </w:rPr>
              <w:t>资格审查要求概况</w:t>
            </w:r>
          </w:p>
        </w:tc>
        <w:tc>
          <w:tcPr>
            <w:tcW w:w="4912" w:type="dxa"/>
            <w:shd w:val="clear" w:color="auto" w:fill="auto"/>
            <w:vAlign w:val="center"/>
          </w:tcPr>
          <w:p w14:paraId="69B5DD5F">
            <w:pPr>
              <w:spacing w:before="65" w:line="360" w:lineRule="auto"/>
              <w:ind w:left="0" w:leftChars="0" w:right="0" w:rightChars="0" w:firstLine="0" w:firstLineChars="0"/>
              <w:jc w:val="center"/>
              <w:rPr>
                <w:rFonts w:hint="eastAsia" w:ascii="宋体" w:eastAsia="宋体" w:cs="宋体"/>
                <w:color w:val="auto"/>
                <w:sz w:val="24"/>
                <w:szCs w:val="24"/>
                <w:highlight w:val="none"/>
                <w:lang w:eastAsia="zh-CN"/>
              </w:rPr>
            </w:pPr>
            <w:r>
              <w:rPr>
                <w:rFonts w:hint="eastAsia" w:ascii="宋体" w:eastAsia="宋体" w:cs="宋体"/>
                <w:b/>
                <w:bCs/>
                <w:color w:val="auto"/>
                <w:sz w:val="24"/>
                <w:szCs w:val="24"/>
                <w:highlight w:val="none"/>
                <w:lang w:eastAsia="zh-CN"/>
              </w:rPr>
              <w:t>评审点具体描述</w:t>
            </w:r>
          </w:p>
        </w:tc>
      </w:tr>
      <w:tr w14:paraId="46ADB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14:paraId="3C098609">
            <w:pPr>
              <w:kinsoku/>
              <w:jc w:val="center"/>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1</w:t>
            </w:r>
          </w:p>
        </w:tc>
        <w:tc>
          <w:tcPr>
            <w:tcW w:w="3533" w:type="dxa"/>
            <w:shd w:val="clear" w:color="auto" w:fill="auto"/>
            <w:vAlign w:val="center"/>
          </w:tcPr>
          <w:p w14:paraId="311B8550">
            <w:pPr>
              <w:kinsoku/>
              <w:jc w:val="center"/>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具有独立承担民事责任的能力</w:t>
            </w:r>
          </w:p>
        </w:tc>
        <w:tc>
          <w:tcPr>
            <w:tcW w:w="4912" w:type="dxa"/>
            <w:shd w:val="clear" w:color="auto" w:fill="auto"/>
            <w:vAlign w:val="center"/>
          </w:tcPr>
          <w:p w14:paraId="45E9448A">
            <w:pPr>
              <w:spacing w:before="65" w:line="360" w:lineRule="auto"/>
              <w:jc w:val="both"/>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审查供应商有效的营业执照或事业单位法人证书或执业许可证或自然人的身份证明</w:t>
            </w:r>
          </w:p>
        </w:tc>
      </w:tr>
      <w:tr w14:paraId="4AE47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14:paraId="01461D87">
            <w:pPr>
              <w:kinsoku/>
              <w:jc w:val="center"/>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2</w:t>
            </w:r>
          </w:p>
        </w:tc>
        <w:tc>
          <w:tcPr>
            <w:tcW w:w="3533" w:type="dxa"/>
            <w:shd w:val="clear" w:color="auto" w:fill="auto"/>
            <w:vAlign w:val="center"/>
          </w:tcPr>
          <w:p w14:paraId="61588B43">
            <w:pPr>
              <w:kinsoku/>
              <w:jc w:val="center"/>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具有良好的商业信誉和健全的财务会计制度</w:t>
            </w:r>
          </w:p>
        </w:tc>
        <w:tc>
          <w:tcPr>
            <w:tcW w:w="4912" w:type="dxa"/>
            <w:shd w:val="clear" w:color="auto" w:fill="auto"/>
            <w:vAlign w:val="center"/>
          </w:tcPr>
          <w:p w14:paraId="4F7A012A">
            <w:pPr>
              <w:spacing w:line="360" w:lineRule="auto"/>
              <w:jc w:val="both"/>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审查供应商出具的“具有良好的商业信誉和健全的财务会计制度”的承诺书。（格式自拟）</w:t>
            </w:r>
          </w:p>
        </w:tc>
      </w:tr>
      <w:tr w14:paraId="5315A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14:paraId="3315A168">
            <w:pPr>
              <w:kinsoku/>
              <w:jc w:val="center"/>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3</w:t>
            </w:r>
          </w:p>
        </w:tc>
        <w:tc>
          <w:tcPr>
            <w:tcW w:w="3533" w:type="dxa"/>
            <w:shd w:val="clear" w:color="auto" w:fill="auto"/>
            <w:vAlign w:val="center"/>
          </w:tcPr>
          <w:p w14:paraId="6A919175">
            <w:pPr>
              <w:kinsoku/>
              <w:jc w:val="center"/>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有依法缴纳税收和社会保障资金的良好记录</w:t>
            </w:r>
          </w:p>
        </w:tc>
        <w:tc>
          <w:tcPr>
            <w:tcW w:w="4912" w:type="dxa"/>
            <w:shd w:val="clear" w:color="auto" w:fill="auto"/>
            <w:vAlign w:val="center"/>
          </w:tcPr>
          <w:p w14:paraId="79B149A5">
            <w:pPr>
              <w:spacing w:before="65" w:line="300" w:lineRule="auto"/>
              <w:ind w:right="76"/>
              <w:jc w:val="both"/>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审查供应商出具的“具有依法缴纳税收和社会保障资金的良好记录”的承诺书。（格式自拟）</w:t>
            </w:r>
          </w:p>
        </w:tc>
      </w:tr>
      <w:tr w14:paraId="3FDFE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14:paraId="774DE973">
            <w:pPr>
              <w:kinsoku/>
              <w:jc w:val="center"/>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4</w:t>
            </w:r>
          </w:p>
        </w:tc>
        <w:tc>
          <w:tcPr>
            <w:tcW w:w="3533" w:type="dxa"/>
            <w:shd w:val="clear" w:color="auto" w:fill="auto"/>
            <w:vAlign w:val="center"/>
          </w:tcPr>
          <w:p w14:paraId="7EC00380">
            <w:pPr>
              <w:kinsoku/>
              <w:jc w:val="center"/>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具有履行合同所必需的设备和专业技术能力</w:t>
            </w:r>
          </w:p>
        </w:tc>
        <w:tc>
          <w:tcPr>
            <w:tcW w:w="4912" w:type="dxa"/>
            <w:shd w:val="clear" w:color="auto" w:fill="auto"/>
            <w:vAlign w:val="center"/>
          </w:tcPr>
          <w:p w14:paraId="7882D439">
            <w:pPr>
              <w:spacing w:before="165" w:line="300" w:lineRule="auto"/>
              <w:ind w:right="76"/>
              <w:jc w:val="both"/>
              <w:rPr>
                <w:rFonts w:ascii="宋体" w:eastAsia="宋体" w:cs="宋体"/>
                <w:color w:val="auto"/>
                <w:sz w:val="24"/>
                <w:szCs w:val="24"/>
                <w:highlight w:val="none"/>
              </w:rPr>
            </w:pPr>
            <w:r>
              <w:rPr>
                <w:rFonts w:hint="eastAsia" w:ascii="宋体" w:eastAsia="宋体" w:cs="宋体"/>
                <w:color w:val="auto"/>
                <w:sz w:val="24"/>
                <w:szCs w:val="24"/>
                <w:highlight w:val="none"/>
                <w:lang w:eastAsia="zh-CN"/>
              </w:rPr>
              <w:t>审查供应商出具的“具有履行合同所必需的设备和专业技术能力的书面声明”。</w:t>
            </w:r>
            <w:r>
              <w:rPr>
                <w:rFonts w:hint="eastAsia" w:ascii="宋体" w:eastAsia="宋体" w:cs="宋体"/>
                <w:color w:val="auto"/>
                <w:sz w:val="24"/>
                <w:szCs w:val="24"/>
                <w:highlight w:val="none"/>
              </w:rPr>
              <w:t>（格式自拟）</w:t>
            </w:r>
          </w:p>
        </w:tc>
      </w:tr>
      <w:tr w14:paraId="0BF57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14:paraId="0757F84D">
            <w:pPr>
              <w:kinsoku/>
              <w:jc w:val="center"/>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5</w:t>
            </w:r>
          </w:p>
        </w:tc>
        <w:tc>
          <w:tcPr>
            <w:tcW w:w="3533" w:type="dxa"/>
            <w:shd w:val="clear" w:color="auto" w:fill="auto"/>
            <w:vAlign w:val="center"/>
          </w:tcPr>
          <w:p w14:paraId="79DC7464">
            <w:pPr>
              <w:kinsoku/>
              <w:jc w:val="center"/>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参加政府采购活动前 3 年内在经营活动中没有重大违法记录</w:t>
            </w:r>
          </w:p>
        </w:tc>
        <w:tc>
          <w:tcPr>
            <w:tcW w:w="4912" w:type="dxa"/>
            <w:shd w:val="clear" w:color="auto" w:fill="auto"/>
            <w:vAlign w:val="center"/>
          </w:tcPr>
          <w:p w14:paraId="775151F2">
            <w:pPr>
              <w:spacing w:before="65" w:line="300" w:lineRule="auto"/>
              <w:ind w:right="76"/>
              <w:jc w:val="both"/>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审查供应商出具的“参加政府采购活动前三年内在经营活动中没有重大违法记录的书面声明”</w:t>
            </w:r>
          </w:p>
        </w:tc>
      </w:tr>
      <w:tr w14:paraId="68C96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14:paraId="0C91E01E">
            <w:pPr>
              <w:kinsoku/>
              <w:jc w:val="center"/>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6</w:t>
            </w:r>
          </w:p>
        </w:tc>
        <w:tc>
          <w:tcPr>
            <w:tcW w:w="3533" w:type="dxa"/>
            <w:shd w:val="clear" w:color="auto" w:fill="auto"/>
            <w:vAlign w:val="center"/>
          </w:tcPr>
          <w:p w14:paraId="1B8BD617">
            <w:pPr>
              <w:kinsoku/>
              <w:jc w:val="center"/>
              <w:rPr>
                <w:rFonts w:ascii="宋体" w:eastAsia="宋体" w:cs="宋体"/>
                <w:color w:val="auto"/>
                <w:sz w:val="24"/>
                <w:szCs w:val="24"/>
                <w:highlight w:val="none"/>
              </w:rPr>
            </w:pPr>
            <w:r>
              <w:rPr>
                <w:rFonts w:hint="eastAsia" w:ascii="宋体" w:eastAsia="宋体" w:cs="宋体"/>
                <w:color w:val="auto"/>
                <w:sz w:val="24"/>
                <w:szCs w:val="24"/>
                <w:highlight w:val="none"/>
              </w:rPr>
              <w:t>信用记录</w:t>
            </w:r>
          </w:p>
        </w:tc>
        <w:tc>
          <w:tcPr>
            <w:tcW w:w="4912" w:type="dxa"/>
            <w:shd w:val="clear" w:color="auto" w:fill="auto"/>
            <w:vAlign w:val="center"/>
          </w:tcPr>
          <w:p w14:paraId="25D88448">
            <w:pPr>
              <w:spacing w:line="360" w:lineRule="auto"/>
              <w:jc w:val="both"/>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供应商需提供自本项目公告发布至提交响应文件的截止时间内：</w:t>
            </w:r>
          </w:p>
          <w:p w14:paraId="42CA45CE">
            <w:pPr>
              <w:spacing w:line="360" w:lineRule="auto"/>
              <w:jc w:val="both"/>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（1）经“信用中国”网站查询的供应商未被列入“失信被执行人”、“重大税收违法失信主体名单”、“政府采购严重违法失信行为记录名单”的网页截图；</w:t>
            </w:r>
          </w:p>
          <w:p w14:paraId="7488DD26">
            <w:pPr>
              <w:spacing w:line="360" w:lineRule="auto"/>
              <w:jc w:val="both"/>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（2）经“中国政府采购网”网站查询的供应商未被列入“政府采购严重违法失信行为记录名单”的网页截图。</w:t>
            </w:r>
          </w:p>
          <w:p w14:paraId="71940117">
            <w:pPr>
              <w:spacing w:line="360" w:lineRule="auto"/>
              <w:jc w:val="both"/>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注：上述截图信息如供应商提供的不完善，磋商小组可在</w:t>
            </w:r>
            <w:r>
              <w:rPr>
                <w:rFonts w:hint="eastAsia" w:ascii="宋体" w:eastAsia="宋体" w:cs="宋体"/>
                <w:color w:val="auto"/>
                <w:sz w:val="24"/>
                <w:szCs w:val="24"/>
                <w:highlight w:val="none"/>
                <w:lang w:val="en-US" w:eastAsia="zh-CN"/>
              </w:rPr>
              <w:t>评审</w:t>
            </w:r>
            <w:r>
              <w:rPr>
                <w:rFonts w:hint="eastAsia" w:ascii="宋体" w:eastAsia="宋体" w:cs="宋体"/>
                <w:color w:val="auto"/>
                <w:sz w:val="24"/>
                <w:szCs w:val="24"/>
                <w:highlight w:val="none"/>
                <w:lang w:eastAsia="zh-CN"/>
              </w:rPr>
              <w:t>现场进行查询核实。</w:t>
            </w:r>
          </w:p>
        </w:tc>
      </w:tr>
      <w:tr w14:paraId="4A9DB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14:paraId="3ACB27B2">
            <w:pPr>
              <w:kinsoku/>
              <w:spacing w:line="360" w:lineRule="auto"/>
              <w:jc w:val="center"/>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7</w:t>
            </w:r>
          </w:p>
        </w:tc>
        <w:tc>
          <w:tcPr>
            <w:tcW w:w="3533" w:type="dxa"/>
            <w:shd w:val="clear" w:color="auto" w:fill="auto"/>
            <w:vAlign w:val="center"/>
          </w:tcPr>
          <w:p w14:paraId="2DD51DEF">
            <w:pPr>
              <w:kinsoku/>
              <w:jc w:val="center"/>
              <w:rPr>
                <w:rFonts w:hint="eastAsia" w:ascii="宋体" w:hAnsi="Arial" w:eastAsia="宋体" w:cs="宋体"/>
                <w:color w:val="auto"/>
                <w:sz w:val="24"/>
                <w:szCs w:val="24"/>
                <w:highlight w:val="none"/>
                <w:lang w:val="en-US" w:eastAsia="zh-CN" w:bidi="ar-SA"/>
              </w:rPr>
            </w:pPr>
            <w:r>
              <w:rPr>
                <w:rFonts w:hint="eastAsia" w:ascii="宋体" w:eastAsia="宋体" w:cs="宋体"/>
                <w:color w:val="auto"/>
                <w:sz w:val="24"/>
                <w:szCs w:val="24"/>
                <w:highlight w:val="none"/>
                <w:lang w:eastAsia="zh-CN"/>
              </w:rPr>
              <w:t>落实政府采购政策需满足的资格要求</w:t>
            </w:r>
          </w:p>
        </w:tc>
        <w:tc>
          <w:tcPr>
            <w:tcW w:w="4912" w:type="dxa"/>
            <w:shd w:val="clear" w:color="auto" w:fill="auto"/>
            <w:vAlign w:val="center"/>
          </w:tcPr>
          <w:p w14:paraId="72254C54">
            <w:pPr>
              <w:spacing w:line="360" w:lineRule="auto"/>
              <w:jc w:val="both"/>
              <w:rPr>
                <w:rFonts w:hint="eastAsia" w:ascii="宋体" w:hAnsi="Arial" w:eastAsia="宋体" w:cs="宋体"/>
                <w:color w:val="auto"/>
                <w:sz w:val="24"/>
                <w:szCs w:val="24"/>
                <w:highlight w:val="none"/>
                <w:lang w:val="en-US" w:eastAsia="zh-CN" w:bidi="ar-SA"/>
              </w:rPr>
            </w:pPr>
            <w:r>
              <w:rPr>
                <w:rFonts w:hint="eastAsia" w:ascii="宋体" w:hAnsi="宋体" w:eastAsia="宋体" w:cs="宋体"/>
                <w:color w:val="auto"/>
                <w:spacing w:val="0"/>
                <w:w w:val="100"/>
                <w:sz w:val="24"/>
                <w:szCs w:val="24"/>
                <w:highlight w:val="none"/>
                <w:lang w:val="en-US" w:eastAsia="zh-CN"/>
              </w:rPr>
              <w:t>专门面向中小企业（参与的供应商为符合政策要求的中小企业，响应文件中应正确填写“中小企业声明函”或“残疾人福利性单位声明函”或监狱管理局、戒毒管理局（含新疆生产建设兵团）出具的“属于监狱企业的证明文件”）</w:t>
            </w:r>
          </w:p>
        </w:tc>
      </w:tr>
      <w:tr w14:paraId="6DB01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14:paraId="33B7BD05">
            <w:pPr>
              <w:kinsoku/>
              <w:jc w:val="center"/>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8</w:t>
            </w:r>
          </w:p>
        </w:tc>
        <w:tc>
          <w:tcPr>
            <w:tcW w:w="3533" w:type="dxa"/>
            <w:shd w:val="clear" w:color="auto" w:fill="auto"/>
            <w:vAlign w:val="center"/>
          </w:tcPr>
          <w:p w14:paraId="3C5FEDA2">
            <w:pPr>
              <w:spacing w:before="166" w:line="302" w:lineRule="auto"/>
              <w:jc w:val="center"/>
              <w:rPr>
                <w:rFonts w:ascii="宋体" w:eastAsia="宋体" w:cs="宋体"/>
                <w:color w:val="auto"/>
                <w:sz w:val="24"/>
                <w:szCs w:val="24"/>
                <w:highlight w:val="none"/>
                <w:lang w:eastAsia="zh-CN"/>
              </w:rPr>
            </w:pPr>
            <w:r>
              <w:rPr>
                <w:rFonts w:hint="eastAsia" w:ascii="宋体" w:eastAsia="宋体" w:cs="宋体"/>
                <w:color w:val="auto"/>
                <w:sz w:val="24"/>
                <w:szCs w:val="24"/>
                <w:highlight w:val="none"/>
              </w:rPr>
              <w:t>特定资格要求</w:t>
            </w:r>
          </w:p>
        </w:tc>
        <w:tc>
          <w:tcPr>
            <w:tcW w:w="4912" w:type="dxa"/>
            <w:shd w:val="clear" w:color="auto" w:fill="auto"/>
            <w:vAlign w:val="center"/>
          </w:tcPr>
          <w:p w14:paraId="424297DE">
            <w:pPr>
              <w:spacing w:before="166" w:line="302" w:lineRule="auto"/>
              <w:ind w:right="78" w:rightChars="0"/>
              <w:jc w:val="both"/>
              <w:rPr>
                <w:rFonts w:hint="default" w:ascii="宋体" w:eastAsia="宋体" w:cs="宋体"/>
                <w:color w:val="auto"/>
                <w:sz w:val="24"/>
                <w:szCs w:val="24"/>
                <w:highlight w:val="none"/>
                <w:lang w:val="en-US" w:eastAsia="zh-CN"/>
              </w:rPr>
            </w:pPr>
            <w:r>
              <w:rPr>
                <w:rFonts w:hint="default" w:ascii="宋体" w:eastAsia="宋体" w:cs="宋体"/>
                <w:color w:val="auto"/>
                <w:sz w:val="24"/>
                <w:szCs w:val="24"/>
                <w:highlight w:val="none"/>
                <w:lang w:val="en-US" w:eastAsia="zh-CN"/>
              </w:rPr>
              <w:t>供应商须具备监督部门颁发的检验检测机构资质认定证书（CMA）（包含相应环境监测参数，详见第三章采购内容及技术要求）。提供资质证书及检测指标相关附件页复印件加盖公章。</w:t>
            </w:r>
          </w:p>
        </w:tc>
      </w:tr>
      <w:tr w14:paraId="3C147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4" w:type="dxa"/>
            <w:shd w:val="clear" w:color="auto" w:fill="auto"/>
            <w:vAlign w:val="center"/>
          </w:tcPr>
          <w:p w14:paraId="15A024B4">
            <w:pPr>
              <w:spacing w:before="166" w:line="302" w:lineRule="auto"/>
              <w:jc w:val="center"/>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9</w:t>
            </w:r>
          </w:p>
        </w:tc>
        <w:tc>
          <w:tcPr>
            <w:tcW w:w="3533" w:type="dxa"/>
            <w:shd w:val="clear" w:color="auto" w:fill="auto"/>
            <w:vAlign w:val="center"/>
          </w:tcPr>
          <w:p w14:paraId="0FF4EE54">
            <w:pPr>
              <w:kinsoku/>
              <w:spacing w:line="360" w:lineRule="auto"/>
              <w:jc w:val="center"/>
              <w:rPr>
                <w:rFonts w:ascii="宋体" w:eastAsia="宋体" w:cs="宋体"/>
                <w:color w:val="auto"/>
                <w:sz w:val="24"/>
                <w:szCs w:val="24"/>
                <w:highlight w:val="none"/>
              </w:rPr>
            </w:pPr>
            <w:r>
              <w:rPr>
                <w:rFonts w:hint="eastAsia" w:ascii="宋体" w:eastAsia="宋体" w:cs="宋体"/>
                <w:color w:val="auto"/>
                <w:sz w:val="24"/>
                <w:szCs w:val="24"/>
                <w:highlight w:val="none"/>
                <w:lang w:eastAsia="zh-CN"/>
              </w:rPr>
              <w:t>联合体响应（若有）</w:t>
            </w:r>
          </w:p>
        </w:tc>
        <w:tc>
          <w:tcPr>
            <w:tcW w:w="4912" w:type="dxa"/>
            <w:shd w:val="clear" w:color="auto" w:fill="auto"/>
            <w:vAlign w:val="center"/>
          </w:tcPr>
          <w:p w14:paraId="42379E18">
            <w:pPr>
              <w:spacing w:line="360" w:lineRule="auto"/>
              <w:jc w:val="both"/>
              <w:rPr>
                <w:rFonts w:ascii="宋体" w:eastAsia="宋体" w:cs="宋体"/>
                <w:color w:val="auto"/>
                <w:sz w:val="24"/>
                <w:szCs w:val="24"/>
                <w:highlight w:val="none"/>
              </w:rPr>
            </w:pPr>
            <w:r>
              <w:rPr>
                <w:rFonts w:ascii="宋体" w:hAnsi="宋体" w:eastAsia="宋体" w:cs="宋体"/>
                <w:color w:val="auto"/>
                <w:sz w:val="24"/>
                <w:szCs w:val="24"/>
                <w:highlight w:val="none"/>
              </w:rPr>
              <w:t>符合关于联合体响应的相关规定。</w:t>
            </w:r>
          </w:p>
        </w:tc>
      </w:tr>
    </w:tbl>
    <w:p w14:paraId="5E2CA344">
      <w:pPr>
        <w:kinsoku/>
        <w:spacing w:before="240" w:beforeLines="100" w:line="360" w:lineRule="auto"/>
        <w:ind w:firstLine="482" w:firstLineChars="200"/>
        <w:outlineLvl w:val="2"/>
        <w:rPr>
          <w:rFonts w:ascii="宋体" w:eastAsia="宋体" w:cs="宋体"/>
          <w:b/>
          <w:bCs/>
          <w:color w:val="auto"/>
          <w:sz w:val="24"/>
          <w:szCs w:val="24"/>
          <w:highlight w:val="none"/>
        </w:rPr>
      </w:pPr>
      <w:r>
        <w:rPr>
          <w:rFonts w:hint="eastAsia" w:ascii="宋体" w:eastAsia="宋体" w:cs="宋体"/>
          <w:b/>
          <w:bCs/>
          <w:color w:val="auto"/>
          <w:sz w:val="24"/>
          <w:szCs w:val="24"/>
          <w:highlight w:val="none"/>
        </w:rPr>
        <w:t>2.符合性审查</w:t>
      </w:r>
    </w:p>
    <w:p w14:paraId="26DB9BFB">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2.1 磋商小组依据磋商文件的规定，从响应文件的有效性、完整性和对磋商文件的响应程度进行审查，以确定是否对磋商文件的实质性要求作出响应。</w:t>
      </w:r>
    </w:p>
    <w:p w14:paraId="7D417FA9">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2.2 符合性审查中有任意一项未通过的，评审结果为未通过，未通过符合性审查的供应商按无效响应处理。</w:t>
      </w:r>
    </w:p>
    <w:p w14:paraId="3ECCE517">
      <w:pPr>
        <w:kinsoku/>
        <w:spacing w:line="360" w:lineRule="auto"/>
        <w:ind w:firstLine="562" w:firstLineChars="200"/>
        <w:jc w:val="center"/>
        <w:rPr>
          <w:rFonts w:hint="eastAsia" w:ascii="宋体" w:eastAsia="宋体" w:cs="宋体"/>
          <w:b/>
          <w:bCs/>
          <w:color w:val="auto"/>
          <w:sz w:val="28"/>
          <w:szCs w:val="28"/>
          <w:highlight w:val="none"/>
          <w:lang w:eastAsia="zh-CN"/>
        </w:rPr>
      </w:pPr>
      <w:r>
        <w:rPr>
          <w:rFonts w:hint="eastAsia" w:ascii="宋体" w:eastAsia="宋体" w:cs="宋体"/>
          <w:b/>
          <w:bCs/>
          <w:color w:val="auto"/>
          <w:sz w:val="28"/>
          <w:szCs w:val="28"/>
          <w:highlight w:val="none"/>
          <w:lang w:eastAsia="zh-CN"/>
        </w:rPr>
        <w:t>符合性审查表</w:t>
      </w:r>
    </w:p>
    <w:p w14:paraId="73BC875F">
      <w:pPr>
        <w:pStyle w:val="8"/>
        <w:keepNext w:val="0"/>
        <w:keepLines w:val="0"/>
        <w:pageBreakBefore w:val="0"/>
        <w:widowControl/>
        <w:kinsoku w:val="0"/>
        <w:wordWrap/>
        <w:overflowPunct/>
        <w:topLinePunct w:val="0"/>
        <w:autoSpaceDE w:val="0"/>
        <w:autoSpaceDN w:val="0"/>
        <w:bidi w:val="0"/>
        <w:adjustRightInd w:val="0"/>
        <w:snapToGrid w:val="0"/>
        <w:spacing w:before="313" w:beforeLines="100" w:line="360" w:lineRule="auto"/>
        <w:ind w:firstLine="480" w:firstLineChars="200"/>
        <w:outlineLvl w:val="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采购包</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：2026年赤峰市红山区乡镇及农村集中式饮用水水源地水质监测服务项目</w:t>
      </w:r>
    </w:p>
    <w:tbl>
      <w:tblPr>
        <w:tblStyle w:val="21"/>
        <w:tblW w:w="91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1"/>
        <w:gridCol w:w="3045"/>
        <w:gridCol w:w="5202"/>
      </w:tblGrid>
      <w:tr w14:paraId="03E71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71" w:type="dxa"/>
            <w:vAlign w:val="center"/>
          </w:tcPr>
          <w:p w14:paraId="78AFAE5F">
            <w:pPr>
              <w:kinsoku/>
              <w:jc w:val="center"/>
              <w:rPr>
                <w:rFonts w:hint="eastAsia"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序号</w:t>
            </w:r>
          </w:p>
        </w:tc>
        <w:tc>
          <w:tcPr>
            <w:tcW w:w="3045" w:type="dxa"/>
            <w:vAlign w:val="center"/>
          </w:tcPr>
          <w:p w14:paraId="41942DAA">
            <w:pPr>
              <w:kinsoku/>
              <w:jc w:val="center"/>
              <w:rPr>
                <w:rFonts w:hint="eastAsia" w:ascii="宋体" w:eastAsia="宋体" w:cs="宋体"/>
                <w:color w:val="auto"/>
                <w:sz w:val="24"/>
                <w:szCs w:val="24"/>
                <w:highlight w:val="none"/>
                <w:lang w:eastAsia="zh-CN"/>
              </w:rPr>
            </w:pPr>
            <w:r>
              <w:rPr>
                <w:rFonts w:hint="eastAsia" w:ascii="宋体" w:eastAsia="宋体" w:cs="宋体"/>
                <w:b/>
                <w:bCs/>
                <w:color w:val="auto"/>
                <w:sz w:val="24"/>
                <w:szCs w:val="24"/>
                <w:highlight w:val="none"/>
                <w:lang w:eastAsia="zh-CN"/>
              </w:rPr>
              <w:t>符合审查要求概况</w:t>
            </w:r>
          </w:p>
        </w:tc>
        <w:tc>
          <w:tcPr>
            <w:tcW w:w="5202" w:type="dxa"/>
            <w:vAlign w:val="center"/>
          </w:tcPr>
          <w:p w14:paraId="5154E717">
            <w:pPr>
              <w:kinsoku/>
              <w:spacing w:line="360" w:lineRule="auto"/>
              <w:ind w:left="0" w:leftChars="0" w:right="0" w:rightChars="0" w:firstLine="0" w:firstLineChars="0"/>
              <w:jc w:val="center"/>
              <w:rPr>
                <w:rFonts w:hint="eastAsia" w:ascii="宋体" w:eastAsia="宋体" w:cs="宋体"/>
                <w:color w:val="auto"/>
                <w:sz w:val="24"/>
                <w:szCs w:val="24"/>
                <w:highlight w:val="none"/>
              </w:rPr>
            </w:pPr>
            <w:r>
              <w:rPr>
                <w:rFonts w:hint="eastAsia" w:ascii="宋体" w:eastAsia="宋体" w:cs="宋体"/>
                <w:b/>
                <w:bCs/>
                <w:color w:val="auto"/>
                <w:sz w:val="24"/>
                <w:szCs w:val="24"/>
                <w:highlight w:val="none"/>
                <w:lang w:eastAsia="zh-CN"/>
              </w:rPr>
              <w:t>评审点具体描述</w:t>
            </w:r>
          </w:p>
        </w:tc>
      </w:tr>
      <w:tr w14:paraId="2A273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71" w:type="dxa"/>
            <w:vAlign w:val="center"/>
          </w:tcPr>
          <w:p w14:paraId="2D632844">
            <w:pPr>
              <w:kinsoku/>
              <w:jc w:val="center"/>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1</w:t>
            </w:r>
          </w:p>
        </w:tc>
        <w:tc>
          <w:tcPr>
            <w:tcW w:w="3045" w:type="dxa"/>
            <w:vAlign w:val="center"/>
          </w:tcPr>
          <w:p w14:paraId="0961CE55">
            <w:pPr>
              <w:kinsoku/>
              <w:jc w:val="center"/>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磋商保证金缴纳情况</w:t>
            </w:r>
          </w:p>
        </w:tc>
        <w:tc>
          <w:tcPr>
            <w:tcW w:w="5202" w:type="dxa"/>
            <w:vAlign w:val="center"/>
          </w:tcPr>
          <w:p w14:paraId="3847E3B7">
            <w:pPr>
              <w:kinsoku/>
              <w:spacing w:line="360" w:lineRule="auto"/>
              <w:jc w:val="both"/>
              <w:rPr>
                <w:rFonts w:ascii="宋体" w:eastAsia="宋体" w:cs="宋体"/>
                <w:color w:val="auto"/>
                <w:sz w:val="24"/>
                <w:szCs w:val="24"/>
                <w:highlight w:val="none"/>
              </w:rPr>
            </w:pPr>
            <w:r>
              <w:rPr>
                <w:rFonts w:hint="eastAsia" w:ascii="宋体" w:eastAsia="宋体" w:cs="宋体"/>
                <w:color w:val="auto"/>
                <w:sz w:val="24"/>
                <w:szCs w:val="24"/>
                <w:highlight w:val="none"/>
              </w:rPr>
              <w:t>本项不作要求</w:t>
            </w:r>
          </w:p>
        </w:tc>
      </w:tr>
      <w:tr w14:paraId="30A5C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71" w:type="dxa"/>
            <w:vAlign w:val="center"/>
          </w:tcPr>
          <w:p w14:paraId="2E1A32BB">
            <w:pPr>
              <w:kinsoku/>
              <w:jc w:val="center"/>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2</w:t>
            </w:r>
          </w:p>
        </w:tc>
        <w:tc>
          <w:tcPr>
            <w:tcW w:w="3045" w:type="dxa"/>
            <w:vAlign w:val="center"/>
          </w:tcPr>
          <w:p w14:paraId="1827EB09">
            <w:pPr>
              <w:kinsoku/>
              <w:jc w:val="center"/>
              <w:rPr>
                <w:rFonts w:ascii="宋体" w:eastAsia="宋体" w:cs="宋体"/>
                <w:color w:val="auto"/>
                <w:sz w:val="24"/>
                <w:szCs w:val="24"/>
                <w:highlight w:val="none"/>
              </w:rPr>
            </w:pPr>
            <w:r>
              <w:rPr>
                <w:rFonts w:hint="eastAsia" w:ascii="宋体" w:eastAsia="宋体" w:cs="宋体"/>
                <w:color w:val="auto"/>
                <w:sz w:val="24"/>
                <w:szCs w:val="24"/>
                <w:highlight w:val="none"/>
                <w:lang w:eastAsia="zh-CN"/>
              </w:rPr>
              <w:t>投标</w:t>
            </w:r>
            <w:r>
              <w:rPr>
                <w:rFonts w:hint="eastAsia" w:ascii="宋体" w:eastAsia="宋体" w:cs="宋体"/>
                <w:color w:val="auto"/>
                <w:sz w:val="24"/>
                <w:szCs w:val="24"/>
                <w:highlight w:val="none"/>
              </w:rPr>
              <w:t>报价</w:t>
            </w:r>
          </w:p>
        </w:tc>
        <w:tc>
          <w:tcPr>
            <w:tcW w:w="5202" w:type="dxa"/>
            <w:vAlign w:val="center"/>
          </w:tcPr>
          <w:p w14:paraId="0A7698C9">
            <w:pPr>
              <w:kinsoku/>
              <w:spacing w:line="360" w:lineRule="auto"/>
              <w:jc w:val="both"/>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投标报价（包括分项报价、总报价）只能有一个有效报价且不超过采购预算或最高限价，投标报价不得缺项漏项。</w:t>
            </w:r>
          </w:p>
        </w:tc>
      </w:tr>
      <w:tr w14:paraId="48A32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71" w:type="dxa"/>
            <w:vAlign w:val="center"/>
          </w:tcPr>
          <w:p w14:paraId="3623F848">
            <w:pPr>
              <w:kinsoku/>
              <w:jc w:val="center"/>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3</w:t>
            </w:r>
          </w:p>
        </w:tc>
        <w:tc>
          <w:tcPr>
            <w:tcW w:w="3045" w:type="dxa"/>
            <w:vAlign w:val="center"/>
          </w:tcPr>
          <w:p w14:paraId="130E90E7">
            <w:pPr>
              <w:kinsoku/>
              <w:jc w:val="center"/>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响应文件规范性、符合性</w:t>
            </w:r>
          </w:p>
        </w:tc>
        <w:tc>
          <w:tcPr>
            <w:tcW w:w="5202" w:type="dxa"/>
            <w:vAlign w:val="center"/>
          </w:tcPr>
          <w:p w14:paraId="5A31CEE5">
            <w:pPr>
              <w:kinsoku/>
              <w:spacing w:line="360" w:lineRule="auto"/>
              <w:jc w:val="both"/>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响应文件的签署、盖章、涂改、删除、插字、公章使用等符合竞争性磋商文件要求；响应文件的格式、文字、目录等符合竞争性磋商文件要求或对投标无实质性影响。</w:t>
            </w:r>
          </w:p>
        </w:tc>
      </w:tr>
      <w:tr w14:paraId="30F4A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71" w:type="dxa"/>
            <w:vAlign w:val="center"/>
          </w:tcPr>
          <w:p w14:paraId="6A2A373E">
            <w:pPr>
              <w:kinsoku/>
              <w:jc w:val="center"/>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4</w:t>
            </w:r>
          </w:p>
        </w:tc>
        <w:tc>
          <w:tcPr>
            <w:tcW w:w="3045" w:type="dxa"/>
            <w:vAlign w:val="center"/>
          </w:tcPr>
          <w:p w14:paraId="294F8462">
            <w:pPr>
              <w:kinsoku/>
              <w:jc w:val="center"/>
              <w:rPr>
                <w:rFonts w:ascii="宋体" w:eastAsia="宋体" w:cs="宋体"/>
                <w:color w:val="auto"/>
                <w:sz w:val="24"/>
                <w:szCs w:val="24"/>
                <w:highlight w:val="none"/>
              </w:rPr>
            </w:pPr>
            <w:r>
              <w:rPr>
                <w:rFonts w:hint="eastAsia" w:ascii="宋体" w:eastAsia="宋体" w:cs="宋体"/>
                <w:color w:val="auto"/>
                <w:sz w:val="24"/>
                <w:szCs w:val="24"/>
                <w:highlight w:val="none"/>
              </w:rPr>
              <w:t>主要商务条款</w:t>
            </w:r>
          </w:p>
        </w:tc>
        <w:tc>
          <w:tcPr>
            <w:tcW w:w="5202" w:type="dxa"/>
            <w:vAlign w:val="center"/>
          </w:tcPr>
          <w:p w14:paraId="19DB3921">
            <w:pPr>
              <w:kinsoku/>
              <w:spacing w:line="360" w:lineRule="auto"/>
              <w:jc w:val="both"/>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审查供应商出具的“主要商务要求承诺书”。</w:t>
            </w:r>
          </w:p>
        </w:tc>
      </w:tr>
      <w:tr w14:paraId="4F53B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71" w:type="dxa"/>
            <w:vAlign w:val="center"/>
          </w:tcPr>
          <w:p w14:paraId="6445298D">
            <w:pPr>
              <w:kinsoku/>
              <w:jc w:val="center"/>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5</w:t>
            </w:r>
          </w:p>
        </w:tc>
        <w:tc>
          <w:tcPr>
            <w:tcW w:w="3045" w:type="dxa"/>
            <w:vAlign w:val="center"/>
          </w:tcPr>
          <w:p w14:paraId="2AFF36B4">
            <w:pPr>
              <w:kinsoku/>
              <w:jc w:val="center"/>
              <w:rPr>
                <w:rFonts w:ascii="宋体" w:eastAsia="宋体" w:cs="宋体"/>
                <w:color w:val="auto"/>
                <w:sz w:val="24"/>
                <w:szCs w:val="24"/>
                <w:highlight w:val="none"/>
              </w:rPr>
            </w:pPr>
            <w:r>
              <w:rPr>
                <w:rFonts w:hint="eastAsia" w:ascii="宋体" w:eastAsia="宋体" w:cs="宋体"/>
                <w:color w:val="auto"/>
                <w:sz w:val="24"/>
                <w:szCs w:val="24"/>
                <w:highlight w:val="none"/>
              </w:rPr>
              <w:t>技术部分实质性内容</w:t>
            </w:r>
          </w:p>
        </w:tc>
        <w:tc>
          <w:tcPr>
            <w:tcW w:w="5202" w:type="dxa"/>
            <w:vAlign w:val="center"/>
          </w:tcPr>
          <w:p w14:paraId="6058BF9E">
            <w:pPr>
              <w:kinsoku/>
              <w:spacing w:line="360" w:lineRule="auto"/>
              <w:jc w:val="both"/>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1.明确所投</w:t>
            </w:r>
            <w:r>
              <w:rPr>
                <w:rFonts w:hint="eastAsia" w:ascii="宋体" w:eastAsia="宋体" w:cs="宋体"/>
                <w:color w:val="auto"/>
                <w:sz w:val="24"/>
                <w:szCs w:val="24"/>
                <w:highlight w:val="none"/>
                <w:lang w:val="en-US" w:eastAsia="zh-CN"/>
              </w:rPr>
              <w:t>标的</w:t>
            </w:r>
            <w:r>
              <w:rPr>
                <w:rFonts w:hint="eastAsia" w:ascii="宋体" w:eastAsia="宋体" w:cs="宋体"/>
                <w:color w:val="auto"/>
                <w:sz w:val="24"/>
                <w:szCs w:val="24"/>
                <w:highlight w:val="none"/>
                <w:lang w:eastAsia="zh-CN"/>
              </w:rPr>
              <w:t>的产品品牌、规格型号或服务内容或工程量；</w:t>
            </w:r>
          </w:p>
          <w:p w14:paraId="7F1C8C9E">
            <w:pPr>
              <w:kinsoku/>
              <w:spacing w:line="360" w:lineRule="auto"/>
              <w:jc w:val="both"/>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2.响应文件应当对磋商文件提出的要求和条件作出明确响应并满足磋商文件全部实质性要求。</w:t>
            </w:r>
          </w:p>
        </w:tc>
      </w:tr>
      <w:tr w14:paraId="2CAF1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71" w:type="dxa"/>
            <w:vAlign w:val="center"/>
          </w:tcPr>
          <w:p w14:paraId="221B3EC0">
            <w:pPr>
              <w:kinsoku/>
              <w:jc w:val="center"/>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6</w:t>
            </w:r>
          </w:p>
        </w:tc>
        <w:tc>
          <w:tcPr>
            <w:tcW w:w="3045" w:type="dxa"/>
            <w:vAlign w:val="center"/>
          </w:tcPr>
          <w:p w14:paraId="03338820">
            <w:pPr>
              <w:kinsoku/>
              <w:jc w:val="center"/>
              <w:rPr>
                <w:rFonts w:ascii="宋体" w:eastAsia="宋体" w:cs="宋体"/>
                <w:color w:val="auto"/>
                <w:sz w:val="24"/>
                <w:szCs w:val="24"/>
                <w:highlight w:val="none"/>
              </w:rPr>
            </w:pPr>
            <w:r>
              <w:rPr>
                <w:rFonts w:hint="eastAsia" w:ascii="宋体" w:eastAsia="宋体" w:cs="宋体"/>
                <w:color w:val="auto"/>
                <w:sz w:val="24"/>
                <w:szCs w:val="24"/>
                <w:highlight w:val="none"/>
              </w:rPr>
              <w:t>其他要求</w:t>
            </w:r>
          </w:p>
        </w:tc>
        <w:tc>
          <w:tcPr>
            <w:tcW w:w="5202" w:type="dxa"/>
            <w:vAlign w:val="center"/>
          </w:tcPr>
          <w:p w14:paraId="571B6B5B">
            <w:pPr>
              <w:kinsoku/>
              <w:spacing w:line="360" w:lineRule="auto"/>
              <w:jc w:val="both"/>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磋商文件要求的其他无效投标情形；围标、串标和法律法规规定的其它无效投标条款。</w:t>
            </w:r>
          </w:p>
        </w:tc>
      </w:tr>
    </w:tbl>
    <w:p w14:paraId="66D89D10">
      <w:pPr>
        <w:keepNext w:val="0"/>
        <w:keepLines w:val="0"/>
        <w:pageBreakBefore w:val="0"/>
        <w:widowControl/>
        <w:kinsoku/>
        <w:wordWrap/>
        <w:overflowPunct/>
        <w:topLinePunct w:val="0"/>
        <w:autoSpaceDE w:val="0"/>
        <w:autoSpaceDN w:val="0"/>
        <w:bidi w:val="0"/>
        <w:adjustRightInd w:val="0"/>
        <w:snapToGrid w:val="0"/>
        <w:spacing w:before="240" w:beforeLines="100" w:line="360" w:lineRule="auto"/>
        <w:ind w:firstLine="482" w:firstLineChars="200"/>
        <w:outlineLvl w:val="2"/>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3.磋商</w:t>
      </w:r>
    </w:p>
    <w:p w14:paraId="5F5DD40C">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磋商小组所有成员应当集中与单一供应商分别进行磋商，并给予所有参加磋商的供应商平等的磋商机会。</w:t>
      </w:r>
    </w:p>
    <w:p w14:paraId="41F2CAFC">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在磋商过程中，磋商小组可以根据磋商文件和磋商情况实质性变动采购需求中的技术、服务要求以及合同草案条款，但不得变动磋商文件中的其他内容。实质性变动的内容，须经采购人代表确认。</w:t>
      </w:r>
    </w:p>
    <w:p w14:paraId="4CA62F82">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对磋商文件作出的实质性变动是磋商文件的有效组成部分，磋商小组应当及时通过国资智采电子招投标交易平台通知所有参加磋商的供应商。</w:t>
      </w:r>
    </w:p>
    <w:p w14:paraId="6F9436E5">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39A59953">
      <w:pPr>
        <w:kinsoku/>
        <w:spacing w:line="360" w:lineRule="auto"/>
        <w:ind w:firstLine="482" w:firstLineChars="200"/>
        <w:outlineLvl w:val="2"/>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eastAsia="zh-CN"/>
        </w:rPr>
        <w:t>4.最后报价</w:t>
      </w:r>
    </w:p>
    <w:p w14:paraId="0869F695">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磋商结束后，磋商小组应当要求所有实质性响应的供应商在规定时间内提交最后报价。最后报价是供应商响应文件的有效组成部分。</w:t>
      </w:r>
    </w:p>
    <w:p w14:paraId="44219559">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已提交响应文件的供应商，在提交最后报价之前，可以根据磋商情况退出磋商。</w:t>
      </w:r>
    </w:p>
    <w:p w14:paraId="41ABD9CB">
      <w:pPr>
        <w:kinsoku/>
        <w:spacing w:line="360" w:lineRule="auto"/>
        <w:ind w:firstLine="480" w:firstLineChars="200"/>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磋商结束后，确认继续响应的供应商应在规定时间内提交最后报价。</w:t>
      </w:r>
    </w:p>
    <w:p w14:paraId="6107394C">
      <w:pPr>
        <w:kinsoku/>
        <w:spacing w:line="360" w:lineRule="auto"/>
        <w:ind w:firstLine="480" w:firstLineChars="200"/>
        <w:outlineLvl w:val="9"/>
        <w:rPr>
          <w:rFonts w:hint="eastAsia" w:ascii="宋体" w:eastAsia="宋体" w:cs="宋体"/>
          <w:b/>
          <w:bCs/>
          <w:color w:val="auto"/>
          <w:sz w:val="24"/>
          <w:szCs w:val="24"/>
          <w:highlight w:val="none"/>
          <w:lang w:val="en-US" w:eastAsia="zh-CN"/>
        </w:rPr>
      </w:pPr>
      <w:r>
        <w:rPr>
          <w:rFonts w:hint="eastAsia" w:ascii="宋体" w:eastAsia="宋体" w:cs="宋体"/>
          <w:color w:val="auto"/>
          <w:sz w:val="24"/>
          <w:szCs w:val="24"/>
          <w:highlight w:val="none"/>
          <w:lang w:eastAsia="zh-CN"/>
        </w:rPr>
        <w:t>未在最终轮次规定时间内进行响应的，视为不再参与该政府采购活动。</w:t>
      </w:r>
    </w:p>
    <w:p w14:paraId="56EB6B6C">
      <w:pPr>
        <w:kinsoku/>
        <w:spacing w:line="360" w:lineRule="auto"/>
        <w:ind w:firstLine="482" w:firstLineChars="200"/>
        <w:outlineLvl w:val="2"/>
        <w:rPr>
          <w:rFonts w:hint="default" w:ascii="宋体" w:eastAsia="宋体" w:cs="宋体"/>
          <w:b/>
          <w:bCs/>
          <w:color w:val="auto"/>
          <w:sz w:val="24"/>
          <w:szCs w:val="24"/>
          <w:highlight w:val="none"/>
          <w:lang w:val="en-US" w:eastAsia="zh-CN"/>
        </w:rPr>
      </w:pPr>
      <w:r>
        <w:rPr>
          <w:rFonts w:hint="eastAsia" w:ascii="宋体" w:eastAsia="宋体" w:cs="宋体"/>
          <w:b/>
          <w:bCs/>
          <w:color w:val="auto"/>
          <w:sz w:val="24"/>
          <w:szCs w:val="24"/>
          <w:highlight w:val="none"/>
          <w:lang w:val="en-US" w:eastAsia="zh-CN"/>
        </w:rPr>
        <w:t>5.报价评审</w:t>
      </w:r>
    </w:p>
    <w:p w14:paraId="09738277">
      <w:pPr>
        <w:kinsoku/>
        <w:spacing w:line="360" w:lineRule="auto"/>
        <w:ind w:firstLine="480" w:firstLineChars="200"/>
        <w:outlineLvl w:val="9"/>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评审中出现下列情形之一的，评审委员会应当启动异常低价投标（响应）审查程序：</w:t>
      </w:r>
    </w:p>
    <w:p w14:paraId="7AD41B7D">
      <w:pPr>
        <w:kinsoku/>
        <w:spacing w:line="360" w:lineRule="auto"/>
        <w:ind w:firstLine="480" w:firstLineChars="200"/>
        <w:outlineLvl w:val="9"/>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3F2B8408">
      <w:pPr>
        <w:kinsoku/>
        <w:spacing w:line="360" w:lineRule="auto"/>
        <w:ind w:firstLine="480" w:firstLineChars="200"/>
        <w:outlineLvl w:val="9"/>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050CBABC">
      <w:pPr>
        <w:kinsoku/>
        <w:spacing w:line="360" w:lineRule="auto"/>
        <w:ind w:firstLine="480" w:firstLineChars="200"/>
        <w:outlineLvl w:val="9"/>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3.投标（响应）报价低于采购项目最高限价45%的，即投标（响应）报价&lt;采购项目最高限价×45%；</w:t>
      </w:r>
    </w:p>
    <w:p w14:paraId="1C56BA43">
      <w:pPr>
        <w:kinsoku/>
        <w:spacing w:line="360" w:lineRule="auto"/>
        <w:ind w:firstLine="480" w:firstLineChars="200"/>
        <w:outlineLvl w:val="9"/>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4.评审委员会基于专业判断，认为供应商报价过低，有可能影响产品质量或者不能诚信履约的其他情形。</w:t>
      </w:r>
    </w:p>
    <w:p w14:paraId="4CCC39D6">
      <w:pPr>
        <w:kinsoku/>
        <w:spacing w:line="360" w:lineRule="auto"/>
        <w:ind w:firstLine="480" w:firstLineChars="200"/>
        <w:outlineLvl w:val="9"/>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采购人可以结合具体项目实际情况，提高上述第1项至第3项中启动异常低价投标（响应）审查的数值标准，但是最高不得超过65%。</w:t>
      </w:r>
    </w:p>
    <w:p w14:paraId="68D6F610">
      <w:pPr>
        <w:kinsoku/>
        <w:spacing w:line="360" w:lineRule="auto"/>
        <w:ind w:firstLine="480" w:firstLineChars="200"/>
        <w:outlineLvl w:val="9"/>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相关法律法规对供应商报价有规定的，从其规定。</w:t>
      </w:r>
    </w:p>
    <w:p w14:paraId="68AF1C93">
      <w:pPr>
        <w:kinsoku/>
        <w:spacing w:line="360" w:lineRule="auto"/>
        <w:ind w:firstLine="480" w:firstLineChars="200"/>
        <w:outlineLvl w:val="9"/>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BEFC581">
      <w:pPr>
        <w:kinsoku/>
        <w:spacing w:line="360" w:lineRule="auto"/>
        <w:ind w:firstLine="480" w:firstLineChars="200"/>
        <w:outlineLvl w:val="9"/>
        <w:rPr>
          <w:rFonts w:hint="eastAsia" w:ascii="宋体" w:eastAsia="宋体" w:cs="宋体"/>
          <w:b/>
          <w:bCs/>
          <w:color w:val="auto"/>
          <w:sz w:val="24"/>
          <w:szCs w:val="24"/>
          <w:highlight w:val="none"/>
          <w:lang w:eastAsia="zh-CN"/>
        </w:rPr>
      </w:pPr>
      <w:r>
        <w:rPr>
          <w:rFonts w:hint="eastAsia" w:ascii="宋体" w:eastAsia="宋体" w:cs="宋体"/>
          <w:color w:val="auto"/>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99104D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2" w:firstLineChars="200"/>
        <w:jc w:val="both"/>
        <w:outlineLvl w:val="2"/>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val="en-US" w:eastAsia="zh-CN"/>
        </w:rPr>
        <w:t>6</w:t>
      </w:r>
      <w:r>
        <w:rPr>
          <w:rFonts w:hint="eastAsia" w:ascii="宋体" w:eastAsia="宋体" w:cs="宋体"/>
          <w:b/>
          <w:bCs/>
          <w:color w:val="auto"/>
          <w:sz w:val="24"/>
          <w:szCs w:val="24"/>
          <w:highlight w:val="none"/>
        </w:rPr>
        <w:t>.</w:t>
      </w:r>
      <w:r>
        <w:rPr>
          <w:rFonts w:hint="eastAsia" w:ascii="宋体" w:eastAsia="宋体" w:cs="宋体"/>
          <w:b/>
          <w:bCs/>
          <w:color w:val="auto"/>
          <w:sz w:val="24"/>
          <w:szCs w:val="24"/>
          <w:highlight w:val="none"/>
          <w:lang w:eastAsia="zh-CN"/>
        </w:rPr>
        <w:t>综合评分</w:t>
      </w:r>
    </w:p>
    <w:p w14:paraId="5EB9B5C5">
      <w:pPr>
        <w:kinsoku/>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由磋商小组采用综合评分法对提交最后报价的供应商的响应文件和最后报价进行综合评分（得分四舍五入保留两位小数）。</w:t>
      </w:r>
    </w:p>
    <w:p w14:paraId="5FCD918C">
      <w:pPr>
        <w:pStyle w:val="8"/>
        <w:keepNext w:val="0"/>
        <w:keepLines w:val="0"/>
        <w:pageBreakBefore w:val="0"/>
        <w:widowControl/>
        <w:kinsoku w:val="0"/>
        <w:wordWrap/>
        <w:overflowPunct/>
        <w:topLinePunct w:val="0"/>
        <w:autoSpaceDE w:val="0"/>
        <w:autoSpaceDN w:val="0"/>
        <w:bidi w:val="0"/>
        <w:adjustRightInd w:val="0"/>
        <w:snapToGrid w:val="0"/>
        <w:spacing w:before="313" w:beforeLines="100" w:line="360" w:lineRule="auto"/>
        <w:ind w:firstLine="480" w:firstLineChars="200"/>
        <w:outlineLvl w:val="3"/>
        <w:rPr>
          <w:rFonts w:hint="default"/>
          <w:color w:val="auto"/>
          <w:sz w:val="24"/>
          <w:szCs w:val="24"/>
          <w:highlight w:val="none"/>
          <w:lang w:val="en-US" w:eastAsia="zh-CN"/>
        </w:rPr>
      </w:pPr>
      <w:r>
        <w:rPr>
          <w:rFonts w:hint="eastAsia" w:ascii="宋体" w:eastAsia="宋体" w:cs="宋体"/>
          <w:color w:val="auto"/>
          <w:sz w:val="24"/>
          <w:szCs w:val="24"/>
          <w:highlight w:val="none"/>
          <w:lang w:eastAsia="zh-CN"/>
        </w:rPr>
        <w:t>采购包</w:t>
      </w:r>
      <w:r>
        <w:rPr>
          <w:rFonts w:hint="eastAsia" w:ascii="宋体" w:eastAsia="宋体" w:cs="宋体"/>
          <w:color w:val="auto"/>
          <w:sz w:val="24"/>
          <w:szCs w:val="24"/>
          <w:highlight w:val="none"/>
          <w:lang w:val="en-US" w:eastAsia="zh-CN"/>
        </w:rPr>
        <w:t>1：2026年赤峰市红山区乡镇及农村集中式饮用水水源地水质监测服务项目</w:t>
      </w:r>
    </w:p>
    <w:tbl>
      <w:tblPr>
        <w:tblStyle w:val="21"/>
        <w:tblW w:w="50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1" w:type="dxa"/>
          <w:bottom w:w="0" w:type="dxa"/>
          <w:right w:w="11" w:type="dxa"/>
        </w:tblCellMar>
      </w:tblPr>
      <w:tblGrid>
        <w:gridCol w:w="1073"/>
        <w:gridCol w:w="2502"/>
        <w:gridCol w:w="6213"/>
      </w:tblGrid>
      <w:tr w14:paraId="44256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67" w:hRule="atLeast"/>
          <w:jc w:val="center"/>
        </w:trPr>
        <w:tc>
          <w:tcPr>
            <w:tcW w:w="1826" w:type="pct"/>
            <w:gridSpan w:val="2"/>
            <w:noWrap w:val="0"/>
            <w:vAlign w:val="center"/>
          </w:tcPr>
          <w:p w14:paraId="443D1D7F">
            <w:pPr>
              <w:keepNext w:val="0"/>
              <w:keepLines w:val="0"/>
              <w:pageBreakBefore w:val="0"/>
              <w:widowControl w:val="0"/>
              <w:kinsoku/>
              <w:wordWrap w:val="0"/>
              <w:overflowPunct/>
              <w:topLinePunct w:val="0"/>
              <w:autoSpaceDE w:val="0"/>
              <w:autoSpaceDN w:val="0"/>
              <w:bidi w:val="0"/>
              <w:adjustRightInd/>
              <w:snapToGrid/>
              <w:spacing w:line="420" w:lineRule="exact"/>
              <w:jc w:val="center"/>
              <w:textAlignment w:val="auto"/>
              <w:rPr>
                <w:rFonts w:hint="eastAsia" w:ascii="宋体" w:hAnsi="宋体" w:eastAsia="宋体" w:cs="宋体"/>
                <w:b/>
                <w:bCs/>
                <w:color w:val="auto"/>
                <w:spacing w:val="0"/>
                <w:w w:val="100"/>
                <w:sz w:val="21"/>
                <w:szCs w:val="21"/>
                <w:highlight w:val="none"/>
              </w:rPr>
            </w:pPr>
            <w:r>
              <w:rPr>
                <w:rFonts w:hint="eastAsia" w:ascii="宋体" w:hAnsi="宋体" w:eastAsia="宋体" w:cs="宋体"/>
                <w:b/>
                <w:bCs/>
                <w:color w:val="auto"/>
                <w:spacing w:val="0"/>
                <w:w w:val="100"/>
                <w:sz w:val="21"/>
                <w:szCs w:val="21"/>
                <w:highlight w:val="none"/>
              </w:rPr>
              <w:t>评审因素</w:t>
            </w:r>
          </w:p>
        </w:tc>
        <w:tc>
          <w:tcPr>
            <w:tcW w:w="3173" w:type="pct"/>
            <w:noWrap w:val="0"/>
            <w:vAlign w:val="center"/>
          </w:tcPr>
          <w:p w14:paraId="5DD1247C">
            <w:pPr>
              <w:keepNext w:val="0"/>
              <w:keepLines w:val="0"/>
              <w:pageBreakBefore w:val="0"/>
              <w:widowControl w:val="0"/>
              <w:kinsoku/>
              <w:wordWrap w:val="0"/>
              <w:overflowPunct/>
              <w:topLinePunct w:val="0"/>
              <w:autoSpaceDE w:val="0"/>
              <w:autoSpaceDN w:val="0"/>
              <w:bidi w:val="0"/>
              <w:adjustRightInd/>
              <w:snapToGrid/>
              <w:spacing w:line="420" w:lineRule="exact"/>
              <w:jc w:val="center"/>
              <w:textAlignment w:val="auto"/>
              <w:rPr>
                <w:rFonts w:hint="eastAsia" w:ascii="宋体" w:hAnsi="宋体" w:eastAsia="宋体" w:cs="宋体"/>
                <w:b/>
                <w:bCs/>
                <w:color w:val="auto"/>
                <w:spacing w:val="0"/>
                <w:w w:val="100"/>
                <w:sz w:val="21"/>
                <w:szCs w:val="21"/>
                <w:highlight w:val="none"/>
              </w:rPr>
            </w:pPr>
            <w:r>
              <w:rPr>
                <w:rFonts w:hint="eastAsia" w:ascii="宋体" w:hAnsi="宋体" w:eastAsia="宋体" w:cs="宋体"/>
                <w:b/>
                <w:bCs/>
                <w:color w:val="auto"/>
                <w:spacing w:val="0"/>
                <w:w w:val="100"/>
                <w:sz w:val="21"/>
                <w:szCs w:val="21"/>
                <w:highlight w:val="none"/>
              </w:rPr>
              <w:t>评审标准</w:t>
            </w:r>
          </w:p>
        </w:tc>
      </w:tr>
      <w:tr w14:paraId="2B80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67" w:hRule="atLeast"/>
          <w:jc w:val="center"/>
        </w:trPr>
        <w:tc>
          <w:tcPr>
            <w:tcW w:w="1826" w:type="pct"/>
            <w:gridSpan w:val="2"/>
            <w:noWrap w:val="0"/>
            <w:vAlign w:val="center"/>
          </w:tcPr>
          <w:p w14:paraId="674C3704">
            <w:pPr>
              <w:keepNext w:val="0"/>
              <w:keepLines w:val="0"/>
              <w:pageBreakBefore w:val="0"/>
              <w:widowControl w:val="0"/>
              <w:kinsoku/>
              <w:wordWrap w:val="0"/>
              <w:overflowPunct/>
              <w:topLinePunct w:val="0"/>
              <w:autoSpaceDE w:val="0"/>
              <w:autoSpaceDN w:val="0"/>
              <w:bidi w:val="0"/>
              <w:adjustRightInd/>
              <w:snapToGrid/>
              <w:spacing w:line="420" w:lineRule="exact"/>
              <w:jc w:val="center"/>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z w:val="21"/>
                <w:szCs w:val="21"/>
                <w:highlight w:val="none"/>
                <w:lang w:val="en-US" w:eastAsia="zh-CN"/>
              </w:rPr>
              <w:t>分值构成</w:t>
            </w:r>
          </w:p>
        </w:tc>
        <w:tc>
          <w:tcPr>
            <w:tcW w:w="3173" w:type="pct"/>
            <w:noWrap w:val="0"/>
            <w:vAlign w:val="top"/>
          </w:tcPr>
          <w:p w14:paraId="5A2F83C5">
            <w:pPr>
              <w:keepNext w:val="0"/>
              <w:keepLines w:val="0"/>
              <w:pageBreakBefore w:val="0"/>
              <w:widowControl w:val="0"/>
              <w:kinsoku/>
              <w:wordWrap w:val="0"/>
              <w:overflowPunct/>
              <w:topLinePunct w:val="0"/>
              <w:autoSpaceDE w:val="0"/>
              <w:autoSpaceDN w:val="0"/>
              <w:bidi w:val="0"/>
              <w:adjustRightInd/>
              <w:snapToGrid/>
              <w:spacing w:line="420" w:lineRule="exact"/>
              <w:jc w:val="both"/>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1.技术部分75分</w:t>
            </w:r>
          </w:p>
          <w:p w14:paraId="36EE8D97">
            <w:pPr>
              <w:keepNext w:val="0"/>
              <w:keepLines w:val="0"/>
              <w:pageBreakBefore w:val="0"/>
              <w:widowControl w:val="0"/>
              <w:kinsoku/>
              <w:wordWrap w:val="0"/>
              <w:overflowPunct/>
              <w:topLinePunct w:val="0"/>
              <w:autoSpaceDE w:val="0"/>
              <w:autoSpaceDN w:val="0"/>
              <w:bidi w:val="0"/>
              <w:adjustRightInd/>
              <w:snapToGrid/>
              <w:spacing w:line="420" w:lineRule="exact"/>
              <w:jc w:val="both"/>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2.商务部分15分</w:t>
            </w:r>
          </w:p>
          <w:p w14:paraId="5CB0CD1A">
            <w:pPr>
              <w:keepNext w:val="0"/>
              <w:keepLines w:val="0"/>
              <w:pageBreakBefore w:val="0"/>
              <w:widowControl w:val="0"/>
              <w:kinsoku/>
              <w:wordWrap w:val="0"/>
              <w:overflowPunct/>
              <w:topLinePunct w:val="0"/>
              <w:autoSpaceDE w:val="0"/>
              <w:autoSpaceDN w:val="0"/>
              <w:bidi w:val="0"/>
              <w:adjustRightInd/>
              <w:snapToGrid/>
              <w:spacing w:line="420" w:lineRule="exact"/>
              <w:jc w:val="both"/>
              <w:textAlignment w:val="auto"/>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lang w:val="en-US" w:eastAsia="zh-CN"/>
              </w:rPr>
              <w:t>3.报价部分10分</w:t>
            </w:r>
          </w:p>
        </w:tc>
      </w:tr>
      <w:tr w14:paraId="1958B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67" w:hRule="atLeast"/>
          <w:jc w:val="center"/>
        </w:trPr>
        <w:tc>
          <w:tcPr>
            <w:tcW w:w="548" w:type="pct"/>
            <w:vMerge w:val="restart"/>
            <w:noWrap w:val="0"/>
            <w:vAlign w:val="center"/>
          </w:tcPr>
          <w:p w14:paraId="0703DBBF">
            <w:pPr>
              <w:pStyle w:val="17"/>
              <w:pageBreakBefore w:val="0"/>
              <w:wordWrap w:val="0"/>
              <w:topLinePunct w:val="0"/>
              <w:bidi w:val="0"/>
              <w:jc w:val="center"/>
              <w:rPr>
                <w:rFonts w:hint="default" w:ascii="宋体" w:hAnsi="宋体" w:eastAsia="宋体" w:cs="宋体"/>
                <w:spacing w:val="0"/>
                <w:w w:val="100"/>
                <w:sz w:val="21"/>
                <w:szCs w:val="21"/>
                <w:highlight w:val="none"/>
                <w:lang w:val="en-US" w:eastAsia="zh-CN"/>
              </w:rPr>
            </w:pPr>
            <w:r>
              <w:rPr>
                <w:rFonts w:hint="eastAsia" w:ascii="宋体" w:hAnsi="宋体" w:cs="宋体"/>
                <w:spacing w:val="0"/>
                <w:w w:val="100"/>
                <w:sz w:val="21"/>
                <w:szCs w:val="21"/>
                <w:highlight w:val="none"/>
                <w:lang w:val="en-US" w:eastAsia="zh-CN"/>
              </w:rPr>
              <w:t>技术部分</w:t>
            </w:r>
          </w:p>
        </w:tc>
        <w:tc>
          <w:tcPr>
            <w:tcW w:w="1278" w:type="pct"/>
            <w:noWrap w:val="0"/>
            <w:vAlign w:val="center"/>
          </w:tcPr>
          <w:p w14:paraId="7DF439AD">
            <w:pPr>
              <w:spacing w:line="400" w:lineRule="exact"/>
              <w:jc w:val="center"/>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整体服务方案</w:t>
            </w:r>
            <w:r>
              <w:rPr>
                <w:rFonts w:hint="eastAsia" w:ascii="宋体" w:hAnsi="宋体" w:eastAsia="宋体" w:cs="宋体"/>
                <w:strike w:val="0"/>
                <w:dstrike w:val="0"/>
                <w:spacing w:val="0"/>
                <w:w w:val="100"/>
                <w:sz w:val="21"/>
                <w:szCs w:val="21"/>
                <w:highlight w:val="none"/>
                <w:lang w:val="en-US" w:eastAsia="zh-CN"/>
              </w:rPr>
              <w:t>(15.0分)</w:t>
            </w:r>
          </w:p>
        </w:tc>
        <w:tc>
          <w:tcPr>
            <w:tcW w:w="3173" w:type="pct"/>
            <w:noWrap w:val="0"/>
            <w:vAlign w:val="center"/>
          </w:tcPr>
          <w:p w14:paraId="17C23055">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根据供应商提供的项目实施方案进行评审：</w:t>
            </w:r>
          </w:p>
          <w:p w14:paraId="1864D21D">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1.实施方案符合本项目要求、组织实施描述清淅、进度计划合理、工作方法合理规范详细，得15分；</w:t>
            </w:r>
          </w:p>
          <w:p w14:paraId="211DA214">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2.实施方案符合本项目要求、组织实施描述较清淅、进度计划较合理、工作方法较合理规范较详细，得11分；</w:t>
            </w:r>
          </w:p>
          <w:p w14:paraId="04FC53F1">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3.实施方案符合本项目要求、组织实施描述基本清淅、进度计划基本合理、工作方法基本合理规范，得7分；</w:t>
            </w:r>
          </w:p>
          <w:p w14:paraId="0D5EF2BA">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4.实施方案不符合本项目要求、组织实施描述不清淅、进度计划不够合理、工作方法不够合理规范，得3分；</w:t>
            </w:r>
          </w:p>
          <w:p w14:paraId="61953160">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5.未提供任何相关方案的，不得分。</w:t>
            </w:r>
          </w:p>
        </w:tc>
      </w:tr>
      <w:tr w14:paraId="405BB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67" w:hRule="atLeast"/>
          <w:jc w:val="center"/>
        </w:trPr>
        <w:tc>
          <w:tcPr>
            <w:tcW w:w="548" w:type="pct"/>
            <w:vMerge w:val="continue"/>
            <w:noWrap w:val="0"/>
            <w:vAlign w:val="center"/>
          </w:tcPr>
          <w:p w14:paraId="28BA3F1E">
            <w:pPr>
              <w:pStyle w:val="17"/>
              <w:pageBreakBefore w:val="0"/>
              <w:wordWrap w:val="0"/>
              <w:topLinePunct w:val="0"/>
              <w:bidi w:val="0"/>
              <w:jc w:val="center"/>
              <w:rPr>
                <w:rFonts w:hint="eastAsia" w:ascii="宋体" w:hAnsi="宋体" w:eastAsia="宋体" w:cs="宋体"/>
                <w:spacing w:val="0"/>
                <w:w w:val="100"/>
                <w:sz w:val="21"/>
                <w:szCs w:val="21"/>
                <w:highlight w:val="none"/>
                <w:lang w:val="en-US" w:eastAsia="zh-CN"/>
              </w:rPr>
            </w:pPr>
          </w:p>
        </w:tc>
        <w:tc>
          <w:tcPr>
            <w:tcW w:w="1278" w:type="pct"/>
            <w:noWrap w:val="0"/>
            <w:vAlign w:val="center"/>
          </w:tcPr>
          <w:p w14:paraId="74F9785B">
            <w:pPr>
              <w:spacing w:line="400" w:lineRule="exact"/>
              <w:jc w:val="center"/>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服务的难点及应对措施</w:t>
            </w:r>
            <w:r>
              <w:rPr>
                <w:rFonts w:hint="eastAsia" w:ascii="宋体" w:hAnsi="宋体" w:eastAsia="宋体" w:cs="宋体"/>
                <w:strike w:val="0"/>
                <w:dstrike w:val="0"/>
                <w:spacing w:val="0"/>
                <w:w w:val="100"/>
                <w:sz w:val="21"/>
                <w:szCs w:val="21"/>
                <w:highlight w:val="none"/>
                <w:lang w:val="en-US" w:eastAsia="zh-CN"/>
              </w:rPr>
              <w:t>(12.0分)</w:t>
            </w:r>
          </w:p>
        </w:tc>
        <w:tc>
          <w:tcPr>
            <w:tcW w:w="3173" w:type="pct"/>
            <w:noWrap w:val="0"/>
            <w:vAlign w:val="center"/>
          </w:tcPr>
          <w:p w14:paraId="60F3FB47">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对供应商提供的难点分析及应对措施进行评审</w:t>
            </w:r>
          </w:p>
          <w:p w14:paraId="1495B420">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1. 能够精准预判潜在的技术难点，关键问题识别精准；针对复杂敏感目标的专项应对策略非常专业；且对复核阶段沟通协调有成熟预案的，得12分；</w:t>
            </w:r>
          </w:p>
          <w:p w14:paraId="6ECB7EED">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2. 对项目难点有一定预判，关键问题识别基本准确；应对策略较为专业；对复核阶段沟通有基本考虑的，得8分；</w:t>
            </w:r>
          </w:p>
          <w:p w14:paraId="706BC742">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3. 条理不清，对难点预判、问题识别或应对策略存在明显模糊或不明确的，得4分；</w:t>
            </w:r>
          </w:p>
          <w:p w14:paraId="79BBD548">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4. 内容过于简易，缺乏针对性，未能有效展示对环评难点把控能力的，得1分；</w:t>
            </w:r>
          </w:p>
          <w:p w14:paraId="359382A6">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5. 未提供任何相关方案的，不得分。</w:t>
            </w:r>
          </w:p>
        </w:tc>
      </w:tr>
      <w:tr w14:paraId="356A8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67" w:hRule="atLeast"/>
          <w:jc w:val="center"/>
        </w:trPr>
        <w:tc>
          <w:tcPr>
            <w:tcW w:w="548" w:type="pct"/>
            <w:vMerge w:val="continue"/>
            <w:noWrap w:val="0"/>
            <w:vAlign w:val="center"/>
          </w:tcPr>
          <w:p w14:paraId="6289F014">
            <w:pPr>
              <w:pStyle w:val="17"/>
              <w:pageBreakBefore w:val="0"/>
              <w:wordWrap w:val="0"/>
              <w:topLinePunct w:val="0"/>
              <w:bidi w:val="0"/>
              <w:jc w:val="center"/>
              <w:rPr>
                <w:rFonts w:hint="eastAsia" w:ascii="宋体" w:hAnsi="宋体" w:eastAsia="宋体" w:cs="宋体"/>
                <w:spacing w:val="0"/>
                <w:w w:val="100"/>
                <w:sz w:val="21"/>
                <w:szCs w:val="21"/>
                <w:highlight w:val="none"/>
                <w:lang w:val="en-US" w:eastAsia="zh-CN"/>
              </w:rPr>
            </w:pPr>
          </w:p>
        </w:tc>
        <w:tc>
          <w:tcPr>
            <w:tcW w:w="1278" w:type="pct"/>
            <w:noWrap w:val="0"/>
            <w:vAlign w:val="center"/>
          </w:tcPr>
          <w:p w14:paraId="0B9C200F">
            <w:pPr>
              <w:keepNext w:val="0"/>
              <w:keepLines w:val="0"/>
              <w:pageBreakBefore w:val="0"/>
              <w:widowControl w:val="0"/>
              <w:kinsoku/>
              <w:wordWrap w:val="0"/>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3.服务过程中人员及设备的配置(12.0分)</w:t>
            </w:r>
          </w:p>
        </w:tc>
        <w:tc>
          <w:tcPr>
            <w:tcW w:w="3173" w:type="pct"/>
            <w:noWrap w:val="0"/>
            <w:vAlign w:val="center"/>
          </w:tcPr>
          <w:p w14:paraId="14C4361B">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对供应商提供的人员及设备配置方案进行评审</w:t>
            </w:r>
          </w:p>
          <w:p w14:paraId="50C16747">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1. 团队架构非常科学，分工明确合理；核心人员专业覆盖全面、经验丰富；现场踏勘设备齐全先进的，得12分；</w:t>
            </w:r>
          </w:p>
          <w:p w14:paraId="2317DBCA">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2. 团队架构较为合理；核心人员经验较为丰富；设备配置较为齐全的，得8分；</w:t>
            </w:r>
          </w:p>
          <w:p w14:paraId="6311B5E6">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3. 条理不清，在团队架构、人员经验或设备配置方面存在明显模糊或不明确的，得4分；</w:t>
            </w:r>
          </w:p>
          <w:p w14:paraId="1017E693">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4. 内容过于简易，缺乏针对性，未能有效展示资源配置保障能力的，得1分；</w:t>
            </w:r>
          </w:p>
          <w:p w14:paraId="210ABE06">
            <w:pPr>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5. 未提供任何相关方案的，不得分。</w:t>
            </w:r>
          </w:p>
        </w:tc>
      </w:tr>
      <w:tr w14:paraId="48E99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67" w:hRule="atLeast"/>
          <w:jc w:val="center"/>
        </w:trPr>
        <w:tc>
          <w:tcPr>
            <w:tcW w:w="548" w:type="pct"/>
            <w:vMerge w:val="continue"/>
            <w:noWrap w:val="0"/>
            <w:vAlign w:val="center"/>
          </w:tcPr>
          <w:p w14:paraId="4CEFA7E0">
            <w:pPr>
              <w:pStyle w:val="43"/>
              <w:keepNext w:val="0"/>
              <w:keepLines w:val="0"/>
              <w:pageBreakBefore w:val="0"/>
              <w:widowControl w:val="0"/>
              <w:kinsoku/>
              <w:wordWrap w:val="0"/>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pacing w:val="0"/>
                <w:w w:val="100"/>
                <w:sz w:val="21"/>
                <w:szCs w:val="21"/>
                <w:highlight w:val="none"/>
              </w:rPr>
            </w:pPr>
          </w:p>
        </w:tc>
        <w:tc>
          <w:tcPr>
            <w:tcW w:w="1278" w:type="pct"/>
            <w:noWrap w:val="0"/>
            <w:vAlign w:val="center"/>
          </w:tcPr>
          <w:p w14:paraId="51364A13">
            <w:pPr>
              <w:spacing w:line="400" w:lineRule="exact"/>
              <w:jc w:val="center"/>
              <w:rPr>
                <w:rFonts w:hint="eastAsia" w:ascii="宋体" w:hAnsi="宋体" w:eastAsia="宋体" w:cs="宋体"/>
                <w:strike w:val="0"/>
                <w:dstrike w:val="0"/>
                <w:spacing w:val="0"/>
                <w:w w:val="100"/>
                <w:sz w:val="21"/>
                <w:szCs w:val="21"/>
                <w:highlight w:val="none"/>
                <w:lang w:val="zh-CN" w:eastAsia="zh-CN"/>
              </w:rPr>
            </w:pPr>
            <w:r>
              <w:rPr>
                <w:rFonts w:hint="eastAsia" w:ascii="宋体" w:hAnsi="宋体" w:eastAsia="宋体" w:cs="宋体"/>
                <w:strike w:val="0"/>
                <w:dstrike w:val="0"/>
                <w:spacing w:val="0"/>
                <w:w w:val="100"/>
                <w:sz w:val="21"/>
                <w:szCs w:val="21"/>
                <w:highlight w:val="none"/>
                <w:lang w:val="en-US" w:eastAsia="zh-CN"/>
              </w:rPr>
              <w:t>4.</w:t>
            </w:r>
            <w:r>
              <w:rPr>
                <w:rFonts w:hint="eastAsia" w:ascii="宋体" w:hAnsi="宋体" w:eastAsia="宋体" w:cs="宋体"/>
                <w:strike w:val="0"/>
                <w:dstrike w:val="0"/>
                <w:spacing w:val="0"/>
                <w:w w:val="100"/>
                <w:sz w:val="21"/>
                <w:szCs w:val="21"/>
                <w:highlight w:val="none"/>
                <w:lang w:val="zh-CN" w:eastAsia="zh-CN"/>
              </w:rPr>
              <w:t>服务进度的规划及保证措施(</w:t>
            </w:r>
            <w:r>
              <w:rPr>
                <w:rFonts w:hint="eastAsia" w:ascii="宋体" w:hAnsi="宋体" w:eastAsia="宋体" w:cs="宋体"/>
                <w:strike w:val="0"/>
                <w:dstrike w:val="0"/>
                <w:spacing w:val="0"/>
                <w:w w:val="100"/>
                <w:sz w:val="21"/>
                <w:szCs w:val="21"/>
                <w:highlight w:val="none"/>
                <w:lang w:val="en-US" w:eastAsia="zh-CN"/>
              </w:rPr>
              <w:t>12</w:t>
            </w:r>
            <w:r>
              <w:rPr>
                <w:rFonts w:hint="eastAsia" w:ascii="宋体" w:hAnsi="宋体" w:eastAsia="宋体" w:cs="宋体"/>
                <w:strike w:val="0"/>
                <w:dstrike w:val="0"/>
                <w:spacing w:val="0"/>
                <w:w w:val="100"/>
                <w:sz w:val="21"/>
                <w:szCs w:val="21"/>
                <w:highlight w:val="none"/>
                <w:lang w:val="zh-CN" w:eastAsia="zh-CN"/>
              </w:rPr>
              <w:t>.0分)</w:t>
            </w:r>
          </w:p>
        </w:tc>
        <w:tc>
          <w:tcPr>
            <w:tcW w:w="3173" w:type="pct"/>
            <w:noWrap w:val="0"/>
            <w:vAlign w:val="center"/>
          </w:tcPr>
          <w:p w14:paraId="66006A62">
            <w:pPr>
              <w:widowControl/>
              <w:spacing w:line="400" w:lineRule="exact"/>
              <w:rPr>
                <w:rFonts w:hint="eastAsia" w:ascii="宋体" w:hAnsi="宋体" w:eastAsia="宋体" w:cs="宋体"/>
                <w:strike w:val="0"/>
                <w:dstrike w:val="0"/>
                <w:spacing w:val="0"/>
                <w:w w:val="100"/>
                <w:sz w:val="21"/>
                <w:szCs w:val="21"/>
                <w:highlight w:val="none"/>
                <w:lang w:val="zh-CN" w:eastAsia="zh-CN"/>
              </w:rPr>
            </w:pPr>
            <w:r>
              <w:rPr>
                <w:rFonts w:hint="eastAsia" w:ascii="宋体" w:hAnsi="宋体" w:eastAsia="宋体" w:cs="宋体"/>
                <w:strike w:val="0"/>
                <w:dstrike w:val="0"/>
                <w:spacing w:val="0"/>
                <w:w w:val="100"/>
                <w:sz w:val="21"/>
                <w:szCs w:val="21"/>
                <w:highlight w:val="none"/>
                <w:lang w:val="zh-CN" w:eastAsia="zh-CN"/>
              </w:rPr>
              <w:t>对供应商提供的进度规划及保证措施进行评审</w:t>
            </w:r>
          </w:p>
          <w:p w14:paraId="3AA5CEEB">
            <w:pPr>
              <w:widowControl/>
              <w:spacing w:line="400" w:lineRule="exact"/>
              <w:rPr>
                <w:rFonts w:hint="eastAsia" w:ascii="宋体" w:hAnsi="宋体" w:eastAsia="宋体" w:cs="宋体"/>
                <w:strike w:val="0"/>
                <w:dstrike w:val="0"/>
                <w:spacing w:val="0"/>
                <w:w w:val="100"/>
                <w:sz w:val="21"/>
                <w:szCs w:val="21"/>
                <w:highlight w:val="none"/>
                <w:lang w:val="zh-CN" w:eastAsia="zh-CN"/>
              </w:rPr>
            </w:pPr>
            <w:r>
              <w:rPr>
                <w:rFonts w:hint="eastAsia" w:ascii="宋体" w:hAnsi="宋体" w:eastAsia="宋体" w:cs="宋体"/>
                <w:strike w:val="0"/>
                <w:dstrike w:val="0"/>
                <w:spacing w:val="0"/>
                <w:w w:val="100"/>
                <w:sz w:val="21"/>
                <w:szCs w:val="21"/>
                <w:highlight w:val="none"/>
                <w:lang w:val="zh-CN" w:eastAsia="zh-CN"/>
              </w:rPr>
              <w:t>1. 进度计划非常完整，关键节点设置科学合理；且与相关方联动机制完善的，得12分；</w:t>
            </w:r>
          </w:p>
          <w:p w14:paraId="02D77E27">
            <w:pPr>
              <w:widowControl/>
              <w:spacing w:line="400" w:lineRule="exact"/>
              <w:rPr>
                <w:rFonts w:hint="eastAsia" w:ascii="宋体" w:hAnsi="宋体" w:eastAsia="宋体" w:cs="宋体"/>
                <w:strike w:val="0"/>
                <w:dstrike w:val="0"/>
                <w:spacing w:val="0"/>
                <w:w w:val="100"/>
                <w:sz w:val="21"/>
                <w:szCs w:val="21"/>
                <w:highlight w:val="none"/>
                <w:lang w:val="zh-CN" w:eastAsia="zh-CN"/>
              </w:rPr>
            </w:pPr>
            <w:r>
              <w:rPr>
                <w:rFonts w:hint="eastAsia" w:ascii="宋体" w:hAnsi="宋体" w:eastAsia="宋体" w:cs="宋体"/>
                <w:strike w:val="0"/>
                <w:dstrike w:val="0"/>
                <w:spacing w:val="0"/>
                <w:w w:val="100"/>
                <w:sz w:val="21"/>
                <w:szCs w:val="21"/>
                <w:highlight w:val="none"/>
                <w:lang w:val="zh-CN" w:eastAsia="zh-CN"/>
              </w:rPr>
              <w:t>2. 进度计划较为完整，关键节点基本合理；与相关方有基本沟通机制的，得</w:t>
            </w:r>
            <w:r>
              <w:rPr>
                <w:rFonts w:hint="eastAsia" w:ascii="宋体" w:hAnsi="宋体" w:eastAsia="宋体" w:cs="宋体"/>
                <w:strike w:val="0"/>
                <w:dstrike w:val="0"/>
                <w:spacing w:val="0"/>
                <w:w w:val="100"/>
                <w:sz w:val="21"/>
                <w:szCs w:val="21"/>
                <w:highlight w:val="none"/>
                <w:lang w:val="en-US" w:eastAsia="zh-CN"/>
              </w:rPr>
              <w:t>8</w:t>
            </w:r>
            <w:r>
              <w:rPr>
                <w:rFonts w:hint="eastAsia" w:ascii="宋体" w:hAnsi="宋体" w:eastAsia="宋体" w:cs="宋体"/>
                <w:strike w:val="0"/>
                <w:dstrike w:val="0"/>
                <w:spacing w:val="0"/>
                <w:w w:val="100"/>
                <w:sz w:val="21"/>
                <w:szCs w:val="21"/>
                <w:highlight w:val="none"/>
                <w:lang w:val="zh-CN" w:eastAsia="zh-CN"/>
              </w:rPr>
              <w:t>分；</w:t>
            </w:r>
          </w:p>
          <w:p w14:paraId="47B6B900">
            <w:pPr>
              <w:widowControl/>
              <w:spacing w:line="400" w:lineRule="exact"/>
              <w:rPr>
                <w:rFonts w:hint="eastAsia" w:ascii="宋体" w:hAnsi="宋体" w:eastAsia="宋体" w:cs="宋体"/>
                <w:strike w:val="0"/>
                <w:dstrike w:val="0"/>
                <w:spacing w:val="0"/>
                <w:w w:val="100"/>
                <w:sz w:val="21"/>
                <w:szCs w:val="21"/>
                <w:highlight w:val="none"/>
                <w:lang w:val="zh-CN" w:eastAsia="zh-CN"/>
              </w:rPr>
            </w:pPr>
            <w:r>
              <w:rPr>
                <w:rFonts w:hint="eastAsia" w:ascii="宋体" w:hAnsi="宋体" w:eastAsia="宋体" w:cs="宋体"/>
                <w:strike w:val="0"/>
                <w:dstrike w:val="0"/>
                <w:spacing w:val="0"/>
                <w:w w:val="100"/>
                <w:sz w:val="21"/>
                <w:szCs w:val="21"/>
                <w:highlight w:val="none"/>
                <w:lang w:val="zh-CN" w:eastAsia="zh-CN"/>
              </w:rPr>
              <w:t>3. 条理不清，在进度安排</w:t>
            </w:r>
            <w:r>
              <w:rPr>
                <w:rFonts w:hint="eastAsia" w:ascii="宋体" w:hAnsi="宋体" w:eastAsia="宋体" w:cs="宋体"/>
                <w:strike w:val="0"/>
                <w:dstrike w:val="0"/>
                <w:spacing w:val="0"/>
                <w:w w:val="100"/>
                <w:sz w:val="21"/>
                <w:szCs w:val="21"/>
                <w:highlight w:val="none"/>
                <w:lang w:val="en-US" w:eastAsia="zh-CN"/>
              </w:rPr>
              <w:t>上</w:t>
            </w:r>
            <w:r>
              <w:rPr>
                <w:rFonts w:hint="eastAsia" w:ascii="宋体" w:hAnsi="宋体" w:eastAsia="宋体" w:cs="宋体"/>
                <w:strike w:val="0"/>
                <w:dstrike w:val="0"/>
                <w:spacing w:val="0"/>
                <w:w w:val="100"/>
                <w:sz w:val="21"/>
                <w:szCs w:val="21"/>
                <w:highlight w:val="none"/>
                <w:lang w:val="zh-CN" w:eastAsia="zh-CN"/>
              </w:rPr>
              <w:t>存在明显模糊或不明确的，得4分；</w:t>
            </w:r>
          </w:p>
          <w:p w14:paraId="35D0979B">
            <w:pPr>
              <w:widowControl/>
              <w:spacing w:line="400" w:lineRule="exact"/>
              <w:rPr>
                <w:rFonts w:hint="eastAsia" w:ascii="宋体" w:hAnsi="宋体" w:eastAsia="宋体" w:cs="宋体"/>
                <w:strike w:val="0"/>
                <w:dstrike w:val="0"/>
                <w:spacing w:val="0"/>
                <w:w w:val="100"/>
                <w:sz w:val="21"/>
                <w:szCs w:val="21"/>
                <w:highlight w:val="none"/>
                <w:lang w:val="zh-CN" w:eastAsia="zh-CN"/>
              </w:rPr>
            </w:pPr>
            <w:r>
              <w:rPr>
                <w:rFonts w:hint="eastAsia" w:ascii="宋体" w:hAnsi="宋体" w:eastAsia="宋体" w:cs="宋体"/>
                <w:strike w:val="0"/>
                <w:dstrike w:val="0"/>
                <w:spacing w:val="0"/>
                <w:w w:val="100"/>
                <w:sz w:val="21"/>
                <w:szCs w:val="21"/>
                <w:highlight w:val="none"/>
                <w:lang w:val="zh-CN" w:eastAsia="zh-CN"/>
              </w:rPr>
              <w:t>4. 内容过于简易，缺乏针对性，未能有效展示进度管控能力的，得1分；</w:t>
            </w:r>
          </w:p>
          <w:p w14:paraId="3C02DC86">
            <w:pPr>
              <w:widowControl/>
              <w:spacing w:line="400" w:lineRule="exact"/>
              <w:rPr>
                <w:rFonts w:hint="eastAsia" w:ascii="宋体" w:hAnsi="宋体" w:eastAsia="宋体" w:cs="宋体"/>
                <w:strike w:val="0"/>
                <w:dstrike w:val="0"/>
                <w:spacing w:val="0"/>
                <w:w w:val="100"/>
                <w:sz w:val="21"/>
                <w:szCs w:val="21"/>
                <w:highlight w:val="none"/>
                <w:lang w:val="zh-CN" w:eastAsia="zh-CN"/>
              </w:rPr>
            </w:pPr>
            <w:r>
              <w:rPr>
                <w:rFonts w:hint="eastAsia" w:ascii="宋体" w:hAnsi="宋体" w:eastAsia="宋体" w:cs="宋体"/>
                <w:strike w:val="0"/>
                <w:dstrike w:val="0"/>
                <w:spacing w:val="0"/>
                <w:w w:val="100"/>
                <w:sz w:val="21"/>
                <w:szCs w:val="21"/>
                <w:highlight w:val="none"/>
                <w:lang w:val="zh-CN" w:eastAsia="zh-CN"/>
              </w:rPr>
              <w:t>5. 未提供任何相关方案的，不得分。</w:t>
            </w:r>
          </w:p>
        </w:tc>
      </w:tr>
      <w:tr w14:paraId="794DB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67" w:hRule="atLeast"/>
          <w:jc w:val="center"/>
        </w:trPr>
        <w:tc>
          <w:tcPr>
            <w:tcW w:w="548" w:type="pct"/>
            <w:vMerge w:val="continue"/>
            <w:noWrap w:val="0"/>
            <w:vAlign w:val="center"/>
          </w:tcPr>
          <w:p w14:paraId="46AFF28B">
            <w:pPr>
              <w:pStyle w:val="43"/>
              <w:keepNext w:val="0"/>
              <w:keepLines w:val="0"/>
              <w:pageBreakBefore w:val="0"/>
              <w:widowControl w:val="0"/>
              <w:kinsoku/>
              <w:wordWrap w:val="0"/>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pacing w:val="0"/>
                <w:w w:val="100"/>
                <w:sz w:val="21"/>
                <w:szCs w:val="21"/>
                <w:highlight w:val="none"/>
              </w:rPr>
            </w:pPr>
          </w:p>
        </w:tc>
        <w:tc>
          <w:tcPr>
            <w:tcW w:w="1278" w:type="pct"/>
            <w:noWrap w:val="0"/>
            <w:vAlign w:val="center"/>
          </w:tcPr>
          <w:p w14:paraId="08841AC5">
            <w:pPr>
              <w:spacing w:line="400" w:lineRule="exact"/>
              <w:jc w:val="center"/>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5.质量管理体系及保证措施(12.0分)</w:t>
            </w:r>
          </w:p>
        </w:tc>
        <w:tc>
          <w:tcPr>
            <w:tcW w:w="3173" w:type="pct"/>
            <w:noWrap w:val="0"/>
            <w:vAlign w:val="center"/>
          </w:tcPr>
          <w:p w14:paraId="23DD5124">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对供应商提供的质量管理体系及保证措施进行评审</w:t>
            </w:r>
          </w:p>
          <w:p w14:paraId="075AFC66">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1. 质量管理制度非常健全、规范，内审机制严谨；对各技术环节审核要点把控严密；保障措施科学有力的，得12分；</w:t>
            </w:r>
          </w:p>
          <w:p w14:paraId="3342E0D4">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2. 质量管理制度较为健全；对审核要点有基本把控；基本有保障的，得8分；</w:t>
            </w:r>
          </w:p>
          <w:p w14:paraId="3B1F6C07">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3. 条理不清，在制度建设、过程控制或审核要点方面存在明显模糊或不明确的，得4分；</w:t>
            </w:r>
          </w:p>
          <w:p w14:paraId="1D9072CA">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4. 内容过于简易，缺乏针对性，未能有效展示质量保障能力的，得1分；</w:t>
            </w:r>
          </w:p>
          <w:p w14:paraId="24A3E2BD">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5. 未提供任何相关方案的，不得分。</w:t>
            </w:r>
          </w:p>
        </w:tc>
      </w:tr>
      <w:tr w14:paraId="5C1C4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67" w:hRule="atLeast"/>
          <w:jc w:val="center"/>
        </w:trPr>
        <w:tc>
          <w:tcPr>
            <w:tcW w:w="548" w:type="pct"/>
            <w:vMerge w:val="continue"/>
            <w:noWrap w:val="0"/>
            <w:vAlign w:val="center"/>
          </w:tcPr>
          <w:p w14:paraId="4693B30F">
            <w:pPr>
              <w:pStyle w:val="43"/>
              <w:keepNext w:val="0"/>
              <w:keepLines w:val="0"/>
              <w:pageBreakBefore w:val="0"/>
              <w:widowControl w:val="0"/>
              <w:kinsoku/>
              <w:wordWrap w:val="0"/>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pacing w:val="0"/>
                <w:w w:val="100"/>
                <w:sz w:val="21"/>
                <w:szCs w:val="21"/>
                <w:highlight w:val="none"/>
              </w:rPr>
            </w:pPr>
          </w:p>
        </w:tc>
        <w:tc>
          <w:tcPr>
            <w:tcW w:w="1278" w:type="pct"/>
            <w:noWrap w:val="0"/>
            <w:vAlign w:val="center"/>
          </w:tcPr>
          <w:p w14:paraId="2E4AD838">
            <w:pPr>
              <w:widowControl/>
              <w:spacing w:line="400" w:lineRule="exact"/>
              <w:jc w:val="center"/>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6.应急方案(12.0分)</w:t>
            </w:r>
          </w:p>
        </w:tc>
        <w:tc>
          <w:tcPr>
            <w:tcW w:w="3173" w:type="pct"/>
            <w:noWrap w:val="0"/>
            <w:vAlign w:val="center"/>
          </w:tcPr>
          <w:p w14:paraId="1461F2D5">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对供应商提供的应急方案进行评审，包括但不限于</w:t>
            </w:r>
          </w:p>
          <w:p w14:paraId="51BB9521">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1. 对各类突发事件预判非常全面；应急调配机制高效灵活；技术风险应对措施周全；且对政策调整能够快速响应、无缝衔接的，得12分；</w:t>
            </w:r>
          </w:p>
          <w:p w14:paraId="424CD2F2">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2. 对突发事件有一定预判；对技术风险有应对考虑；能够应对一般政策调整的，得8分；</w:t>
            </w:r>
          </w:p>
          <w:p w14:paraId="157B0180">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3. 条理不清，在事件预判、调配机制或响应流程方面存在明显模糊或不明确的，得4分；</w:t>
            </w:r>
          </w:p>
          <w:p w14:paraId="08463BAB">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4. 内容过于简易，缺乏针对性，未能有效展示应急保障能力的，得1分；</w:t>
            </w:r>
          </w:p>
          <w:p w14:paraId="2A94E202">
            <w:pPr>
              <w:widowControl/>
              <w:spacing w:line="400" w:lineRule="exact"/>
              <w:rPr>
                <w:rFonts w:hint="eastAsia" w:ascii="宋体" w:hAnsi="宋体" w:eastAsia="宋体" w:cs="宋体"/>
                <w:strike w:val="0"/>
                <w:dstrike w:val="0"/>
                <w:spacing w:val="0"/>
                <w:w w:val="100"/>
                <w:sz w:val="21"/>
                <w:szCs w:val="21"/>
                <w:highlight w:val="none"/>
                <w:lang w:val="en-US" w:eastAsia="zh-CN"/>
              </w:rPr>
            </w:pPr>
            <w:r>
              <w:rPr>
                <w:rFonts w:hint="eastAsia" w:ascii="宋体" w:hAnsi="宋体" w:eastAsia="宋体" w:cs="宋体"/>
                <w:strike w:val="0"/>
                <w:dstrike w:val="0"/>
                <w:spacing w:val="0"/>
                <w:w w:val="100"/>
                <w:sz w:val="21"/>
                <w:szCs w:val="21"/>
                <w:highlight w:val="none"/>
                <w:lang w:val="en-US" w:eastAsia="zh-CN"/>
              </w:rPr>
              <w:t>5. 未提供任何相关方案的，不得分。</w:t>
            </w:r>
          </w:p>
        </w:tc>
      </w:tr>
      <w:tr w14:paraId="5390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67" w:hRule="atLeast"/>
          <w:jc w:val="center"/>
        </w:trPr>
        <w:tc>
          <w:tcPr>
            <w:tcW w:w="548" w:type="pct"/>
            <w:noWrap w:val="0"/>
            <w:vAlign w:val="center"/>
          </w:tcPr>
          <w:p w14:paraId="2F367393">
            <w:pPr>
              <w:pStyle w:val="43"/>
              <w:keepNext w:val="0"/>
              <w:keepLines w:val="0"/>
              <w:pageBreakBefore w:val="0"/>
              <w:widowControl w:val="0"/>
              <w:kinsoku/>
              <w:wordWrap w:val="0"/>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pacing w:val="0"/>
                <w:w w:val="100"/>
                <w:kern w:val="2"/>
                <w:sz w:val="21"/>
                <w:szCs w:val="21"/>
                <w:highlight w:val="none"/>
                <w:u w:val="none"/>
                <w:shd w:val="clear" w:color="auto" w:fill="auto"/>
                <w:lang w:val="en-US" w:eastAsia="zh-CN" w:bidi="ar-SA"/>
              </w:rPr>
            </w:pPr>
            <w:r>
              <w:rPr>
                <w:rFonts w:hint="eastAsia" w:ascii="宋体" w:hAnsi="宋体" w:eastAsia="宋体" w:cs="宋体"/>
                <w:color w:val="auto"/>
                <w:spacing w:val="0"/>
                <w:w w:val="100"/>
                <w:kern w:val="2"/>
                <w:sz w:val="21"/>
                <w:szCs w:val="21"/>
                <w:highlight w:val="none"/>
                <w:u w:val="none"/>
                <w:shd w:val="clear" w:color="auto" w:fill="auto"/>
                <w:lang w:val="en-US" w:eastAsia="zh-CN" w:bidi="ar-SA"/>
              </w:rPr>
              <w:t>商务</w:t>
            </w:r>
          </w:p>
          <w:p w14:paraId="3FF2DB3D">
            <w:pPr>
              <w:pStyle w:val="43"/>
              <w:keepNext w:val="0"/>
              <w:keepLines w:val="0"/>
              <w:pageBreakBefore w:val="0"/>
              <w:widowControl w:val="0"/>
              <w:kinsoku/>
              <w:wordWrap w:val="0"/>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pacing w:val="0"/>
                <w:w w:val="100"/>
                <w:kern w:val="2"/>
                <w:sz w:val="21"/>
                <w:szCs w:val="21"/>
                <w:highlight w:val="none"/>
                <w:u w:val="none"/>
                <w:shd w:val="clear" w:color="auto" w:fill="auto"/>
                <w:lang w:val="en-US" w:eastAsia="zh-CN" w:bidi="ar-SA"/>
              </w:rPr>
            </w:pPr>
            <w:r>
              <w:rPr>
                <w:rFonts w:hint="eastAsia" w:ascii="宋体" w:hAnsi="宋体" w:eastAsia="宋体" w:cs="宋体"/>
                <w:color w:val="auto"/>
                <w:spacing w:val="0"/>
                <w:w w:val="100"/>
                <w:kern w:val="2"/>
                <w:sz w:val="21"/>
                <w:szCs w:val="21"/>
                <w:highlight w:val="none"/>
                <w:u w:val="none"/>
                <w:shd w:val="clear" w:color="auto" w:fill="auto"/>
                <w:lang w:val="en-US" w:eastAsia="zh-CN" w:bidi="ar-SA"/>
              </w:rPr>
              <w:t>部分</w:t>
            </w:r>
          </w:p>
        </w:tc>
        <w:tc>
          <w:tcPr>
            <w:tcW w:w="1278" w:type="pct"/>
            <w:noWrap w:val="0"/>
            <w:vAlign w:val="center"/>
          </w:tcPr>
          <w:p w14:paraId="6E008B05">
            <w:pPr>
              <w:spacing w:line="400" w:lineRule="exact"/>
              <w:jc w:val="center"/>
              <w:rPr>
                <w:rFonts w:hint="eastAsia" w:ascii="宋体" w:hAnsi="宋体" w:eastAsia="宋体" w:cs="宋体"/>
                <w:color w:val="auto"/>
                <w:spacing w:val="0"/>
                <w:w w:val="100"/>
                <w:kern w:val="2"/>
                <w:sz w:val="21"/>
                <w:szCs w:val="21"/>
                <w:highlight w:val="none"/>
                <w:u w:val="none"/>
                <w:shd w:val="clear" w:color="auto" w:fill="auto"/>
                <w:lang w:val="zh-CN" w:eastAsia="zh-CN" w:bidi="ar-SA"/>
              </w:rPr>
            </w:pPr>
            <w:r>
              <w:rPr>
                <w:rFonts w:hint="eastAsia" w:ascii="宋体" w:hAnsi="宋体" w:eastAsia="宋体" w:cs="宋体"/>
                <w:color w:val="auto"/>
                <w:spacing w:val="0"/>
                <w:w w:val="100"/>
                <w:kern w:val="2"/>
                <w:sz w:val="21"/>
                <w:szCs w:val="21"/>
                <w:highlight w:val="none"/>
                <w:u w:val="none"/>
                <w:shd w:val="clear" w:color="auto" w:fill="auto"/>
                <w:lang w:val="en-US" w:eastAsia="zh-CN" w:bidi="ar-SA"/>
              </w:rPr>
              <w:t>类似</w:t>
            </w:r>
            <w:r>
              <w:rPr>
                <w:rFonts w:hint="eastAsia" w:ascii="宋体" w:hAnsi="宋体" w:eastAsia="宋体" w:cs="宋体"/>
                <w:color w:val="auto"/>
                <w:spacing w:val="0"/>
                <w:w w:val="100"/>
                <w:kern w:val="2"/>
                <w:sz w:val="21"/>
                <w:szCs w:val="21"/>
                <w:highlight w:val="none"/>
                <w:u w:val="none"/>
                <w:shd w:val="clear" w:color="auto" w:fill="auto"/>
                <w:lang w:val="zh-CN" w:eastAsia="zh-CN" w:bidi="ar-SA"/>
              </w:rPr>
              <w:t>项目业绩(</w:t>
            </w:r>
            <w:r>
              <w:rPr>
                <w:rFonts w:hint="eastAsia" w:ascii="宋体" w:hAnsi="宋体" w:eastAsia="宋体" w:cs="宋体"/>
                <w:color w:val="auto"/>
                <w:spacing w:val="0"/>
                <w:w w:val="100"/>
                <w:kern w:val="2"/>
                <w:sz w:val="21"/>
                <w:szCs w:val="21"/>
                <w:highlight w:val="none"/>
                <w:u w:val="none"/>
                <w:shd w:val="clear" w:color="auto" w:fill="auto"/>
                <w:lang w:val="en-US" w:eastAsia="zh-CN" w:bidi="ar-SA"/>
              </w:rPr>
              <w:t>15</w:t>
            </w:r>
            <w:r>
              <w:rPr>
                <w:rFonts w:hint="eastAsia" w:ascii="宋体" w:hAnsi="宋体" w:eastAsia="宋体" w:cs="宋体"/>
                <w:color w:val="auto"/>
                <w:spacing w:val="0"/>
                <w:w w:val="100"/>
                <w:kern w:val="2"/>
                <w:sz w:val="21"/>
                <w:szCs w:val="21"/>
                <w:highlight w:val="none"/>
                <w:u w:val="none"/>
                <w:shd w:val="clear" w:color="auto" w:fill="auto"/>
                <w:lang w:val="zh-CN" w:eastAsia="zh-CN" w:bidi="ar-SA"/>
              </w:rPr>
              <w:t>.0分)</w:t>
            </w:r>
          </w:p>
        </w:tc>
        <w:tc>
          <w:tcPr>
            <w:tcW w:w="3173" w:type="pct"/>
            <w:noWrap w:val="0"/>
            <w:vAlign w:val="center"/>
          </w:tcPr>
          <w:p w14:paraId="69B6E953">
            <w:pPr>
              <w:spacing w:line="400" w:lineRule="exact"/>
              <w:jc w:val="both"/>
              <w:rPr>
                <w:rFonts w:hint="eastAsia" w:ascii="宋体" w:hAnsi="宋体" w:eastAsia="宋体" w:cs="宋体"/>
                <w:color w:val="auto"/>
                <w:spacing w:val="0"/>
                <w:w w:val="100"/>
                <w:kern w:val="2"/>
                <w:sz w:val="21"/>
                <w:szCs w:val="21"/>
                <w:highlight w:val="none"/>
                <w:u w:val="none"/>
                <w:shd w:val="clear" w:color="auto" w:fill="auto"/>
                <w:lang w:val="zh-CN" w:eastAsia="zh-CN" w:bidi="ar-SA"/>
              </w:rPr>
            </w:pPr>
            <w:r>
              <w:rPr>
                <w:rFonts w:hint="eastAsia" w:eastAsia="宋体" w:cs="宋体"/>
                <w:color w:val="auto"/>
                <w:spacing w:val="0"/>
                <w:w w:val="100"/>
                <w:kern w:val="2"/>
                <w:sz w:val="21"/>
                <w:szCs w:val="21"/>
                <w:highlight w:val="none"/>
                <w:u w:val="none"/>
                <w:shd w:val="clear" w:color="auto" w:fill="auto"/>
                <w:lang w:val="zh-CN" w:eastAsia="zh-CN" w:bidi="ar-SA"/>
              </w:rPr>
              <w:t>近三年</w:t>
            </w:r>
            <w:r>
              <w:rPr>
                <w:rFonts w:hint="eastAsia" w:ascii="宋体" w:hAnsi="宋体" w:eastAsia="宋体" w:cs="宋体"/>
                <w:color w:val="auto"/>
                <w:spacing w:val="0"/>
                <w:w w:val="100"/>
                <w:kern w:val="2"/>
                <w:sz w:val="21"/>
                <w:szCs w:val="21"/>
                <w:highlight w:val="none"/>
                <w:u w:val="none"/>
                <w:shd w:val="clear" w:color="auto" w:fill="auto"/>
                <w:lang w:val="zh-CN" w:eastAsia="zh-CN" w:bidi="ar-SA"/>
              </w:rPr>
              <w:t>（以合同签订日期为准）供应商每提供1份有效的</w:t>
            </w:r>
            <w:r>
              <w:rPr>
                <w:rFonts w:hint="eastAsia" w:ascii="宋体" w:hAnsi="宋体" w:eastAsia="宋体" w:cs="宋体"/>
                <w:color w:val="auto"/>
                <w:spacing w:val="0"/>
                <w:w w:val="100"/>
                <w:kern w:val="2"/>
                <w:sz w:val="21"/>
                <w:szCs w:val="21"/>
                <w:highlight w:val="none"/>
                <w:u w:val="none"/>
                <w:shd w:val="clear" w:color="auto" w:fill="auto"/>
                <w:lang w:val="en-US" w:eastAsia="zh-CN" w:bidi="ar-SA"/>
              </w:rPr>
              <w:t>类似</w:t>
            </w:r>
            <w:r>
              <w:rPr>
                <w:rFonts w:hint="eastAsia" w:ascii="宋体" w:hAnsi="宋体" w:eastAsia="宋体" w:cs="宋体"/>
                <w:color w:val="auto"/>
                <w:spacing w:val="0"/>
                <w:w w:val="100"/>
                <w:kern w:val="2"/>
                <w:sz w:val="21"/>
                <w:szCs w:val="21"/>
                <w:highlight w:val="none"/>
                <w:u w:val="none"/>
                <w:shd w:val="clear" w:color="auto" w:fill="auto"/>
                <w:lang w:val="zh-CN" w:eastAsia="zh-CN" w:bidi="ar-SA"/>
              </w:rPr>
              <w:t>项目业绩合同，得</w:t>
            </w:r>
            <w:r>
              <w:rPr>
                <w:rFonts w:hint="eastAsia" w:ascii="宋体" w:hAnsi="宋体" w:eastAsia="宋体" w:cs="宋体"/>
                <w:color w:val="auto"/>
                <w:spacing w:val="0"/>
                <w:w w:val="100"/>
                <w:kern w:val="2"/>
                <w:sz w:val="21"/>
                <w:szCs w:val="21"/>
                <w:highlight w:val="none"/>
                <w:u w:val="none"/>
                <w:shd w:val="clear" w:color="auto" w:fill="auto"/>
                <w:lang w:val="en-US" w:eastAsia="zh-CN" w:bidi="ar-SA"/>
              </w:rPr>
              <w:t>5</w:t>
            </w:r>
            <w:r>
              <w:rPr>
                <w:rFonts w:hint="eastAsia" w:ascii="宋体" w:hAnsi="宋体" w:eastAsia="宋体" w:cs="宋体"/>
                <w:color w:val="auto"/>
                <w:spacing w:val="0"/>
                <w:w w:val="100"/>
                <w:kern w:val="2"/>
                <w:sz w:val="21"/>
                <w:szCs w:val="21"/>
                <w:highlight w:val="none"/>
                <w:u w:val="none"/>
                <w:shd w:val="clear" w:color="auto" w:fill="auto"/>
                <w:lang w:val="zh-CN" w:eastAsia="zh-CN" w:bidi="ar-SA"/>
              </w:rPr>
              <w:t>分。本项最高得</w:t>
            </w:r>
            <w:r>
              <w:rPr>
                <w:rFonts w:hint="eastAsia" w:ascii="宋体" w:hAnsi="宋体" w:eastAsia="宋体" w:cs="宋体"/>
                <w:color w:val="auto"/>
                <w:spacing w:val="0"/>
                <w:w w:val="100"/>
                <w:kern w:val="2"/>
                <w:sz w:val="21"/>
                <w:szCs w:val="21"/>
                <w:highlight w:val="none"/>
                <w:u w:val="none"/>
                <w:shd w:val="clear" w:color="auto" w:fill="auto"/>
                <w:lang w:val="en-US" w:eastAsia="zh-CN" w:bidi="ar-SA"/>
              </w:rPr>
              <w:t>15</w:t>
            </w:r>
            <w:r>
              <w:rPr>
                <w:rFonts w:hint="eastAsia" w:ascii="宋体" w:hAnsi="宋体" w:eastAsia="宋体" w:cs="宋体"/>
                <w:color w:val="auto"/>
                <w:spacing w:val="0"/>
                <w:w w:val="100"/>
                <w:kern w:val="2"/>
                <w:sz w:val="21"/>
                <w:szCs w:val="21"/>
                <w:highlight w:val="none"/>
                <w:u w:val="none"/>
                <w:shd w:val="clear" w:color="auto" w:fill="auto"/>
                <w:lang w:val="zh-CN" w:eastAsia="zh-CN" w:bidi="ar-SA"/>
              </w:rPr>
              <w:t>分。</w:t>
            </w:r>
          </w:p>
          <w:p w14:paraId="43B4A09E">
            <w:pPr>
              <w:spacing w:line="400" w:lineRule="exact"/>
              <w:jc w:val="both"/>
              <w:rPr>
                <w:rFonts w:hint="eastAsia" w:ascii="宋体" w:hAnsi="宋体" w:eastAsia="宋体" w:cs="宋体"/>
                <w:color w:val="auto"/>
                <w:spacing w:val="0"/>
                <w:w w:val="100"/>
                <w:kern w:val="2"/>
                <w:sz w:val="21"/>
                <w:szCs w:val="21"/>
                <w:highlight w:val="none"/>
                <w:u w:val="none"/>
                <w:shd w:val="clear" w:color="auto" w:fill="auto"/>
                <w:lang w:val="zh-CN" w:eastAsia="zh-CN" w:bidi="ar-SA"/>
              </w:rPr>
            </w:pPr>
            <w:r>
              <w:rPr>
                <w:rFonts w:hint="eastAsia" w:ascii="宋体" w:hAnsi="宋体" w:eastAsia="宋体" w:cs="宋体"/>
                <w:color w:val="auto"/>
                <w:spacing w:val="0"/>
                <w:w w:val="100"/>
                <w:kern w:val="2"/>
                <w:sz w:val="21"/>
                <w:szCs w:val="21"/>
                <w:highlight w:val="none"/>
                <w:u w:val="none"/>
                <w:shd w:val="clear" w:color="auto" w:fill="auto"/>
                <w:lang w:val="zh-CN" w:eastAsia="zh-CN" w:bidi="ar-SA"/>
              </w:rPr>
              <w:t>注：需提供</w:t>
            </w:r>
            <w:r>
              <w:rPr>
                <w:rFonts w:hint="eastAsia" w:ascii="宋体" w:hAnsi="宋体" w:eastAsia="宋体" w:cs="宋体"/>
                <w:color w:val="auto"/>
                <w:spacing w:val="0"/>
                <w:w w:val="100"/>
                <w:kern w:val="2"/>
                <w:sz w:val="21"/>
                <w:szCs w:val="21"/>
                <w:highlight w:val="none"/>
                <w:u w:val="none"/>
                <w:shd w:val="clear" w:color="auto" w:fill="auto"/>
                <w:lang w:val="en-US" w:eastAsia="zh-CN" w:bidi="ar-SA"/>
              </w:rPr>
              <w:t>类似</w:t>
            </w:r>
            <w:r>
              <w:rPr>
                <w:rFonts w:hint="eastAsia" w:ascii="宋体" w:hAnsi="宋体" w:eastAsia="宋体" w:cs="宋体"/>
                <w:color w:val="auto"/>
                <w:spacing w:val="0"/>
                <w:w w:val="100"/>
                <w:kern w:val="2"/>
                <w:sz w:val="21"/>
                <w:szCs w:val="21"/>
                <w:highlight w:val="none"/>
                <w:u w:val="none"/>
                <w:shd w:val="clear" w:color="auto" w:fill="auto"/>
                <w:lang w:val="zh-CN" w:eastAsia="zh-CN" w:bidi="ar-SA"/>
              </w:rPr>
              <w:t>项目业绩合同扫描件。</w:t>
            </w:r>
          </w:p>
        </w:tc>
      </w:tr>
      <w:tr w14:paraId="36D81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67" w:hRule="atLeast"/>
          <w:jc w:val="center"/>
        </w:trPr>
        <w:tc>
          <w:tcPr>
            <w:tcW w:w="548" w:type="pct"/>
            <w:noWrap w:val="0"/>
            <w:vAlign w:val="center"/>
          </w:tcPr>
          <w:p w14:paraId="539640A9">
            <w:pPr>
              <w:pStyle w:val="43"/>
              <w:keepNext w:val="0"/>
              <w:keepLines w:val="0"/>
              <w:pageBreakBefore w:val="0"/>
              <w:shd w:val="clear" w:color="auto" w:fill="auto"/>
              <w:kinsoku/>
              <w:wordWrap w:val="0"/>
              <w:overflowPunct/>
              <w:topLinePunct w:val="0"/>
              <w:bidi w:val="0"/>
              <w:adjustRightInd/>
              <w:snapToGrid/>
              <w:spacing w:line="400" w:lineRule="exact"/>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lang w:val="en-US" w:eastAsia="zh-CN"/>
              </w:rPr>
              <w:t>报价部分</w:t>
            </w:r>
          </w:p>
        </w:tc>
        <w:tc>
          <w:tcPr>
            <w:tcW w:w="1278" w:type="pct"/>
            <w:noWrap w:val="0"/>
            <w:vAlign w:val="center"/>
          </w:tcPr>
          <w:p w14:paraId="2698A5FD">
            <w:pPr>
              <w:pStyle w:val="43"/>
              <w:keepNext w:val="0"/>
              <w:keepLines w:val="0"/>
              <w:pageBreakBefore w:val="0"/>
              <w:kinsoku/>
              <w:wordWrap w:val="0"/>
              <w:overflowPunct/>
              <w:topLinePunct w:val="0"/>
              <w:bidi w:val="0"/>
              <w:adjustRightInd/>
              <w:snapToGrid/>
              <w:spacing w:line="400" w:lineRule="exact"/>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磋商报价得分</w:t>
            </w:r>
          </w:p>
          <w:p w14:paraId="647FB09F">
            <w:pPr>
              <w:pStyle w:val="43"/>
              <w:keepNext w:val="0"/>
              <w:keepLines w:val="0"/>
              <w:pageBreakBefore w:val="0"/>
              <w:kinsoku/>
              <w:wordWrap w:val="0"/>
              <w:overflowPunct/>
              <w:topLinePunct w:val="0"/>
              <w:bidi w:val="0"/>
              <w:adjustRightInd/>
              <w:snapToGrid/>
              <w:spacing w:line="400" w:lineRule="exact"/>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lang w:val="en-US" w:eastAsia="zh-CN" w:bidi="en-US"/>
              </w:rPr>
              <w:t>（10</w:t>
            </w:r>
            <w:r>
              <w:rPr>
                <w:rFonts w:hint="eastAsia" w:cs="宋体"/>
                <w:color w:val="auto"/>
                <w:spacing w:val="0"/>
                <w:w w:val="100"/>
                <w:sz w:val="21"/>
                <w:szCs w:val="21"/>
                <w:highlight w:val="none"/>
                <w:lang w:val="en-US" w:eastAsia="zh-CN" w:bidi="en-US"/>
              </w:rPr>
              <w:t>.0</w:t>
            </w:r>
            <w:r>
              <w:rPr>
                <w:rFonts w:hint="eastAsia" w:ascii="宋体" w:hAnsi="宋体" w:eastAsia="宋体" w:cs="宋体"/>
                <w:color w:val="auto"/>
                <w:spacing w:val="0"/>
                <w:w w:val="100"/>
                <w:sz w:val="21"/>
                <w:szCs w:val="21"/>
                <w:highlight w:val="none"/>
                <w:lang w:val="en-US" w:eastAsia="zh-CN" w:bidi="en-US"/>
              </w:rPr>
              <w:t>分）</w:t>
            </w:r>
          </w:p>
        </w:tc>
        <w:tc>
          <w:tcPr>
            <w:tcW w:w="3173" w:type="pct"/>
            <w:noWrap w:val="0"/>
            <w:vAlign w:val="top"/>
          </w:tcPr>
          <w:p w14:paraId="15DE94D6">
            <w:pPr>
              <w:keepNext w:val="0"/>
              <w:keepLines w:val="0"/>
              <w:pageBreakBefore w:val="0"/>
              <w:kinsoku/>
              <w:wordWrap w:val="0"/>
              <w:overflowPunct/>
              <w:topLinePunct w:val="0"/>
              <w:bidi w:val="0"/>
              <w:adjustRightInd/>
              <w:snapToGrid/>
              <w:spacing w:line="400" w:lineRule="exact"/>
              <w:jc w:val="both"/>
              <w:textAlignment w:val="auto"/>
              <w:rPr>
                <w:rFonts w:hint="eastAsia" w:ascii="宋体" w:hAnsi="宋体" w:eastAsia="宋体" w:cs="宋体"/>
                <w:color w:val="auto"/>
                <w:spacing w:val="0"/>
                <w:w w:val="100"/>
                <w:sz w:val="21"/>
                <w:szCs w:val="21"/>
                <w:highlight w:val="none"/>
                <w:lang w:val="en-US"/>
              </w:rPr>
            </w:pPr>
            <w:r>
              <w:rPr>
                <w:rFonts w:hint="eastAsia" w:ascii="宋体" w:hAnsi="宋体" w:eastAsia="宋体" w:cs="宋体"/>
                <w:color w:val="auto"/>
                <w:spacing w:val="0"/>
                <w:w w:val="100"/>
                <w:sz w:val="21"/>
                <w:szCs w:val="21"/>
                <w:highlight w:val="none"/>
                <w:lang w:val="en-US"/>
              </w:rPr>
              <w:t>采用低价优先法计算，即满足磋商文件要求且最后报价最低的为磋商基准价，其磋商报价得分为满分。其他服务商的得分按下列公式计算：磋商报价得分=（磋商基准价/最后磋商报价）×价格权值（10％）×100 。</w:t>
            </w:r>
          </w:p>
          <w:p w14:paraId="6723ADA0">
            <w:pPr>
              <w:keepNext w:val="0"/>
              <w:keepLines w:val="0"/>
              <w:pageBreakBefore w:val="0"/>
              <w:kinsoku/>
              <w:wordWrap w:val="0"/>
              <w:overflowPunct/>
              <w:topLinePunct w:val="0"/>
              <w:bidi w:val="0"/>
              <w:adjustRightInd/>
              <w:snapToGrid/>
              <w:spacing w:line="400" w:lineRule="exact"/>
              <w:jc w:val="both"/>
              <w:textAlignment w:val="auto"/>
              <w:rPr>
                <w:rFonts w:hint="eastAsia" w:ascii="宋体" w:hAnsi="宋体" w:eastAsia="宋体" w:cs="宋体"/>
                <w:color w:val="auto"/>
                <w:spacing w:val="0"/>
                <w:w w:val="100"/>
                <w:sz w:val="21"/>
                <w:szCs w:val="21"/>
                <w:highlight w:val="none"/>
                <w:lang w:eastAsia="zh-CN"/>
              </w:rPr>
            </w:pPr>
            <w:r>
              <w:rPr>
                <w:rFonts w:hint="eastAsia" w:ascii="宋体" w:hAnsi="宋体" w:eastAsia="宋体" w:cs="宋体"/>
                <w:color w:val="auto"/>
                <w:spacing w:val="0"/>
                <w:w w:val="100"/>
                <w:sz w:val="21"/>
                <w:szCs w:val="21"/>
                <w:highlight w:val="none"/>
                <w:lang w:val="en-US"/>
              </w:rPr>
              <w:t>最低报价不是成交的唯一依据。</w:t>
            </w:r>
          </w:p>
        </w:tc>
      </w:tr>
    </w:tbl>
    <w:p w14:paraId="7A2DBAD3">
      <w:pPr>
        <w:keepNext w:val="0"/>
        <w:keepLines w:val="0"/>
        <w:pageBreakBefore w:val="0"/>
        <w:widowControl/>
        <w:kinsoku/>
        <w:wordWrap/>
        <w:overflowPunct/>
        <w:topLinePunct w:val="0"/>
        <w:autoSpaceDE w:val="0"/>
        <w:autoSpaceDN w:val="0"/>
        <w:bidi w:val="0"/>
        <w:adjustRightInd w:val="0"/>
        <w:snapToGrid w:val="0"/>
        <w:spacing w:before="240" w:beforeLines="100" w:line="360" w:lineRule="auto"/>
        <w:ind w:firstLine="482" w:firstLineChars="200"/>
        <w:outlineLvl w:val="2"/>
        <w:rPr>
          <w:rFonts w:ascii="宋体" w:eastAsia="宋体" w:cs="宋体"/>
          <w:b/>
          <w:bCs/>
          <w:color w:val="auto"/>
          <w:sz w:val="24"/>
          <w:szCs w:val="24"/>
          <w:highlight w:val="none"/>
          <w:lang w:eastAsia="zh-CN"/>
        </w:rPr>
      </w:pPr>
      <w:r>
        <w:rPr>
          <w:rFonts w:hint="eastAsia" w:ascii="宋体" w:eastAsia="宋体" w:cs="宋体"/>
          <w:b/>
          <w:bCs/>
          <w:color w:val="auto"/>
          <w:sz w:val="24"/>
          <w:szCs w:val="24"/>
          <w:highlight w:val="none"/>
          <w:lang w:val="en-US" w:eastAsia="zh-CN"/>
        </w:rPr>
        <w:t>7</w:t>
      </w:r>
      <w:r>
        <w:rPr>
          <w:rFonts w:hint="eastAsia" w:ascii="宋体" w:eastAsia="宋体" w:cs="宋体"/>
          <w:b/>
          <w:bCs/>
          <w:color w:val="auto"/>
          <w:sz w:val="24"/>
          <w:szCs w:val="24"/>
          <w:highlight w:val="none"/>
          <w:lang w:eastAsia="zh-CN"/>
        </w:rPr>
        <w:t>.汇总、排序</w:t>
      </w:r>
    </w:p>
    <w:p w14:paraId="79419789">
      <w:pPr>
        <w:kinsoku/>
        <w:spacing w:line="360" w:lineRule="auto"/>
        <w:ind w:firstLine="480" w:firstLineChars="200"/>
        <w:rPr>
          <w:rFonts w:ascii="宋体" w:eastAsia="宋体" w:cs="宋体"/>
          <w:color w:val="auto"/>
          <w:sz w:val="24"/>
          <w:szCs w:val="24"/>
          <w:highlight w:val="none"/>
          <w:lang w:eastAsia="zh-CN"/>
        </w:rPr>
        <w:sectPr>
          <w:footerReference r:id="rId8" w:type="default"/>
          <w:pgSz w:w="11906" w:h="16838"/>
          <w:pgMar w:top="1440" w:right="1080" w:bottom="1440" w:left="1080" w:header="0" w:footer="850" w:gutter="0"/>
          <w:pgNumType w:fmt="decimal"/>
          <w:cols w:space="0" w:num="1"/>
          <w:rtlGutter w:val="0"/>
          <w:docGrid w:linePitch="312" w:charSpace="0"/>
        </w:sectPr>
      </w:pPr>
      <w:r>
        <w:rPr>
          <w:rFonts w:hint="eastAsia" w:ascii="宋体" w:eastAsia="宋体" w:cs="宋体"/>
          <w:color w:val="auto"/>
          <w:sz w:val="24"/>
          <w:szCs w:val="24"/>
          <w:highlight w:val="none"/>
          <w:lang w:eastAsia="zh-CN"/>
        </w:rPr>
        <w:t>磋商小组根据综合评分情况，按照评审得分由高到低顺序推荐 3 名以上成交候选供应商，同时依据采购文件要求确定排名第一的成交候选供应商为成交供应商并编写评审报告。符合《政府采购竞争性磋商采购方式管理暂行办法》相关规定的，可以推荐2家成交候选供应商。评审得分相同的，按照最后报价由低到高的顺序推荐。评审得分且最后报价相同的，按照技术指标优劣顺序推荐。</w:t>
      </w:r>
    </w:p>
    <w:p w14:paraId="21EFE9B3">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center"/>
        <w:outlineLvl w:val="0"/>
        <w:rPr>
          <w:rFonts w:hint="eastAsia" w:ascii="宋体" w:hAnsi="宋体" w:eastAsia="宋体" w:cs="宋体"/>
          <w:b/>
          <w:bCs/>
          <w:color w:val="auto"/>
          <w:sz w:val="28"/>
          <w:szCs w:val="28"/>
          <w:highlight w:val="none"/>
        </w:rPr>
      </w:pPr>
      <w:bookmarkStart w:id="24" w:name="_Toc10702"/>
      <w:r>
        <w:rPr>
          <w:rFonts w:hint="eastAsia" w:ascii="宋体" w:hAnsi="宋体" w:eastAsia="宋体" w:cs="宋体"/>
          <w:b/>
          <w:bCs/>
          <w:color w:val="auto"/>
          <w:sz w:val="28"/>
          <w:szCs w:val="28"/>
          <w:highlight w:val="none"/>
        </w:rPr>
        <w:t>第六章  合同</w:t>
      </w:r>
      <w:bookmarkEnd w:id="24"/>
    </w:p>
    <w:p w14:paraId="5052F45C">
      <w:pPr>
        <w:keepNext/>
        <w:keepLines/>
        <w:widowControl w:val="0"/>
        <w:spacing w:before="260" w:after="260" w:line="360" w:lineRule="auto"/>
        <w:jc w:val="both"/>
        <w:outlineLvl w:val="1"/>
        <w:rPr>
          <w:rFonts w:hint="eastAsia" w:ascii="宋体" w:hAnsi="宋体" w:eastAsia="宋体" w:cs="宋体"/>
          <w:b/>
          <w:kern w:val="2"/>
          <w:sz w:val="24"/>
          <w:szCs w:val="24"/>
          <w:highlight w:val="none"/>
          <w:lang w:val="en-US" w:eastAsia="zh-CN" w:bidi="ar-SA"/>
        </w:rPr>
      </w:pPr>
      <w:bookmarkStart w:id="25" w:name="_Toc25832"/>
      <w:bookmarkStart w:id="26" w:name="_Toc199841597"/>
      <w:bookmarkStart w:id="27" w:name="_Toc16343"/>
      <w:bookmarkStart w:id="28" w:name="_Toc4992"/>
      <w:bookmarkStart w:id="29" w:name="_Toc7389"/>
      <w:bookmarkStart w:id="30" w:name="_Toc1689"/>
      <w:r>
        <w:rPr>
          <w:rFonts w:hint="eastAsia" w:ascii="宋体" w:hAnsi="宋体" w:eastAsia="宋体" w:cs="宋体"/>
          <w:b/>
          <w:kern w:val="2"/>
          <w:sz w:val="24"/>
          <w:szCs w:val="24"/>
          <w:highlight w:val="none"/>
          <w:lang w:val="en-US" w:eastAsia="zh-CN" w:bidi="ar-SA"/>
        </w:rPr>
        <w:t>一、合同要求</w:t>
      </w:r>
      <w:bookmarkEnd w:id="25"/>
      <w:bookmarkEnd w:id="26"/>
      <w:bookmarkEnd w:id="27"/>
      <w:bookmarkEnd w:id="28"/>
      <w:bookmarkEnd w:id="29"/>
      <w:bookmarkEnd w:id="30"/>
    </w:p>
    <w:p w14:paraId="2E2D790A">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bCs/>
          <w:kern w:val="2"/>
          <w:sz w:val="24"/>
          <w:szCs w:val="24"/>
          <w:highlight w:val="none"/>
          <w:lang w:eastAsia="zh-CN"/>
        </w:rPr>
      </w:pPr>
      <w:bookmarkStart w:id="31" w:name="_Toc5413"/>
      <w:bookmarkStart w:id="32" w:name="_Toc199841598"/>
      <w:bookmarkStart w:id="33" w:name="_Toc2180"/>
      <w:bookmarkStart w:id="34" w:name="_Toc7550"/>
      <w:bookmarkStart w:id="35" w:name="_Toc3945"/>
      <w:bookmarkStart w:id="36" w:name="_Toc11213"/>
      <w:r>
        <w:rPr>
          <w:rFonts w:hint="eastAsia" w:ascii="宋体" w:hAnsi="宋体" w:eastAsia="宋体" w:cs="宋体"/>
          <w:b/>
          <w:bCs/>
          <w:kern w:val="2"/>
          <w:sz w:val="24"/>
          <w:szCs w:val="24"/>
          <w:highlight w:val="none"/>
          <w:lang w:eastAsia="zh-CN"/>
        </w:rPr>
        <w:t>(</w:t>
      </w:r>
      <w:r>
        <w:rPr>
          <w:rFonts w:hint="eastAsia" w:ascii="宋体" w:hAnsi="宋体" w:eastAsia="宋体" w:cs="宋体"/>
          <w:b/>
          <w:bCs/>
          <w:kern w:val="2"/>
          <w:sz w:val="24"/>
          <w:szCs w:val="24"/>
          <w:highlight w:val="none"/>
          <w:lang w:val="en-US" w:eastAsia="zh-CN"/>
        </w:rPr>
        <w:t>一</w:t>
      </w:r>
      <w:r>
        <w:rPr>
          <w:rFonts w:hint="eastAsia" w:ascii="宋体" w:hAnsi="宋体" w:eastAsia="宋体" w:cs="宋体"/>
          <w:b/>
          <w:bCs/>
          <w:kern w:val="2"/>
          <w:sz w:val="24"/>
          <w:szCs w:val="24"/>
          <w:highlight w:val="none"/>
          <w:lang w:eastAsia="zh-CN"/>
        </w:rPr>
        <w:t>)</w:t>
      </w:r>
      <w:r>
        <w:rPr>
          <w:rFonts w:hint="eastAsia" w:ascii="宋体" w:hAnsi="宋体" w:eastAsia="宋体" w:cs="宋体"/>
          <w:b/>
          <w:bCs/>
          <w:kern w:val="2"/>
          <w:sz w:val="24"/>
          <w:szCs w:val="24"/>
          <w:highlight w:val="none"/>
          <w:lang w:val="en-US" w:eastAsia="zh-CN"/>
        </w:rPr>
        <w:t xml:space="preserve"> </w:t>
      </w:r>
      <w:r>
        <w:rPr>
          <w:rFonts w:hint="eastAsia" w:ascii="宋体" w:hAnsi="宋体" w:eastAsia="宋体" w:cs="宋体"/>
          <w:b/>
          <w:bCs/>
          <w:kern w:val="2"/>
          <w:sz w:val="24"/>
          <w:szCs w:val="24"/>
          <w:highlight w:val="none"/>
          <w:lang w:eastAsia="zh-CN"/>
        </w:rPr>
        <w:t>一般要求</w:t>
      </w:r>
      <w:bookmarkEnd w:id="31"/>
      <w:bookmarkEnd w:id="32"/>
      <w:bookmarkEnd w:id="33"/>
      <w:bookmarkEnd w:id="34"/>
      <w:bookmarkEnd w:id="35"/>
      <w:bookmarkEnd w:id="36"/>
    </w:p>
    <w:p w14:paraId="681380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1.采购人应当自中标通知书发出之日起</w:t>
      </w:r>
      <w:r>
        <w:rPr>
          <w:rFonts w:hint="eastAsia" w:ascii="宋体" w:hAnsi="宋体" w:eastAsia="宋体" w:cs="宋体"/>
          <w:color w:val="auto"/>
          <w:kern w:val="2"/>
          <w:sz w:val="24"/>
          <w:szCs w:val="24"/>
          <w:highlight w:val="none"/>
          <w:lang w:val="en-US" w:eastAsia="zh-CN"/>
        </w:rPr>
        <w:t>7</w:t>
      </w:r>
      <w:r>
        <w:rPr>
          <w:rFonts w:hint="eastAsia" w:ascii="宋体" w:hAnsi="宋体" w:eastAsia="宋体" w:cs="宋体"/>
          <w:color w:val="auto"/>
          <w:kern w:val="2"/>
          <w:sz w:val="24"/>
          <w:szCs w:val="24"/>
          <w:highlight w:val="none"/>
          <w:lang w:eastAsia="zh-CN"/>
        </w:rPr>
        <w:t>日内</w:t>
      </w:r>
      <w:r>
        <w:rPr>
          <w:rFonts w:hint="eastAsia" w:ascii="宋体" w:hAnsi="宋体" w:eastAsia="宋体" w:cs="宋体"/>
          <w:color w:val="0000FF"/>
          <w:kern w:val="2"/>
          <w:sz w:val="24"/>
          <w:szCs w:val="24"/>
          <w:highlight w:val="none"/>
          <w:lang w:eastAsia="zh-CN"/>
        </w:rPr>
        <w:t>，</w:t>
      </w:r>
      <w:r>
        <w:rPr>
          <w:rFonts w:hint="eastAsia" w:ascii="宋体" w:hAnsi="宋体" w:eastAsia="宋体" w:cs="宋体"/>
          <w:kern w:val="2"/>
          <w:sz w:val="24"/>
          <w:szCs w:val="24"/>
          <w:highlight w:val="none"/>
          <w:lang w:eastAsia="zh-CN"/>
        </w:rPr>
        <w:t>按照磋商文件和成交服务商响应文件的规定，与成交服务商签订书面合同。所签订的合同不得对磋商文件确定的事项和成交服务商响应文件作实质性修改。</w:t>
      </w:r>
    </w:p>
    <w:p w14:paraId="33A777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合同签订双方不得提出任何不合理的要求作为签订合同的条件。</w:t>
      </w:r>
    </w:p>
    <w:p w14:paraId="5CAC2E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2</w:t>
      </w:r>
      <w:r>
        <w:rPr>
          <w:rFonts w:hint="eastAsia" w:ascii="宋体" w:hAnsi="宋体" w:eastAsia="宋体" w:cs="宋体"/>
          <w:kern w:val="2"/>
          <w:sz w:val="24"/>
          <w:szCs w:val="24"/>
          <w:highlight w:val="none"/>
          <w:lang w:val="en-US" w:eastAsia="zh-CN"/>
        </w:rPr>
        <w:t>.</w:t>
      </w:r>
      <w:r>
        <w:rPr>
          <w:rFonts w:hint="eastAsia" w:ascii="宋体" w:hAnsi="宋体" w:eastAsia="宋体" w:cs="宋体"/>
          <w:kern w:val="2"/>
          <w:sz w:val="24"/>
          <w:szCs w:val="24"/>
          <w:highlight w:val="none"/>
          <w:lang w:eastAsia="zh-CN"/>
        </w:rPr>
        <w:t>采购合同应当包括采购人与成交服务商的名称和住所、标的、数量、质量、价款或者报酬、履行期限及地点和方式、验收要求、违约责任、解决争议的方法等内容。</w:t>
      </w:r>
    </w:p>
    <w:p w14:paraId="6573F1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eastAsia="zh-CN"/>
        </w:rPr>
        <w:t>3</w:t>
      </w:r>
      <w:r>
        <w:rPr>
          <w:rFonts w:hint="eastAsia" w:ascii="宋体" w:hAnsi="宋体" w:eastAsia="宋体" w:cs="宋体"/>
          <w:kern w:val="2"/>
          <w:sz w:val="24"/>
          <w:szCs w:val="24"/>
          <w:highlight w:val="none"/>
          <w:lang w:val="en-US" w:eastAsia="zh-CN"/>
        </w:rPr>
        <w:t>.</w:t>
      </w:r>
      <w:r>
        <w:rPr>
          <w:rFonts w:hint="eastAsia" w:ascii="宋体" w:hAnsi="宋体" w:eastAsia="宋体" w:cs="宋体"/>
          <w:b w:val="0"/>
          <w:bCs w:val="0"/>
          <w:sz w:val="24"/>
          <w:highlight w:val="none"/>
        </w:rPr>
        <w:t>采购人应当自政府采购合同签订之日起</w:t>
      </w:r>
      <w:r>
        <w:rPr>
          <w:rFonts w:hint="eastAsia" w:ascii="宋体" w:hAnsi="宋体" w:eastAsia="宋体" w:cs="宋体"/>
          <w:b w:val="0"/>
          <w:bCs w:val="0"/>
          <w:sz w:val="24"/>
          <w:highlight w:val="none"/>
          <w:lang w:val="en-US" w:eastAsia="zh-CN"/>
        </w:rPr>
        <w:t>0.5</w:t>
      </w:r>
      <w:r>
        <w:rPr>
          <w:rFonts w:hint="eastAsia" w:ascii="宋体" w:hAnsi="宋体" w:eastAsia="宋体" w:cs="宋体"/>
          <w:b w:val="0"/>
          <w:bCs w:val="0"/>
          <w:sz w:val="24"/>
          <w:highlight w:val="none"/>
        </w:rPr>
        <w:t>个工作日内，将采购合同</w:t>
      </w:r>
      <w:r>
        <w:rPr>
          <w:rFonts w:hint="eastAsia" w:ascii="宋体" w:hAnsi="宋体" w:eastAsia="宋体" w:cs="宋体"/>
          <w:b w:val="0"/>
          <w:bCs w:val="0"/>
          <w:sz w:val="24"/>
          <w:szCs w:val="24"/>
          <w:highlight w:val="none"/>
          <w:lang w:val="en-US" w:eastAsia="zh-CN"/>
        </w:rPr>
        <w:t>在《赤峰市生态环境局官网》（http://sthjj.chifeng.gov.cn）上</w:t>
      </w:r>
      <w:r>
        <w:rPr>
          <w:rFonts w:hint="eastAsia" w:ascii="宋体" w:hAnsi="宋体" w:eastAsia="宋体" w:cs="宋体"/>
          <w:b w:val="0"/>
          <w:bCs w:val="0"/>
          <w:sz w:val="24"/>
          <w:highlight w:val="none"/>
        </w:rPr>
        <w:t>公告。但政府采购合同中涉及国家秘密、商业秘密的内容除外。</w:t>
      </w:r>
    </w:p>
    <w:p w14:paraId="412EAFE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val="en-US" w:eastAsia="zh-CN"/>
        </w:rPr>
        <w:t>4.</w:t>
      </w:r>
      <w:r>
        <w:rPr>
          <w:rFonts w:hint="eastAsia" w:ascii="宋体" w:hAnsi="宋体" w:eastAsia="宋体" w:cs="宋体"/>
          <w:kern w:val="2"/>
          <w:sz w:val="24"/>
          <w:szCs w:val="24"/>
          <w:highlight w:val="none"/>
          <w:lang w:eastAsia="zh-CN"/>
        </w:rPr>
        <w:t>采购人与成交服务商应当根据合同的约定依法履行合同义务。</w:t>
      </w:r>
    </w:p>
    <w:p w14:paraId="3AE43F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采购合同的履行、违约责任和解决争议的方法等适用《中华人民共和国民法典》。</w:t>
      </w:r>
    </w:p>
    <w:p w14:paraId="4A7A830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采购合同的双方当事人不得擅自变更、中止或者终止合同。</w:t>
      </w:r>
    </w:p>
    <w:p w14:paraId="0FFF61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val="en-US" w:eastAsia="zh-CN"/>
        </w:rPr>
        <w:t>5.</w:t>
      </w:r>
      <w:r>
        <w:rPr>
          <w:rFonts w:hint="eastAsia" w:ascii="宋体" w:hAnsi="宋体" w:eastAsia="宋体" w:cs="宋体"/>
          <w:kern w:val="2"/>
          <w:sz w:val="24"/>
          <w:szCs w:val="24"/>
          <w:highlight w:val="none"/>
          <w:lang w:eastAsia="zh-CN"/>
        </w:rPr>
        <w:t>拒绝签订采购合同的按照政府采购法相关规定处理，并承担相应法律责任。</w:t>
      </w:r>
    </w:p>
    <w:p w14:paraId="51BD6CD8">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b/>
          <w:bCs/>
          <w:kern w:val="2"/>
          <w:sz w:val="24"/>
          <w:szCs w:val="24"/>
          <w:highlight w:val="none"/>
          <w:lang w:eastAsia="zh-CN"/>
        </w:rPr>
      </w:pPr>
      <w:bookmarkStart w:id="37" w:name="_Toc1433"/>
      <w:bookmarkStart w:id="38" w:name="_Toc962"/>
      <w:bookmarkStart w:id="39" w:name="_Toc199841599"/>
      <w:bookmarkStart w:id="40" w:name="_Toc28207"/>
      <w:bookmarkStart w:id="41" w:name="_Toc7533"/>
      <w:r>
        <w:rPr>
          <w:rFonts w:hint="eastAsia" w:ascii="宋体" w:hAnsi="宋体" w:eastAsia="宋体" w:cs="宋体"/>
          <w:b/>
          <w:bCs/>
          <w:kern w:val="2"/>
          <w:sz w:val="24"/>
          <w:szCs w:val="24"/>
          <w:highlight w:val="none"/>
          <w:lang w:eastAsia="zh-CN"/>
        </w:rPr>
        <w:t>(</w:t>
      </w:r>
      <w:r>
        <w:rPr>
          <w:rFonts w:hint="eastAsia" w:ascii="宋体" w:hAnsi="宋体" w:eastAsia="宋体" w:cs="宋体"/>
          <w:b/>
          <w:bCs/>
          <w:kern w:val="2"/>
          <w:sz w:val="24"/>
          <w:szCs w:val="24"/>
          <w:highlight w:val="none"/>
          <w:lang w:val="en-US" w:eastAsia="zh-CN"/>
        </w:rPr>
        <w:t>二</w:t>
      </w:r>
      <w:r>
        <w:rPr>
          <w:rFonts w:hint="eastAsia" w:ascii="宋体" w:hAnsi="宋体" w:eastAsia="宋体" w:cs="宋体"/>
          <w:b/>
          <w:bCs/>
          <w:kern w:val="2"/>
          <w:sz w:val="24"/>
          <w:szCs w:val="24"/>
          <w:highlight w:val="none"/>
          <w:lang w:eastAsia="zh-CN"/>
        </w:rPr>
        <w:t>)</w:t>
      </w:r>
      <w:r>
        <w:rPr>
          <w:rFonts w:hint="eastAsia" w:ascii="宋体" w:hAnsi="宋体" w:eastAsia="宋体" w:cs="宋体"/>
          <w:b/>
          <w:bCs/>
          <w:kern w:val="2"/>
          <w:sz w:val="24"/>
          <w:szCs w:val="24"/>
          <w:highlight w:val="none"/>
          <w:lang w:val="en-US" w:eastAsia="zh-CN"/>
        </w:rPr>
        <w:t xml:space="preserve"> </w:t>
      </w:r>
      <w:r>
        <w:rPr>
          <w:rFonts w:hint="eastAsia" w:ascii="宋体" w:hAnsi="宋体" w:eastAsia="宋体" w:cs="宋体"/>
          <w:b/>
          <w:bCs/>
          <w:kern w:val="2"/>
          <w:sz w:val="24"/>
          <w:szCs w:val="24"/>
          <w:highlight w:val="none"/>
          <w:lang w:eastAsia="zh-CN"/>
        </w:rPr>
        <w:t>合同格式及内容</w:t>
      </w:r>
      <w:bookmarkEnd w:id="37"/>
      <w:bookmarkEnd w:id="38"/>
      <w:bookmarkEnd w:id="39"/>
      <w:bookmarkEnd w:id="40"/>
      <w:bookmarkEnd w:id="41"/>
    </w:p>
    <w:p w14:paraId="019F5B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1</w:t>
      </w:r>
      <w:r>
        <w:rPr>
          <w:rFonts w:hint="eastAsia" w:ascii="宋体" w:hAnsi="宋体" w:eastAsia="宋体" w:cs="宋体"/>
          <w:kern w:val="2"/>
          <w:sz w:val="24"/>
          <w:szCs w:val="24"/>
          <w:highlight w:val="none"/>
          <w:lang w:val="en-US" w:eastAsia="zh-CN"/>
        </w:rPr>
        <w:t>.</w:t>
      </w:r>
      <w:r>
        <w:rPr>
          <w:rFonts w:hint="eastAsia" w:ascii="宋体" w:hAnsi="宋体" w:eastAsia="宋体" w:cs="宋体"/>
          <w:kern w:val="2"/>
          <w:sz w:val="24"/>
          <w:szCs w:val="24"/>
          <w:highlight w:val="none"/>
          <w:lang w:eastAsia="zh-CN"/>
        </w:rPr>
        <w:t>具体格式见本磋商文件后附拟签订的《合同文本》(部分合同条款)，响应文件中可以不提供《合同文本》。</w:t>
      </w:r>
    </w:p>
    <w:p w14:paraId="574F539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2.《合同文本》的内容可以根据《民法典》和合同签订双方的实际要求进行修改，但不得改变范本中的实质性内容。</w:t>
      </w:r>
    </w:p>
    <w:p w14:paraId="337561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sectPr>
          <w:footerReference r:id="rId9" w:type="default"/>
          <w:pgSz w:w="11900" w:h="16838"/>
          <w:pgMar w:top="1134" w:right="1134" w:bottom="1134" w:left="1134" w:header="397" w:footer="510" w:gutter="0"/>
          <w:cols w:space="720" w:num="1"/>
        </w:sectPr>
      </w:pPr>
    </w:p>
    <w:p w14:paraId="13B8431E">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政府采购合同</w:t>
      </w:r>
    </w:p>
    <w:p w14:paraId="076DE75D">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（服务类合同参考文本）</w:t>
      </w:r>
    </w:p>
    <w:p w14:paraId="56775FF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合同编号：</w:t>
      </w:r>
    </w:p>
    <w:p w14:paraId="0C1675DE">
      <w:pPr>
        <w:spacing w:line="360" w:lineRule="auto"/>
        <w:rPr>
          <w:rFonts w:hint="eastAsia" w:ascii="宋体" w:hAnsi="宋体" w:eastAsia="宋体" w:cs="宋体"/>
          <w:sz w:val="24"/>
          <w:szCs w:val="24"/>
          <w:highlight w:val="none"/>
        </w:rPr>
      </w:pPr>
    </w:p>
    <w:p w14:paraId="03F96F70">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甲方：***（填写采购单位名称）</w:t>
      </w:r>
    </w:p>
    <w:p w14:paraId="6601F6F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地址：***（填写详细地址）</w:t>
      </w:r>
    </w:p>
    <w:p w14:paraId="7E7B99DA">
      <w:pPr>
        <w:spacing w:line="360" w:lineRule="auto"/>
        <w:rPr>
          <w:rFonts w:hint="eastAsia" w:ascii="宋体" w:hAnsi="宋体" w:eastAsia="宋体" w:cs="宋体"/>
          <w:sz w:val="24"/>
          <w:szCs w:val="24"/>
          <w:highlight w:val="none"/>
        </w:rPr>
      </w:pPr>
    </w:p>
    <w:p w14:paraId="24FDF52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乙方：***（填写中标、成交投标人名称）</w:t>
      </w:r>
    </w:p>
    <w:p w14:paraId="495D18A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地址：***（填写详细地址）</w:t>
      </w:r>
    </w:p>
    <w:p w14:paraId="79F9E1C4">
      <w:pPr>
        <w:spacing w:line="360" w:lineRule="auto"/>
        <w:ind w:firstLine="480" w:firstLineChars="200"/>
        <w:rPr>
          <w:rFonts w:hint="eastAsia" w:ascii="宋体" w:hAnsi="宋体" w:eastAsia="宋体" w:cs="宋体"/>
          <w:sz w:val="24"/>
          <w:szCs w:val="24"/>
          <w:highlight w:val="none"/>
        </w:rPr>
      </w:pPr>
    </w:p>
    <w:p w14:paraId="651C0CD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甲乙双方根据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中华人民共和国政府采购法实施条例</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等相关法律法规、规范性文件以及</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项目（填写项目名称）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（填写政府采购项目编号）的中标（成交）结果、招标（磋商、谈判）文件、投标（响应）文件等文件的相关内容，经平等自愿协商一致，就如下合同条款达成一致意见。</w:t>
      </w:r>
    </w:p>
    <w:p w14:paraId="3A93B2B3">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一、乙方向甲方提供的服务内容</w:t>
      </w:r>
    </w:p>
    <w:p w14:paraId="7EABE94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根据招标（磋商、谈判）文件及中标（成交）结果公告，乙方向甲方提供的服务、货物（如有）内容如下：</w:t>
      </w:r>
    </w:p>
    <w:p w14:paraId="59E838C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14:paraId="2E136236">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二、乙方服务成果的交付时间、地点</w:t>
      </w:r>
      <w:r>
        <w:rPr>
          <w:rFonts w:hint="eastAsia" w:ascii="宋体" w:hAnsi="宋体" w:eastAsia="宋体" w:cs="宋体"/>
          <w:sz w:val="24"/>
          <w:szCs w:val="24"/>
          <w:highlight w:val="none"/>
        </w:rPr>
        <w:t xml:space="preserve"> </w:t>
      </w:r>
    </w:p>
    <w:p w14:paraId="6720D8E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（一）服务期限：</w:t>
      </w:r>
      <w:r>
        <w:rPr>
          <w:rFonts w:hint="eastAsia" w:ascii="宋体" w:hAnsi="宋体" w:eastAsia="宋体" w:cs="宋体"/>
          <w:sz w:val="24"/>
          <w:szCs w:val="24"/>
          <w:highlight w:val="none"/>
          <w:u w:val="single"/>
          <w:lang w:val="en-US" w:eastAsia="zh-CN"/>
        </w:rPr>
        <w:t xml:space="preserve">               </w:t>
      </w:r>
    </w:p>
    <w:p w14:paraId="30BE9E5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（二）服务成果的交付时间和交付要求（如有）：</w:t>
      </w:r>
      <w:r>
        <w:rPr>
          <w:rFonts w:hint="eastAsia" w:ascii="宋体" w:hAnsi="宋体" w:eastAsia="宋体" w:cs="宋体"/>
          <w:sz w:val="24"/>
          <w:szCs w:val="24"/>
          <w:highlight w:val="none"/>
          <w:u w:val="single"/>
          <w:lang w:val="en-US" w:eastAsia="zh-CN"/>
        </w:rPr>
        <w:t xml:space="preserve">               </w:t>
      </w:r>
    </w:p>
    <w:p w14:paraId="4D65DBC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（三）服务地点：</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（填写详细地址）</w:t>
      </w:r>
    </w:p>
    <w:p w14:paraId="4DCA2CD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（四）乙方代表及联系电话：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（填写姓名和联系电话）</w:t>
      </w:r>
    </w:p>
    <w:p w14:paraId="0E48BDA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（五）甲方代表及联系电话：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（填写姓名和联系电话）</w:t>
      </w:r>
    </w:p>
    <w:p w14:paraId="134910E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注：服务成果分阶段交付的，应分别列明各阶段的交付时间、交付内容。</w:t>
      </w:r>
    </w:p>
    <w:p w14:paraId="6B674CBB">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三、乙方提供服务成果的质量</w:t>
      </w:r>
      <w:r>
        <w:rPr>
          <w:rFonts w:hint="eastAsia" w:ascii="宋体" w:hAnsi="宋体" w:eastAsia="宋体" w:cs="宋体"/>
          <w:sz w:val="24"/>
          <w:szCs w:val="24"/>
          <w:highlight w:val="none"/>
        </w:rPr>
        <w:t xml:space="preserve"> </w:t>
      </w:r>
    </w:p>
    <w:p w14:paraId="3BCC77D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（一）乙方提供的服务应同时满足：</w:t>
      </w:r>
    </w:p>
    <w:p w14:paraId="2EB12F7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1.符合国家法律法规和规范性文件对服务质量的要求；</w:t>
      </w:r>
    </w:p>
    <w:p w14:paraId="4AA7788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2.符合甲方招标（磋商、谈判）文件对服务的质量要求；</w:t>
      </w:r>
    </w:p>
    <w:p w14:paraId="2F58A59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3.符合乙方在投标（响应）文件中或磋商、谈判过程中对服务质量作出的书面承诺、声明或保证。上述质量要求作为甲方对乙方服务质量的验收依据。</w:t>
      </w:r>
    </w:p>
    <w:p w14:paraId="39467E9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（二）乙方应根据国家法律法规和规范性文件的规定、招标（磋商、谈判）文件的相关要求、投标（响应）文件及乙方承诺、声明或保证，向甲方提供相应的服务质量证明文件。</w:t>
      </w:r>
    </w:p>
    <w:p w14:paraId="01CC984F">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四、乙方服务成果的交付方式及载体</w:t>
      </w:r>
    </w:p>
    <w:p w14:paraId="0BC4FF6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乙方交付服务成果方式及载体应符合国家法律法规和规范性文件的要求，并符合甲方招标（磋商、谈判）文件的要求、乙方在投标（响应）文件中对服务成果交付方式及载体作出的承诺。</w:t>
      </w:r>
    </w:p>
    <w:p w14:paraId="24004FF6">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五、甲方对乙方服务的监督</w:t>
      </w:r>
      <w:r>
        <w:rPr>
          <w:rFonts w:hint="eastAsia" w:ascii="宋体" w:hAnsi="宋体" w:eastAsia="宋体" w:cs="宋体"/>
          <w:sz w:val="24"/>
          <w:szCs w:val="24"/>
          <w:highlight w:val="none"/>
        </w:rPr>
        <w:t xml:space="preserve"> </w:t>
      </w:r>
    </w:p>
    <w:p w14:paraId="6FFC97F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甲方对乙方提供的服务有权进行监督，当乙方服务质量、服务内容不符合约定时，甲方有权要求乙方及时进行整改，对乙方拒不改正或整改不到位的，甲方有权随时解除合同，并根据具体情况扣除部分或全部服务费用。</w:t>
      </w:r>
    </w:p>
    <w:p w14:paraId="433A1187">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六、合同金额</w:t>
      </w:r>
      <w:r>
        <w:rPr>
          <w:rFonts w:hint="eastAsia" w:ascii="宋体" w:hAnsi="宋体" w:eastAsia="宋体" w:cs="宋体"/>
          <w:sz w:val="24"/>
          <w:szCs w:val="24"/>
          <w:highlight w:val="none"/>
        </w:rPr>
        <w:t xml:space="preserve"> </w:t>
      </w:r>
    </w:p>
    <w:p w14:paraId="7223C92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在乙方提供完全符合合同要求的服务的前提下，本合同总金额为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元（小写）</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（大写）。</w:t>
      </w:r>
    </w:p>
    <w:p w14:paraId="496AF069">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七、付款时间及条件</w:t>
      </w:r>
      <w:r>
        <w:rPr>
          <w:rFonts w:hint="eastAsia" w:ascii="宋体" w:hAnsi="宋体" w:eastAsia="宋体" w:cs="宋体"/>
          <w:sz w:val="24"/>
          <w:szCs w:val="24"/>
          <w:highlight w:val="none"/>
        </w:rPr>
        <w:t xml:space="preserve"> </w:t>
      </w:r>
    </w:p>
    <w:p w14:paraId="19DE45F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（一）付款时间及付款金额：</w:t>
      </w:r>
      <w:r>
        <w:rPr>
          <w:rFonts w:hint="eastAsia" w:ascii="宋体" w:hAnsi="宋体" w:eastAsia="宋体" w:cs="宋体"/>
          <w:sz w:val="24"/>
          <w:szCs w:val="24"/>
          <w:highlight w:val="none"/>
          <w:u w:val="single"/>
          <w:lang w:val="en-US" w:eastAsia="zh-CN"/>
        </w:rPr>
        <w:t xml:space="preserve">               </w:t>
      </w:r>
    </w:p>
    <w:p w14:paraId="69F2BAE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（二）付款条件：</w:t>
      </w:r>
      <w:r>
        <w:rPr>
          <w:rFonts w:hint="eastAsia" w:ascii="宋体" w:hAnsi="宋体" w:eastAsia="宋体" w:cs="宋体"/>
          <w:sz w:val="24"/>
          <w:szCs w:val="24"/>
          <w:highlight w:val="none"/>
          <w:u w:val="single"/>
          <w:lang w:val="en-US" w:eastAsia="zh-CN"/>
        </w:rPr>
        <w:t xml:space="preserve">               </w:t>
      </w:r>
    </w:p>
    <w:p w14:paraId="76CECE2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（三）乙方账户信息</w:t>
      </w:r>
    </w:p>
    <w:p w14:paraId="42BFAC0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乙方名称：</w:t>
      </w:r>
      <w:r>
        <w:rPr>
          <w:rFonts w:hint="eastAsia" w:ascii="宋体" w:hAnsi="宋体" w:eastAsia="宋体" w:cs="宋体"/>
          <w:sz w:val="24"/>
          <w:szCs w:val="24"/>
          <w:highlight w:val="none"/>
          <w:u w:val="single"/>
          <w:lang w:val="en-US" w:eastAsia="zh-CN"/>
        </w:rPr>
        <w:t xml:space="preserve">               </w:t>
      </w:r>
    </w:p>
    <w:p w14:paraId="7F5C46A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r>
        <w:rPr>
          <w:rFonts w:hint="eastAsia" w:ascii="宋体" w:hAnsi="宋体" w:eastAsia="宋体" w:cs="宋体"/>
          <w:sz w:val="24"/>
          <w:szCs w:val="24"/>
          <w:highlight w:val="none"/>
          <w:u w:val="single"/>
          <w:lang w:val="en-US" w:eastAsia="zh-CN"/>
        </w:rPr>
        <w:t xml:space="preserve">               </w:t>
      </w:r>
    </w:p>
    <w:p w14:paraId="58E5E8B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r>
        <w:rPr>
          <w:rFonts w:hint="eastAsia" w:ascii="宋体" w:hAnsi="宋体" w:eastAsia="宋体" w:cs="宋体"/>
          <w:sz w:val="24"/>
          <w:szCs w:val="24"/>
          <w:highlight w:val="none"/>
          <w:u w:val="single"/>
          <w:lang w:val="en-US" w:eastAsia="zh-CN"/>
        </w:rPr>
        <w:t xml:space="preserve">               </w:t>
      </w:r>
    </w:p>
    <w:p w14:paraId="4C526441">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八、知识产权</w:t>
      </w:r>
      <w:r>
        <w:rPr>
          <w:rFonts w:hint="eastAsia" w:ascii="宋体" w:hAnsi="宋体" w:eastAsia="宋体" w:cs="宋体"/>
          <w:sz w:val="24"/>
          <w:szCs w:val="24"/>
          <w:highlight w:val="none"/>
        </w:rPr>
        <w:t xml:space="preserve"> </w:t>
      </w:r>
    </w:p>
    <w:p w14:paraId="5EBA440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乙方应保证其提供的服务及服务成果的全部及部分，均不存在侵犯第三方知识产权的情形，其服务成果的所有权由甲方享有。否则，乙方应向甲方承担违约责任及赔偿由此给甲方造成的名誉及经济损失。</w:t>
      </w:r>
    </w:p>
    <w:p w14:paraId="543DF943">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九、违约条款</w:t>
      </w:r>
      <w:r>
        <w:rPr>
          <w:rFonts w:hint="eastAsia" w:ascii="宋体" w:hAnsi="宋体" w:eastAsia="宋体" w:cs="宋体"/>
          <w:sz w:val="24"/>
          <w:szCs w:val="24"/>
          <w:highlight w:val="none"/>
        </w:rPr>
        <w:t xml:space="preserve"> </w:t>
      </w:r>
    </w:p>
    <w:p w14:paraId="5176693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（一）甲方没有正当理由逾期支付合同款项的，每延期一日，甲方应按照逾期支付金额的</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承担违约责任。延期达到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日，乙方有权解除合同，并要求甲方赔偿由此造成的经济损失。</w:t>
      </w:r>
    </w:p>
    <w:p w14:paraId="64ADF6C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（二）甲方存在其他违反本合同的行为，应承担相应的违约责任（注：可以根据情况进行细化）；违约金不足以赔偿乙方损失的，乙方有权要求甲方赔偿由此造成的经济损失。</w:t>
      </w:r>
    </w:p>
    <w:p w14:paraId="5374321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（三）乙方逾期提供服务成果的，每延期一日，乙方应按照合同总金额的</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承担违约责任。延期达到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日，甲方有权解除合同，拒付延期部分的相应服务款项，并要求乙方赔偿甲方的经济损失。</w:t>
      </w:r>
    </w:p>
    <w:p w14:paraId="03F36C6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（四）乙方交付的服务不符合质量要求，或其服务成果存在侵权行为的，甲方有权解除合同，并要求乙方支付合同总金额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%的违约金，违约金不足以赔偿甲方损失的，甲方有权要求乙方赔偿经济损失。</w:t>
      </w:r>
    </w:p>
    <w:p w14:paraId="520FC3B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（五）乙方在参与本项目采购活动过程中，如存在提供虚假承诺、证明、串通投标等违法违规行为，除承担相应的行政责任外，甲方有权解除合同，并要求乙方承担合同总金额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%的违约金，违约金不足以赔偿甲方损失的，甲方有权要求乙方赔偿经济损失。</w:t>
      </w:r>
    </w:p>
    <w:p w14:paraId="5498780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（六）乙方存在其他违反本合同的行为，应承担相应的违约责任（注：可以根据情况进行细化）；违约金不足以赔偿甲方损失的，甲方有权要求乙方赔偿经济损失。</w:t>
      </w:r>
    </w:p>
    <w:p w14:paraId="493083CB">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十、不可抗力</w:t>
      </w:r>
    </w:p>
    <w:p w14:paraId="1A70D93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因不可抗力致使一方不能及时或完全履行合同的，应及时通知另一方，双方互不承担责任，并在</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天内提供有关不可抗力的相关证明。合同未履行部分是否继续履行、如何履行等问题，由双方协商解决。</w:t>
      </w:r>
    </w:p>
    <w:p w14:paraId="15DBEA6D">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十一、争议的解决方式</w:t>
      </w:r>
      <w:r>
        <w:rPr>
          <w:rFonts w:hint="eastAsia" w:ascii="宋体" w:hAnsi="宋体" w:eastAsia="宋体" w:cs="宋体"/>
          <w:sz w:val="24"/>
          <w:szCs w:val="24"/>
          <w:highlight w:val="none"/>
        </w:rPr>
        <w:t xml:space="preserve"> </w:t>
      </w:r>
    </w:p>
    <w:p w14:paraId="092DB6D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合同发生纠纷时，双方应协商解决，协商不成，可以采用下列方式解决：</w:t>
      </w:r>
    </w:p>
    <w:p w14:paraId="2DBD3BD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（一）提交</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仲裁委员会仲裁。</w:t>
      </w:r>
    </w:p>
    <w:p w14:paraId="6282094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（二）向</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人民法院起诉。</w:t>
      </w:r>
    </w:p>
    <w:p w14:paraId="2FF83289">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十二、合同保存</w:t>
      </w:r>
      <w:r>
        <w:rPr>
          <w:rFonts w:hint="eastAsia" w:ascii="宋体" w:hAnsi="宋体" w:eastAsia="宋体" w:cs="宋体"/>
          <w:sz w:val="24"/>
          <w:szCs w:val="24"/>
          <w:highlight w:val="none"/>
        </w:rPr>
        <w:t xml:space="preserve"> </w:t>
      </w:r>
    </w:p>
    <w:p w14:paraId="52209F4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合同文本一</w:t>
      </w:r>
      <w:r>
        <w:rPr>
          <w:rFonts w:hint="eastAsia" w:ascii="宋体" w:hAnsi="宋体" w:eastAsia="宋体" w:cs="宋体"/>
          <w:sz w:val="24"/>
          <w:szCs w:val="24"/>
          <w:highlight w:val="none"/>
          <w:lang w:val="en-US" w:eastAsia="zh-CN"/>
        </w:rPr>
        <w:t>式</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份，采购单位、中标（成交）投标人、采购代理机构、</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各执一份。合同文本保存期限为从采购结束之日起至少保存十五年。</w:t>
      </w:r>
    </w:p>
    <w:p w14:paraId="2ABD2B9A">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十三、合同附件</w:t>
      </w:r>
      <w:r>
        <w:rPr>
          <w:rFonts w:hint="eastAsia" w:ascii="宋体" w:hAnsi="宋体" w:eastAsia="宋体" w:cs="宋体"/>
          <w:sz w:val="24"/>
          <w:szCs w:val="24"/>
          <w:highlight w:val="none"/>
        </w:rPr>
        <w:t xml:space="preserve"> </w:t>
      </w:r>
    </w:p>
    <w:p w14:paraId="424F1FE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本合同所附下列文件是构成本合同不可分割的部分，与本合同具有同等法律效力：</w:t>
      </w:r>
    </w:p>
    <w:p w14:paraId="103AF6C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1、乙方出具的报价单（函）</w:t>
      </w:r>
    </w:p>
    <w:p w14:paraId="5AB55A7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、中标（成交）结果公告及中标（成交）通知书</w:t>
      </w:r>
    </w:p>
    <w:p w14:paraId="7BF8FA8D">
      <w:pPr>
        <w:spacing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十四、双方约定的其他事宜</w:t>
      </w:r>
      <w:r>
        <w:rPr>
          <w:rFonts w:hint="eastAsia" w:ascii="宋体" w:hAnsi="宋体" w:eastAsia="宋体" w:cs="宋体"/>
          <w:sz w:val="24"/>
          <w:szCs w:val="24"/>
          <w:highlight w:val="none"/>
        </w:rPr>
        <w:t xml:space="preserve"> </w:t>
      </w:r>
    </w:p>
    <w:p w14:paraId="27C37D7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14:paraId="552F641D">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十五、合同未尽事宜，双方另行签订补充协议，补充协议是合同的组成部分。 </w:t>
      </w:r>
    </w:p>
    <w:p w14:paraId="0D26A97D">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十六、本合同由甲乙双方盖章生效。</w:t>
      </w:r>
    </w:p>
    <w:p w14:paraId="6E3A0828">
      <w:pPr>
        <w:spacing w:line="360" w:lineRule="auto"/>
        <w:rPr>
          <w:rFonts w:hint="eastAsia" w:ascii="宋体" w:hAnsi="宋体" w:eastAsia="宋体" w:cs="宋体"/>
          <w:sz w:val="24"/>
          <w:szCs w:val="24"/>
          <w:highlight w:val="none"/>
        </w:rPr>
      </w:pPr>
    </w:p>
    <w:p w14:paraId="76E40C0D">
      <w:pPr>
        <w:spacing w:line="360" w:lineRule="auto"/>
        <w:rPr>
          <w:rFonts w:hint="eastAsia" w:ascii="宋体" w:hAnsi="宋体" w:eastAsia="宋体" w:cs="宋体"/>
          <w:sz w:val="24"/>
          <w:szCs w:val="24"/>
          <w:highlight w:val="none"/>
        </w:rPr>
      </w:pPr>
    </w:p>
    <w:p w14:paraId="7A24FEB7">
      <w:pPr>
        <w:spacing w:line="360" w:lineRule="auto"/>
        <w:rPr>
          <w:rFonts w:hint="eastAsia" w:ascii="宋体" w:hAnsi="宋体" w:eastAsia="宋体" w:cs="宋体"/>
          <w:sz w:val="24"/>
          <w:szCs w:val="24"/>
          <w:highlight w:val="none"/>
        </w:rPr>
      </w:pPr>
    </w:p>
    <w:p w14:paraId="569790E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甲方名称：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签</w:t>
      </w:r>
      <w:r>
        <w:rPr>
          <w:rFonts w:hint="eastAsia" w:ascii="宋体" w:hAnsi="宋体" w:eastAsia="宋体" w:cs="宋体"/>
          <w:sz w:val="24"/>
          <w:szCs w:val="24"/>
          <w:highlight w:val="none"/>
        </w:rPr>
        <w:t>章）</w:t>
      </w:r>
    </w:p>
    <w:p w14:paraId="1D1AF802">
      <w:pPr>
        <w:spacing w:line="360" w:lineRule="auto"/>
        <w:rPr>
          <w:rFonts w:hint="eastAsia" w:ascii="宋体" w:hAnsi="宋体" w:eastAsia="宋体" w:cs="宋体"/>
          <w:sz w:val="24"/>
          <w:szCs w:val="24"/>
          <w:highlight w:val="none"/>
        </w:rPr>
      </w:pPr>
    </w:p>
    <w:p w14:paraId="1598B89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甲方法定代表人或负责人：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val="en-US" w:eastAsia="zh-CN"/>
        </w:rPr>
        <w:t>或签章</w:t>
      </w:r>
      <w:r>
        <w:rPr>
          <w:rFonts w:hint="eastAsia" w:ascii="宋体" w:hAnsi="宋体" w:eastAsia="宋体" w:cs="宋体"/>
          <w:sz w:val="24"/>
          <w:szCs w:val="24"/>
          <w:highlight w:val="none"/>
        </w:rPr>
        <w:t>）</w:t>
      </w:r>
    </w:p>
    <w:p w14:paraId="3DDC14F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w:t>
      </w:r>
    </w:p>
    <w:p w14:paraId="5A52A4B9">
      <w:pPr>
        <w:spacing w:line="360" w:lineRule="auto"/>
        <w:rPr>
          <w:rFonts w:hint="eastAsia" w:ascii="宋体" w:hAnsi="宋体" w:eastAsia="宋体" w:cs="宋体"/>
          <w:sz w:val="24"/>
          <w:szCs w:val="24"/>
          <w:highlight w:val="none"/>
        </w:rPr>
      </w:pPr>
    </w:p>
    <w:p w14:paraId="6CD995B2">
      <w:pPr>
        <w:spacing w:line="360" w:lineRule="auto"/>
        <w:rPr>
          <w:rFonts w:hint="eastAsia" w:ascii="宋体" w:hAnsi="宋体" w:eastAsia="宋体" w:cs="宋体"/>
          <w:sz w:val="24"/>
          <w:szCs w:val="24"/>
          <w:highlight w:val="none"/>
        </w:rPr>
      </w:pPr>
    </w:p>
    <w:p w14:paraId="2C2BAAD2">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乙方名称：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签</w:t>
      </w:r>
      <w:r>
        <w:rPr>
          <w:rFonts w:hint="eastAsia" w:ascii="宋体" w:hAnsi="宋体" w:eastAsia="宋体" w:cs="宋体"/>
          <w:sz w:val="24"/>
          <w:szCs w:val="24"/>
          <w:highlight w:val="none"/>
        </w:rPr>
        <w:t>章）</w:t>
      </w:r>
    </w:p>
    <w:p w14:paraId="75EAD2EC">
      <w:pPr>
        <w:spacing w:line="360" w:lineRule="auto"/>
        <w:rPr>
          <w:rFonts w:hint="eastAsia" w:ascii="宋体" w:hAnsi="宋体" w:eastAsia="宋体" w:cs="宋体"/>
          <w:sz w:val="24"/>
          <w:szCs w:val="24"/>
          <w:highlight w:val="none"/>
        </w:rPr>
      </w:pPr>
    </w:p>
    <w:p w14:paraId="3E1D993C">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乙方法定代表人或负责人：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val="en-US" w:eastAsia="zh-CN"/>
        </w:rPr>
        <w:t>或签章</w:t>
      </w:r>
      <w:r>
        <w:rPr>
          <w:rFonts w:hint="eastAsia" w:ascii="宋体" w:hAnsi="宋体" w:eastAsia="宋体" w:cs="宋体"/>
          <w:sz w:val="24"/>
          <w:szCs w:val="24"/>
          <w:highlight w:val="none"/>
        </w:rPr>
        <w:t>）</w:t>
      </w:r>
    </w:p>
    <w:p w14:paraId="55980214">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w:t>
      </w:r>
    </w:p>
    <w:p w14:paraId="4A174064">
      <w:pPr>
        <w:pStyle w:val="44"/>
        <w:keepNext w:val="0"/>
        <w:keepLines w:val="0"/>
        <w:pageBreakBefore w:val="0"/>
        <w:widowControl w:val="0"/>
        <w:numPr>
          <w:ilvl w:val="0"/>
          <w:numId w:val="0"/>
        </w:numPr>
        <w:tabs>
          <w:tab w:val="left" w:pos="890"/>
        </w:tabs>
        <w:kinsoku/>
        <w:wordWrap w:val="0"/>
        <w:overflowPunct/>
        <w:topLinePunct w:val="0"/>
        <w:autoSpaceDE/>
        <w:autoSpaceDN/>
        <w:bidi w:val="0"/>
        <w:adjustRightInd/>
        <w:snapToGrid/>
        <w:spacing w:line="500" w:lineRule="exact"/>
        <w:ind w:right="309" w:rightChars="0"/>
        <w:jc w:val="left"/>
        <w:textAlignment w:val="auto"/>
        <w:outlineLvl w:val="1"/>
        <w:rPr>
          <w:rFonts w:hint="eastAsia" w:ascii="宋体" w:hAnsi="宋体" w:eastAsia="宋体" w:cs="宋体"/>
          <w:b/>
          <w:sz w:val="24"/>
          <w:szCs w:val="24"/>
          <w:highlight w:val="none"/>
        </w:rPr>
      </w:pPr>
      <w:r>
        <w:rPr>
          <w:rFonts w:hint="eastAsia" w:ascii="宋体" w:hAnsi="宋体" w:eastAsia="宋体" w:cs="宋体"/>
          <w:sz w:val="24"/>
          <w:szCs w:val="24"/>
          <w:highlight w:val="none"/>
        </w:rPr>
        <w:br w:type="page"/>
      </w:r>
      <w:bookmarkStart w:id="42" w:name="_Toc17147"/>
      <w:r>
        <w:rPr>
          <w:rFonts w:hint="eastAsia" w:ascii="宋体" w:hAnsi="宋体" w:eastAsia="宋体" w:cs="宋体"/>
          <w:b/>
          <w:spacing w:val="18"/>
          <w:sz w:val="24"/>
          <w:szCs w:val="24"/>
          <w:highlight w:val="none"/>
        </w:rPr>
        <w:t>二</w:t>
      </w:r>
      <w:r>
        <w:rPr>
          <w:rFonts w:hint="eastAsia" w:ascii="宋体" w:hAnsi="宋体" w:eastAsia="宋体" w:cs="宋体"/>
          <w:b/>
          <w:spacing w:val="18"/>
          <w:sz w:val="24"/>
          <w:szCs w:val="24"/>
          <w:highlight w:val="none"/>
          <w:lang w:eastAsia="zh-CN"/>
        </w:rPr>
        <w:t>、</w:t>
      </w:r>
      <w:r>
        <w:rPr>
          <w:rFonts w:hint="eastAsia" w:ascii="宋体" w:hAnsi="宋体" w:eastAsia="宋体" w:cs="宋体"/>
          <w:b/>
          <w:spacing w:val="6"/>
          <w:sz w:val="24"/>
          <w:szCs w:val="24"/>
          <w:highlight w:val="none"/>
        </w:rPr>
        <w:t>验收</w:t>
      </w:r>
      <w:bookmarkEnd w:id="42"/>
    </w:p>
    <w:p w14:paraId="3996FE4C">
      <w:pPr>
        <w:pageBreakBefore w:val="0"/>
        <w:wordWrap w:val="0"/>
        <w:topLinePunct w:val="0"/>
        <w:bidi w:val="0"/>
        <w:spacing w:line="500" w:lineRule="exact"/>
        <w:ind w:firstLine="480" w:firstLineChars="200"/>
        <w:jc w:val="left"/>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项目完成后，成交供应商应当配合采购人提供验收需要的相关资料，按采购人要求的验收流程及措施对项目进行履约验收。</w:t>
      </w:r>
    </w:p>
    <w:p w14:paraId="06BF3CBB">
      <w:pPr>
        <w:keepNext w:val="0"/>
        <w:keepLines w:val="0"/>
        <w:widowControl/>
        <w:suppressLineNumbers w:val="0"/>
        <w:spacing w:line="360" w:lineRule="auto"/>
        <w:jc w:val="center"/>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kern w:val="2"/>
          <w:sz w:val="24"/>
          <w:szCs w:val="24"/>
          <w:highlight w:val="none"/>
          <w:lang w:val="en-US" w:eastAsia="zh-CN" w:bidi="ar-SA"/>
        </w:rPr>
        <w:br w:type="page"/>
      </w:r>
      <w:r>
        <w:rPr>
          <w:rFonts w:hint="eastAsia" w:ascii="宋体" w:hAnsi="宋体" w:eastAsia="宋体" w:cs="宋体"/>
          <w:b/>
          <w:bCs/>
          <w:color w:val="000000"/>
          <w:kern w:val="0"/>
          <w:sz w:val="24"/>
          <w:szCs w:val="24"/>
          <w:highlight w:val="none"/>
          <w:lang w:val="en-US" w:eastAsia="zh-CN" w:bidi="ar"/>
        </w:rPr>
        <w:t>政府采购服务履约验收书</w:t>
      </w:r>
    </w:p>
    <w:p w14:paraId="7ECA5FCA">
      <w:pPr>
        <w:keepNext w:val="0"/>
        <w:keepLines w:val="0"/>
        <w:widowControl/>
        <w:suppressLineNumbers w:val="0"/>
        <w:spacing w:line="360" w:lineRule="auto"/>
        <w:jc w:val="center"/>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（参考格式）</w:t>
      </w:r>
    </w:p>
    <w:tbl>
      <w:tblPr>
        <w:tblStyle w:val="22"/>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9"/>
        <w:gridCol w:w="6530"/>
      </w:tblGrid>
      <w:tr w14:paraId="4F3D8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49" w:type="dxa"/>
            <w:noWrap w:val="0"/>
            <w:vAlign w:val="center"/>
          </w:tcPr>
          <w:p w14:paraId="74D18794">
            <w:pPr>
              <w:keepNext w:val="0"/>
              <w:keepLines w:val="0"/>
              <w:widowControl/>
              <w:suppressLineNumbers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color w:val="000000"/>
                <w:kern w:val="0"/>
                <w:sz w:val="19"/>
                <w:szCs w:val="19"/>
                <w:highlight w:val="none"/>
                <w:lang w:val="en-US" w:eastAsia="zh-CN" w:bidi="ar"/>
              </w:rPr>
              <w:t xml:space="preserve">项目名称 </w:t>
            </w:r>
          </w:p>
        </w:tc>
        <w:tc>
          <w:tcPr>
            <w:tcW w:w="6530" w:type="dxa"/>
            <w:noWrap w:val="0"/>
            <w:vAlign w:val="center"/>
          </w:tcPr>
          <w:p w14:paraId="08AC61B6">
            <w:pPr>
              <w:pStyle w:val="15"/>
              <w:widowControl w:val="0"/>
              <w:spacing w:line="240" w:lineRule="auto"/>
              <w:jc w:val="both"/>
              <w:rPr>
                <w:rFonts w:hint="eastAsia" w:ascii="宋体" w:hAnsi="宋体" w:eastAsia="宋体" w:cs="宋体"/>
                <w:sz w:val="21"/>
                <w:szCs w:val="21"/>
                <w:highlight w:val="none"/>
                <w:vertAlign w:val="baseline"/>
              </w:rPr>
            </w:pPr>
          </w:p>
        </w:tc>
      </w:tr>
      <w:tr w14:paraId="31A08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49" w:type="dxa"/>
            <w:noWrap w:val="0"/>
            <w:vAlign w:val="center"/>
          </w:tcPr>
          <w:p w14:paraId="7BBF5F9B">
            <w:pPr>
              <w:keepNext w:val="0"/>
              <w:keepLines w:val="0"/>
              <w:widowControl/>
              <w:suppressLineNumbers w:val="0"/>
              <w:spacing w:line="240" w:lineRule="auto"/>
              <w:jc w:val="both"/>
              <w:rPr>
                <w:rFonts w:hint="eastAsia" w:ascii="宋体" w:hAnsi="宋体" w:eastAsia="宋体" w:cs="宋体"/>
                <w:sz w:val="21"/>
                <w:szCs w:val="21"/>
                <w:highlight w:val="none"/>
                <w:vertAlign w:val="baseline"/>
              </w:rPr>
            </w:pPr>
            <w:r>
              <w:rPr>
                <w:rFonts w:hint="eastAsia" w:ascii="宋体" w:hAnsi="宋体" w:eastAsia="宋体" w:cs="宋体"/>
                <w:color w:val="000000"/>
                <w:kern w:val="0"/>
                <w:sz w:val="19"/>
                <w:szCs w:val="19"/>
                <w:highlight w:val="none"/>
                <w:lang w:val="en-US" w:eastAsia="zh-CN" w:bidi="ar"/>
              </w:rPr>
              <w:t xml:space="preserve">项目编号 </w:t>
            </w:r>
          </w:p>
        </w:tc>
        <w:tc>
          <w:tcPr>
            <w:tcW w:w="6530" w:type="dxa"/>
            <w:noWrap w:val="0"/>
            <w:vAlign w:val="center"/>
          </w:tcPr>
          <w:p w14:paraId="61FBE8DA">
            <w:pPr>
              <w:pStyle w:val="15"/>
              <w:widowControl w:val="0"/>
              <w:spacing w:line="240" w:lineRule="auto"/>
              <w:jc w:val="both"/>
              <w:rPr>
                <w:rFonts w:hint="eastAsia" w:ascii="宋体" w:hAnsi="宋体" w:eastAsia="宋体" w:cs="宋体"/>
                <w:sz w:val="21"/>
                <w:szCs w:val="21"/>
                <w:highlight w:val="none"/>
                <w:vertAlign w:val="baseline"/>
              </w:rPr>
            </w:pPr>
          </w:p>
        </w:tc>
      </w:tr>
      <w:tr w14:paraId="31940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49" w:type="dxa"/>
            <w:noWrap w:val="0"/>
            <w:vAlign w:val="center"/>
          </w:tcPr>
          <w:p w14:paraId="6196E21D">
            <w:pPr>
              <w:keepNext w:val="0"/>
              <w:keepLines w:val="0"/>
              <w:widowControl/>
              <w:suppressLineNumbers w:val="0"/>
              <w:spacing w:line="240" w:lineRule="auto"/>
              <w:jc w:val="both"/>
              <w:rPr>
                <w:rFonts w:hint="eastAsia" w:ascii="宋体" w:hAnsi="宋体" w:eastAsia="宋体" w:cs="宋体"/>
                <w:sz w:val="21"/>
                <w:szCs w:val="21"/>
                <w:highlight w:val="none"/>
                <w:vertAlign w:val="baseline"/>
              </w:rPr>
            </w:pPr>
            <w:r>
              <w:rPr>
                <w:rFonts w:hint="eastAsia" w:ascii="宋体" w:hAnsi="宋体" w:eastAsia="宋体" w:cs="宋体"/>
                <w:color w:val="000000"/>
                <w:kern w:val="0"/>
                <w:sz w:val="19"/>
                <w:szCs w:val="19"/>
                <w:highlight w:val="none"/>
                <w:lang w:val="en-US" w:eastAsia="zh-CN" w:bidi="ar"/>
              </w:rPr>
              <w:t xml:space="preserve">采购人 </w:t>
            </w:r>
          </w:p>
        </w:tc>
        <w:tc>
          <w:tcPr>
            <w:tcW w:w="6530" w:type="dxa"/>
            <w:noWrap w:val="0"/>
            <w:vAlign w:val="center"/>
          </w:tcPr>
          <w:p w14:paraId="5D8B4BDA">
            <w:pPr>
              <w:pStyle w:val="15"/>
              <w:widowControl w:val="0"/>
              <w:spacing w:line="240" w:lineRule="auto"/>
              <w:jc w:val="both"/>
              <w:rPr>
                <w:rFonts w:hint="eastAsia" w:ascii="宋体" w:hAnsi="宋体" w:eastAsia="宋体" w:cs="宋体"/>
                <w:sz w:val="21"/>
                <w:szCs w:val="21"/>
                <w:highlight w:val="none"/>
                <w:vertAlign w:val="baseline"/>
              </w:rPr>
            </w:pPr>
          </w:p>
        </w:tc>
      </w:tr>
      <w:tr w14:paraId="0E790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49" w:type="dxa"/>
            <w:noWrap w:val="0"/>
            <w:vAlign w:val="center"/>
          </w:tcPr>
          <w:p w14:paraId="21D80B5C">
            <w:pPr>
              <w:keepNext w:val="0"/>
              <w:keepLines w:val="0"/>
              <w:widowControl/>
              <w:suppressLineNumbers w:val="0"/>
              <w:spacing w:line="240" w:lineRule="auto"/>
              <w:jc w:val="both"/>
              <w:rPr>
                <w:rFonts w:hint="eastAsia" w:ascii="宋体" w:hAnsi="宋体" w:eastAsia="宋体" w:cs="宋体"/>
                <w:sz w:val="21"/>
                <w:szCs w:val="21"/>
                <w:highlight w:val="none"/>
                <w:vertAlign w:val="baseline"/>
              </w:rPr>
            </w:pPr>
            <w:r>
              <w:rPr>
                <w:rFonts w:hint="eastAsia" w:ascii="宋体" w:hAnsi="宋体" w:eastAsia="宋体" w:cs="宋体"/>
                <w:color w:val="000000"/>
                <w:kern w:val="0"/>
                <w:sz w:val="19"/>
                <w:szCs w:val="19"/>
                <w:highlight w:val="none"/>
                <w:lang w:val="en-US" w:eastAsia="zh-CN" w:bidi="ar"/>
              </w:rPr>
              <w:t xml:space="preserve">使用人 </w:t>
            </w:r>
          </w:p>
        </w:tc>
        <w:tc>
          <w:tcPr>
            <w:tcW w:w="6530" w:type="dxa"/>
            <w:noWrap w:val="0"/>
            <w:vAlign w:val="center"/>
          </w:tcPr>
          <w:p w14:paraId="35C1A37A">
            <w:pPr>
              <w:pStyle w:val="15"/>
              <w:widowControl w:val="0"/>
              <w:spacing w:line="240" w:lineRule="auto"/>
              <w:jc w:val="both"/>
              <w:rPr>
                <w:rFonts w:hint="eastAsia" w:ascii="宋体" w:hAnsi="宋体" w:eastAsia="宋体" w:cs="宋体"/>
                <w:sz w:val="21"/>
                <w:szCs w:val="21"/>
                <w:highlight w:val="none"/>
                <w:vertAlign w:val="baseline"/>
              </w:rPr>
            </w:pPr>
          </w:p>
        </w:tc>
      </w:tr>
      <w:tr w14:paraId="33FA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49" w:type="dxa"/>
            <w:noWrap w:val="0"/>
            <w:vAlign w:val="center"/>
          </w:tcPr>
          <w:p w14:paraId="7503BE9D">
            <w:pPr>
              <w:keepNext w:val="0"/>
              <w:keepLines w:val="0"/>
              <w:widowControl/>
              <w:suppressLineNumbers w:val="0"/>
              <w:spacing w:line="240" w:lineRule="auto"/>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供应商</w:t>
            </w:r>
          </w:p>
        </w:tc>
        <w:tc>
          <w:tcPr>
            <w:tcW w:w="6530" w:type="dxa"/>
            <w:noWrap w:val="0"/>
            <w:vAlign w:val="center"/>
          </w:tcPr>
          <w:p w14:paraId="09AFA93C">
            <w:pPr>
              <w:pStyle w:val="15"/>
              <w:widowControl w:val="0"/>
              <w:spacing w:line="240" w:lineRule="auto"/>
              <w:jc w:val="both"/>
              <w:rPr>
                <w:rFonts w:hint="eastAsia" w:ascii="宋体" w:hAnsi="宋体" w:eastAsia="宋体" w:cs="宋体"/>
                <w:sz w:val="21"/>
                <w:szCs w:val="21"/>
                <w:highlight w:val="none"/>
                <w:vertAlign w:val="baseline"/>
              </w:rPr>
            </w:pPr>
          </w:p>
        </w:tc>
      </w:tr>
      <w:tr w14:paraId="6FD37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trPr>
        <w:tc>
          <w:tcPr>
            <w:tcW w:w="2749" w:type="dxa"/>
            <w:noWrap w:val="0"/>
            <w:vAlign w:val="center"/>
          </w:tcPr>
          <w:p w14:paraId="25F16076">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验收依据</w:t>
            </w:r>
          </w:p>
        </w:tc>
        <w:tc>
          <w:tcPr>
            <w:tcW w:w="6530" w:type="dxa"/>
            <w:noWrap w:val="0"/>
            <w:vAlign w:val="center"/>
          </w:tcPr>
          <w:p w14:paraId="32973A12">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1.政府采购合同（合同名称及编号） </w:t>
            </w:r>
          </w:p>
          <w:p w14:paraId="0FAD55B7">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2.中标（成交）公告或中标（成交）通知书 </w:t>
            </w:r>
          </w:p>
          <w:p w14:paraId="7E77DA21">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3.招标（磋商、谈判）文件或询价通知书 </w:t>
            </w:r>
          </w:p>
          <w:p w14:paraId="07567B41">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4.投标（响应）文件 </w:t>
            </w:r>
          </w:p>
          <w:p w14:paraId="331049A0">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5.供应商的承诺、声明或保证（如有） </w:t>
            </w:r>
          </w:p>
          <w:p w14:paraId="48B2C72E">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注：验收依据可根据项目具体情况适当增加</w:t>
            </w:r>
          </w:p>
        </w:tc>
      </w:tr>
      <w:tr w14:paraId="50543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2749" w:type="dxa"/>
            <w:noWrap w:val="0"/>
            <w:vAlign w:val="center"/>
          </w:tcPr>
          <w:p w14:paraId="34349421">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供应商对履约情况的总结及提供的相关证明材料</w:t>
            </w:r>
          </w:p>
        </w:tc>
        <w:tc>
          <w:tcPr>
            <w:tcW w:w="6530" w:type="dxa"/>
            <w:noWrap w:val="0"/>
            <w:vAlign w:val="center"/>
          </w:tcPr>
          <w:p w14:paraId="64C375AF">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注：供应商根据采购合同的约定，对履约情况（包括但不限于采购合同中约定的服务内容、服务要求、服务质量、人员配置、服务成果、服务成果的交付等）进行总结，并提供相应的履约证明材料作为附件。</w:t>
            </w:r>
          </w:p>
        </w:tc>
      </w:tr>
      <w:tr w14:paraId="21FA7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2749" w:type="dxa"/>
            <w:noWrap w:val="0"/>
            <w:vAlign w:val="center"/>
          </w:tcPr>
          <w:p w14:paraId="18138063">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采购人（使用人）对履约情况的确认</w:t>
            </w:r>
          </w:p>
        </w:tc>
        <w:tc>
          <w:tcPr>
            <w:tcW w:w="6530" w:type="dxa"/>
            <w:noWrap w:val="0"/>
            <w:vAlign w:val="center"/>
          </w:tcPr>
          <w:p w14:paraId="116CE0E7">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注：采购人或使用人根据采购合同约定，对供应商履约情况进行逐一确认。</w:t>
            </w:r>
          </w:p>
        </w:tc>
      </w:tr>
      <w:tr w14:paraId="601BF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2749" w:type="dxa"/>
            <w:noWrap w:val="0"/>
            <w:vAlign w:val="center"/>
          </w:tcPr>
          <w:p w14:paraId="7A908F83">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验收人员名单及组成</w:t>
            </w:r>
          </w:p>
        </w:tc>
        <w:tc>
          <w:tcPr>
            <w:tcW w:w="6530" w:type="dxa"/>
            <w:noWrap w:val="0"/>
            <w:vAlign w:val="center"/>
          </w:tcPr>
          <w:p w14:paraId="5E66515F">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1. 采购人代表： </w:t>
            </w:r>
          </w:p>
          <w:p w14:paraId="44FC79AE">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2. 采购代理机构代表： </w:t>
            </w:r>
          </w:p>
          <w:p w14:paraId="1674F32D">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3. 第三方专业机构代表及专家： </w:t>
            </w:r>
          </w:p>
          <w:p w14:paraId="3B6C4942">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4. 其他供应商代表：</w:t>
            </w:r>
          </w:p>
        </w:tc>
      </w:tr>
      <w:tr w14:paraId="58A50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2749" w:type="dxa"/>
            <w:noWrap w:val="0"/>
            <w:vAlign w:val="center"/>
          </w:tcPr>
          <w:p w14:paraId="669F2DAE">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验收评价及结论</w:t>
            </w:r>
          </w:p>
        </w:tc>
        <w:tc>
          <w:tcPr>
            <w:tcW w:w="6530" w:type="dxa"/>
            <w:noWrap w:val="0"/>
            <w:vAlign w:val="center"/>
          </w:tcPr>
          <w:p w14:paraId="74572F90">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评价： </w:t>
            </w:r>
          </w:p>
          <w:p w14:paraId="775995BA">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结论：☐通过 ☐不通过，具体说明：</w:t>
            </w:r>
          </w:p>
        </w:tc>
      </w:tr>
      <w:tr w14:paraId="469E4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49" w:type="dxa"/>
            <w:noWrap w:val="0"/>
            <w:vAlign w:val="center"/>
          </w:tcPr>
          <w:p w14:paraId="5823A21E">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验收人员签字</w:t>
            </w:r>
          </w:p>
        </w:tc>
        <w:tc>
          <w:tcPr>
            <w:tcW w:w="6530" w:type="dxa"/>
            <w:noWrap w:val="0"/>
            <w:vAlign w:val="center"/>
          </w:tcPr>
          <w:p w14:paraId="31DC56C1">
            <w:pPr>
              <w:pStyle w:val="15"/>
              <w:widowControl w:val="0"/>
              <w:spacing w:line="240" w:lineRule="auto"/>
              <w:ind w:firstLine="5163" w:firstLineChars="2459"/>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年 月 日</w:t>
            </w:r>
          </w:p>
        </w:tc>
      </w:tr>
      <w:tr w14:paraId="1BCB8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2749" w:type="dxa"/>
            <w:noWrap w:val="0"/>
            <w:vAlign w:val="center"/>
          </w:tcPr>
          <w:p w14:paraId="1AF68673">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采购人确认意（注：采购人委托代理机构验收时适用）</w:t>
            </w:r>
          </w:p>
        </w:tc>
        <w:tc>
          <w:tcPr>
            <w:tcW w:w="6530" w:type="dxa"/>
            <w:noWrap w:val="0"/>
            <w:vAlign w:val="center"/>
          </w:tcPr>
          <w:p w14:paraId="50BED14B">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☐同意验收结论。 </w:t>
            </w:r>
          </w:p>
          <w:p w14:paraId="77E05333">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 xml:space="preserve">☐不同意验收结论。具体说明： </w:t>
            </w:r>
          </w:p>
          <w:p w14:paraId="04E7087F">
            <w:pPr>
              <w:pStyle w:val="15"/>
              <w:widowControl w:val="0"/>
              <w:spacing w:line="240" w:lineRule="auto"/>
              <w:ind w:left="0" w:leftChars="0" w:firstLine="5250" w:firstLineChars="250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年 月 日</w:t>
            </w:r>
          </w:p>
        </w:tc>
      </w:tr>
      <w:tr w14:paraId="06D19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749" w:type="dxa"/>
            <w:noWrap w:val="0"/>
            <w:vAlign w:val="center"/>
          </w:tcPr>
          <w:p w14:paraId="27967E8A">
            <w:pPr>
              <w:pStyle w:val="15"/>
              <w:widowControl w:val="0"/>
              <w:spacing w:line="240" w:lineRule="auto"/>
              <w:ind w:left="0" w:lef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备注</w:t>
            </w:r>
          </w:p>
        </w:tc>
        <w:tc>
          <w:tcPr>
            <w:tcW w:w="6530" w:type="dxa"/>
            <w:noWrap w:val="0"/>
            <w:vAlign w:val="center"/>
          </w:tcPr>
          <w:p w14:paraId="297F9F5F">
            <w:pPr>
              <w:pStyle w:val="15"/>
              <w:widowControl w:val="0"/>
              <w:spacing w:line="240" w:lineRule="auto"/>
              <w:jc w:val="both"/>
              <w:rPr>
                <w:rFonts w:hint="eastAsia" w:ascii="宋体" w:hAnsi="宋体" w:eastAsia="宋体" w:cs="宋体"/>
                <w:sz w:val="21"/>
                <w:szCs w:val="21"/>
                <w:highlight w:val="none"/>
                <w:vertAlign w:val="baseline"/>
              </w:rPr>
            </w:pPr>
          </w:p>
        </w:tc>
      </w:tr>
    </w:tbl>
    <w:p w14:paraId="5DE3AF59">
      <w:pPr>
        <w:keepNext w:val="0"/>
        <w:keepLines w:val="0"/>
        <w:widowControl/>
        <w:suppressLineNumbers w:val="0"/>
        <w:jc w:val="left"/>
        <w:rPr>
          <w:rFonts w:hint="eastAsia" w:ascii="宋体" w:hAnsi="宋体" w:eastAsia="宋体" w:cs="宋体"/>
          <w:color w:val="000000"/>
          <w:kern w:val="0"/>
          <w:sz w:val="19"/>
          <w:szCs w:val="19"/>
          <w:highlight w:val="none"/>
          <w:lang w:val="en-US" w:eastAsia="zh-CN" w:bidi="ar"/>
        </w:rPr>
      </w:pPr>
    </w:p>
    <w:p w14:paraId="2647E4E6">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采购人代表签字：                                     供应商代表签字： </w:t>
      </w:r>
    </w:p>
    <w:p w14:paraId="1839298F">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p>
    <w:p w14:paraId="6B8A21F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kern w:val="2"/>
          <w:sz w:val="24"/>
          <w:szCs w:val="24"/>
          <w:highlight w:val="none"/>
          <w:lang w:eastAsia="zh-CN"/>
        </w:rPr>
      </w:pPr>
      <w:r>
        <w:rPr>
          <w:rFonts w:hint="eastAsia" w:ascii="宋体" w:hAnsi="宋体" w:eastAsia="宋体" w:cs="宋体"/>
          <w:color w:val="000000"/>
          <w:kern w:val="0"/>
          <w:sz w:val="21"/>
          <w:szCs w:val="21"/>
          <w:highlight w:val="none"/>
          <w:lang w:val="en-US" w:eastAsia="zh-CN" w:bidi="ar"/>
        </w:rPr>
        <w:t>年   月   日                                         年   月   日</w:t>
      </w:r>
    </w:p>
    <w:p w14:paraId="604015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sectPr>
          <w:footerReference r:id="rId10" w:type="default"/>
          <w:pgSz w:w="11900" w:h="16838"/>
          <w:pgMar w:top="1134" w:right="1134" w:bottom="1134" w:left="1134" w:header="0" w:footer="850" w:gutter="0"/>
          <w:pgNumType w:fmt="decimal"/>
          <w:cols w:space="720" w:num="1"/>
        </w:sectPr>
      </w:pPr>
    </w:p>
    <w:p w14:paraId="386E9E8D">
      <w:pPr>
        <w:kinsoku/>
        <w:spacing w:line="360" w:lineRule="auto"/>
        <w:ind w:left="0" w:leftChars="0" w:right="0" w:rightChars="0" w:firstLine="0" w:firstLineChars="0"/>
        <w:jc w:val="center"/>
        <w:outlineLvl w:val="0"/>
        <w:rPr>
          <w:rFonts w:ascii="宋体" w:eastAsia="宋体" w:cs="宋体"/>
          <w:color w:val="auto"/>
          <w:sz w:val="24"/>
          <w:szCs w:val="24"/>
          <w:highlight w:val="none"/>
          <w:lang w:eastAsia="zh-CN"/>
        </w:rPr>
      </w:pPr>
      <w:bookmarkStart w:id="43" w:name="_Toc6005"/>
      <w:r>
        <w:rPr>
          <w:rFonts w:hint="eastAsia" w:ascii="宋体" w:eastAsia="宋体" w:cs="宋体"/>
          <w:b/>
          <w:bCs/>
          <w:color w:val="auto"/>
          <w:sz w:val="28"/>
          <w:szCs w:val="28"/>
          <w:highlight w:val="none"/>
          <w:lang w:eastAsia="zh-CN"/>
        </w:rPr>
        <w:t>第七章  响应文件格式与要求</w:t>
      </w:r>
      <w:bookmarkEnd w:id="43"/>
    </w:p>
    <w:p w14:paraId="364C2F32">
      <w:pPr>
        <w:kinsoku/>
        <w:spacing w:line="360" w:lineRule="auto"/>
        <w:ind w:left="0" w:leftChars="0" w:right="0" w:rightChars="0" w:firstLine="480" w:firstLineChars="200"/>
        <w:jc w:val="both"/>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供应商按照以下格式编制响应文件。</w:t>
      </w:r>
    </w:p>
    <w:p w14:paraId="5148221A">
      <w:pPr>
        <w:kinsoku/>
        <w:spacing w:line="360" w:lineRule="auto"/>
        <w:ind w:firstLine="480" w:firstLineChars="200"/>
        <w:rPr>
          <w:rFonts w:ascii="宋体" w:eastAsia="宋体" w:cs="宋体"/>
          <w:color w:val="auto"/>
          <w:sz w:val="24"/>
          <w:szCs w:val="24"/>
          <w:highlight w:val="none"/>
          <w:lang w:eastAsia="zh-CN"/>
        </w:rPr>
        <w:sectPr>
          <w:footerReference r:id="rId11" w:type="default"/>
          <w:pgSz w:w="11906" w:h="16838"/>
          <w:pgMar w:top="1440" w:right="1080" w:bottom="1440" w:left="1080" w:header="0" w:footer="850" w:gutter="0"/>
          <w:pgNumType w:fmt="decimal"/>
          <w:cols w:space="0" w:num="1"/>
          <w:rtlGutter w:val="0"/>
          <w:docGrid w:linePitch="312" w:charSpace="0"/>
        </w:sectPr>
      </w:pPr>
    </w:p>
    <w:p w14:paraId="629BC4B1">
      <w:pPr>
        <w:kinsoku/>
        <w:spacing w:line="360" w:lineRule="auto"/>
        <w:ind w:firstLine="560" w:firstLineChars="200"/>
        <w:rPr>
          <w:rFonts w:ascii="宋体" w:eastAsia="宋体" w:cs="宋体"/>
          <w:color w:val="auto"/>
          <w:sz w:val="28"/>
          <w:szCs w:val="28"/>
          <w:highlight w:val="none"/>
          <w:lang w:eastAsia="zh-CN"/>
        </w:rPr>
      </w:pPr>
      <w:r>
        <w:rPr>
          <w:rFonts w:hint="eastAsia" w:ascii="宋体" w:eastAsia="宋体" w:cs="宋体"/>
          <w:color w:val="auto"/>
          <w:sz w:val="28"/>
          <w:szCs w:val="28"/>
          <w:highlight w:val="none"/>
          <w:lang w:eastAsia="zh-CN"/>
        </w:rPr>
        <w:t>响应文件封面格式：</w:t>
      </w:r>
    </w:p>
    <w:p w14:paraId="5A047FA1">
      <w:pPr>
        <w:kinsoku/>
        <w:spacing w:line="360" w:lineRule="auto"/>
        <w:ind w:firstLine="723" w:firstLineChars="200"/>
        <w:jc w:val="center"/>
        <w:rPr>
          <w:rFonts w:ascii="宋体" w:eastAsia="宋体" w:cs="宋体"/>
          <w:b/>
          <w:bCs/>
          <w:color w:val="auto"/>
          <w:sz w:val="36"/>
          <w:szCs w:val="36"/>
          <w:highlight w:val="none"/>
          <w:lang w:eastAsia="zh-CN"/>
        </w:rPr>
      </w:pPr>
    </w:p>
    <w:p w14:paraId="3DB73086">
      <w:pPr>
        <w:kinsoku/>
        <w:spacing w:line="360" w:lineRule="auto"/>
        <w:ind w:firstLine="723" w:firstLineChars="200"/>
        <w:jc w:val="center"/>
        <w:rPr>
          <w:rFonts w:ascii="宋体" w:eastAsia="宋体" w:cs="宋体"/>
          <w:b/>
          <w:bCs/>
          <w:color w:val="auto"/>
          <w:sz w:val="36"/>
          <w:szCs w:val="36"/>
          <w:highlight w:val="none"/>
          <w:lang w:eastAsia="zh-CN"/>
        </w:rPr>
      </w:pPr>
    </w:p>
    <w:p w14:paraId="0437D904">
      <w:pPr>
        <w:kinsoku/>
        <w:spacing w:line="360" w:lineRule="auto"/>
        <w:ind w:firstLine="723" w:firstLineChars="200"/>
        <w:jc w:val="center"/>
        <w:rPr>
          <w:rFonts w:ascii="宋体" w:eastAsia="宋体" w:cs="宋体"/>
          <w:b/>
          <w:bCs/>
          <w:color w:val="auto"/>
          <w:sz w:val="36"/>
          <w:szCs w:val="36"/>
          <w:highlight w:val="none"/>
          <w:lang w:eastAsia="zh-CN"/>
        </w:rPr>
      </w:pPr>
    </w:p>
    <w:p w14:paraId="7F278595">
      <w:pPr>
        <w:kinsoku/>
        <w:spacing w:line="360" w:lineRule="auto"/>
        <w:ind w:left="0" w:leftChars="0" w:right="0" w:rightChars="0" w:firstLine="0" w:firstLineChars="0"/>
        <w:jc w:val="center"/>
        <w:rPr>
          <w:rFonts w:ascii="宋体" w:eastAsia="宋体" w:cs="宋体"/>
          <w:b/>
          <w:bCs/>
          <w:color w:val="auto"/>
          <w:sz w:val="36"/>
          <w:szCs w:val="36"/>
          <w:highlight w:val="none"/>
          <w:lang w:eastAsia="zh-CN"/>
        </w:rPr>
      </w:pPr>
      <w:r>
        <w:rPr>
          <w:rFonts w:hint="eastAsia" w:ascii="宋体" w:eastAsia="宋体" w:cs="宋体"/>
          <w:b/>
          <w:bCs/>
          <w:color w:val="auto"/>
          <w:sz w:val="36"/>
          <w:szCs w:val="36"/>
          <w:highlight w:val="none"/>
          <w:lang w:eastAsia="zh-CN"/>
        </w:rPr>
        <w:t>（项目名称）</w:t>
      </w:r>
    </w:p>
    <w:p w14:paraId="005CADD7">
      <w:pPr>
        <w:kinsoku/>
        <w:spacing w:line="360" w:lineRule="auto"/>
        <w:ind w:left="0" w:leftChars="0" w:right="0" w:rightChars="0" w:firstLine="0" w:firstLineChars="0"/>
        <w:jc w:val="center"/>
        <w:rPr>
          <w:rFonts w:ascii="宋体" w:eastAsia="宋体" w:cs="宋体"/>
          <w:color w:val="auto"/>
          <w:sz w:val="24"/>
          <w:szCs w:val="24"/>
          <w:highlight w:val="none"/>
          <w:lang w:eastAsia="zh-CN"/>
        </w:rPr>
      </w:pPr>
      <w:r>
        <w:rPr>
          <w:rFonts w:hint="eastAsia" w:ascii="宋体" w:eastAsia="宋体" w:cs="宋体"/>
          <w:b/>
          <w:bCs/>
          <w:color w:val="auto"/>
          <w:sz w:val="36"/>
          <w:szCs w:val="36"/>
          <w:highlight w:val="none"/>
          <w:lang w:eastAsia="zh-CN"/>
        </w:rPr>
        <w:t>响应文件</w:t>
      </w:r>
    </w:p>
    <w:p w14:paraId="74A5A071">
      <w:pPr>
        <w:kinsoku/>
        <w:spacing w:line="360" w:lineRule="auto"/>
        <w:ind w:firstLine="480" w:firstLineChars="200"/>
        <w:rPr>
          <w:rFonts w:ascii="宋体" w:eastAsia="宋体" w:cs="宋体"/>
          <w:color w:val="auto"/>
          <w:sz w:val="24"/>
          <w:szCs w:val="24"/>
          <w:highlight w:val="none"/>
          <w:lang w:eastAsia="zh-CN"/>
        </w:rPr>
      </w:pPr>
    </w:p>
    <w:p w14:paraId="19A5F0B4">
      <w:pPr>
        <w:kinsoku/>
        <w:spacing w:line="360" w:lineRule="auto"/>
        <w:ind w:firstLine="480" w:firstLineChars="200"/>
        <w:rPr>
          <w:rFonts w:ascii="宋体" w:eastAsia="宋体" w:cs="宋体"/>
          <w:color w:val="auto"/>
          <w:sz w:val="24"/>
          <w:szCs w:val="24"/>
          <w:highlight w:val="none"/>
          <w:lang w:eastAsia="zh-CN"/>
        </w:rPr>
      </w:pPr>
    </w:p>
    <w:p w14:paraId="3AFFB302">
      <w:pPr>
        <w:kinsoku/>
        <w:spacing w:line="360" w:lineRule="auto"/>
        <w:ind w:firstLine="480" w:firstLineChars="200"/>
        <w:rPr>
          <w:rFonts w:ascii="宋体" w:eastAsia="宋体" w:cs="宋体"/>
          <w:color w:val="auto"/>
          <w:sz w:val="24"/>
          <w:szCs w:val="24"/>
          <w:highlight w:val="none"/>
          <w:lang w:eastAsia="zh-CN"/>
        </w:rPr>
      </w:pPr>
    </w:p>
    <w:p w14:paraId="50072B1C">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项目编号：</w:t>
      </w:r>
    </w:p>
    <w:p w14:paraId="4FCE0592">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包    号：第    包（项目划分采购包时使用）</w:t>
      </w:r>
    </w:p>
    <w:p w14:paraId="6BB364D1">
      <w:pPr>
        <w:kinsoku/>
        <w:spacing w:line="360" w:lineRule="auto"/>
        <w:ind w:firstLine="480" w:firstLineChars="200"/>
        <w:rPr>
          <w:rFonts w:ascii="宋体" w:eastAsia="宋体" w:cs="宋体"/>
          <w:color w:val="auto"/>
          <w:sz w:val="24"/>
          <w:szCs w:val="24"/>
          <w:highlight w:val="none"/>
          <w:lang w:eastAsia="zh-CN"/>
        </w:rPr>
      </w:pPr>
    </w:p>
    <w:p w14:paraId="6C07A9DD">
      <w:pPr>
        <w:kinsoku/>
        <w:spacing w:line="360" w:lineRule="auto"/>
        <w:ind w:firstLine="480" w:firstLineChars="200"/>
        <w:rPr>
          <w:rFonts w:ascii="宋体" w:eastAsia="宋体" w:cs="宋体"/>
          <w:color w:val="auto"/>
          <w:sz w:val="24"/>
          <w:szCs w:val="24"/>
          <w:highlight w:val="none"/>
          <w:lang w:eastAsia="zh-CN"/>
        </w:rPr>
      </w:pPr>
    </w:p>
    <w:p w14:paraId="6C1479A0">
      <w:pPr>
        <w:kinsoku/>
        <w:spacing w:line="360" w:lineRule="auto"/>
        <w:ind w:firstLine="480" w:firstLineChars="200"/>
        <w:rPr>
          <w:rFonts w:ascii="宋体" w:eastAsia="宋体" w:cs="宋体"/>
          <w:color w:val="auto"/>
          <w:sz w:val="24"/>
          <w:szCs w:val="24"/>
          <w:highlight w:val="none"/>
          <w:lang w:eastAsia="zh-CN"/>
        </w:rPr>
      </w:pPr>
    </w:p>
    <w:p w14:paraId="2FFE65EB">
      <w:pPr>
        <w:kinsoku/>
        <w:spacing w:line="360" w:lineRule="auto"/>
        <w:ind w:firstLine="480" w:firstLineChars="200"/>
        <w:rPr>
          <w:rFonts w:ascii="宋体" w:eastAsia="宋体" w:cs="宋体"/>
          <w:color w:val="auto"/>
          <w:sz w:val="24"/>
          <w:szCs w:val="24"/>
          <w:highlight w:val="none"/>
          <w:lang w:eastAsia="zh-CN"/>
        </w:rPr>
      </w:pPr>
    </w:p>
    <w:p w14:paraId="579DF3A1">
      <w:pPr>
        <w:kinsoku/>
        <w:spacing w:line="360" w:lineRule="auto"/>
        <w:ind w:firstLine="480" w:firstLineChars="200"/>
        <w:rPr>
          <w:rFonts w:ascii="宋体" w:eastAsia="宋体" w:cs="宋体"/>
          <w:color w:val="auto"/>
          <w:sz w:val="24"/>
          <w:szCs w:val="24"/>
          <w:highlight w:val="none"/>
          <w:lang w:eastAsia="zh-CN"/>
        </w:rPr>
      </w:pPr>
    </w:p>
    <w:p w14:paraId="6047F9E1">
      <w:pPr>
        <w:kinsoku/>
        <w:spacing w:line="360" w:lineRule="auto"/>
        <w:ind w:firstLine="480" w:firstLineChars="200"/>
        <w:jc w:val="center"/>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（供应商名称）（盖章）</w:t>
      </w:r>
    </w:p>
    <w:p w14:paraId="1889E019">
      <w:pPr>
        <w:kinsoku/>
        <w:spacing w:line="360" w:lineRule="auto"/>
        <w:ind w:firstLine="480" w:firstLineChars="200"/>
        <w:rPr>
          <w:rFonts w:ascii="宋体" w:eastAsia="宋体" w:cs="宋体"/>
          <w:color w:val="auto"/>
          <w:sz w:val="24"/>
          <w:szCs w:val="24"/>
          <w:highlight w:val="none"/>
          <w:lang w:eastAsia="zh-CN"/>
        </w:rPr>
      </w:pPr>
    </w:p>
    <w:p w14:paraId="6883626F">
      <w:pPr>
        <w:kinsoku/>
        <w:spacing w:line="360" w:lineRule="auto"/>
        <w:ind w:firstLine="480" w:firstLineChars="200"/>
        <w:rPr>
          <w:rFonts w:ascii="宋体" w:eastAsia="宋体" w:cs="宋体"/>
          <w:color w:val="auto"/>
          <w:sz w:val="24"/>
          <w:szCs w:val="24"/>
          <w:highlight w:val="none"/>
          <w:lang w:eastAsia="zh-CN"/>
        </w:rPr>
      </w:pPr>
    </w:p>
    <w:p w14:paraId="6AE64709">
      <w:pPr>
        <w:kinsoku/>
        <w:spacing w:line="360" w:lineRule="auto"/>
        <w:ind w:firstLine="480" w:firstLineChars="200"/>
        <w:jc w:val="center"/>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年   月   日</w:t>
      </w:r>
    </w:p>
    <w:p w14:paraId="4CD7CEFE">
      <w:pPr>
        <w:kinsoku/>
        <w:spacing w:line="360" w:lineRule="auto"/>
        <w:ind w:firstLine="480" w:firstLineChars="200"/>
        <w:rPr>
          <w:rFonts w:ascii="宋体" w:eastAsia="宋体" w:cs="宋体"/>
          <w:color w:val="auto"/>
          <w:sz w:val="24"/>
          <w:szCs w:val="24"/>
          <w:highlight w:val="none"/>
          <w:lang w:eastAsia="zh-CN"/>
        </w:rPr>
        <w:sectPr>
          <w:footerReference r:id="rId12" w:type="default"/>
          <w:pgSz w:w="11906" w:h="16838"/>
          <w:pgMar w:top="1440" w:right="1080" w:bottom="1440" w:left="1080" w:header="0" w:footer="850" w:gutter="0"/>
          <w:pgNumType w:fmt="decimal"/>
          <w:cols w:space="0" w:num="1"/>
          <w:rtlGutter w:val="0"/>
          <w:docGrid w:linePitch="312" w:charSpace="0"/>
        </w:sectPr>
      </w:pPr>
    </w:p>
    <w:p w14:paraId="7D4F9D6A">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响应文件目录格式：</w:t>
      </w:r>
    </w:p>
    <w:p w14:paraId="4B96BBAF">
      <w:pPr>
        <w:kinsoku/>
        <w:spacing w:line="360" w:lineRule="auto"/>
        <w:ind w:firstLine="480" w:firstLineChars="200"/>
        <w:jc w:val="center"/>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目  录</w:t>
      </w:r>
    </w:p>
    <w:p w14:paraId="06C5285F">
      <w:pPr>
        <w:kinsoku/>
        <w:spacing w:line="360" w:lineRule="auto"/>
        <w:ind w:firstLine="440" w:firstLineChars="200"/>
        <w:rPr>
          <w:rFonts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一、响应承诺书</w:t>
      </w:r>
    </w:p>
    <w:p w14:paraId="13BE25FF">
      <w:pPr>
        <w:kinsoku/>
        <w:spacing w:line="360" w:lineRule="auto"/>
        <w:ind w:firstLine="440" w:firstLineChars="200"/>
        <w:rPr>
          <w:rFonts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二、首轮报价表</w:t>
      </w:r>
    </w:p>
    <w:p w14:paraId="6D589275">
      <w:pPr>
        <w:kinsoku/>
        <w:spacing w:line="360" w:lineRule="auto"/>
        <w:ind w:firstLine="440" w:firstLineChars="200"/>
        <w:rPr>
          <w:rFonts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三、分项报价表</w:t>
      </w:r>
    </w:p>
    <w:p w14:paraId="5949E9CC">
      <w:pPr>
        <w:kinsoku/>
        <w:spacing w:line="360" w:lineRule="auto"/>
        <w:ind w:firstLine="440" w:firstLineChars="200"/>
        <w:rPr>
          <w:rFonts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四、授权委托书</w:t>
      </w:r>
    </w:p>
    <w:p w14:paraId="6C1BFE82">
      <w:pPr>
        <w:kinsoku/>
        <w:spacing w:line="360" w:lineRule="auto"/>
        <w:ind w:firstLine="440" w:firstLineChars="200"/>
        <w:rPr>
          <w:rFonts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五、缴纳磋商保证金证明材料</w:t>
      </w:r>
    </w:p>
    <w:p w14:paraId="075115C2">
      <w:pPr>
        <w:kinsoku/>
        <w:spacing w:line="360" w:lineRule="auto"/>
        <w:ind w:firstLine="440" w:firstLineChars="200"/>
        <w:rPr>
          <w:rFonts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六、供应商基本情况表</w:t>
      </w:r>
    </w:p>
    <w:p w14:paraId="6E33D4D8">
      <w:pPr>
        <w:kinsoku/>
        <w:spacing w:line="360" w:lineRule="auto"/>
        <w:ind w:firstLine="440" w:firstLineChars="200"/>
        <w:rPr>
          <w:rFonts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七、具有独立承担民事责任的能力的证明材料</w:t>
      </w:r>
    </w:p>
    <w:p w14:paraId="12947CA5">
      <w:pPr>
        <w:kinsoku/>
        <w:spacing w:line="360" w:lineRule="auto"/>
        <w:ind w:firstLine="440" w:firstLineChars="200"/>
        <w:rPr>
          <w:rFonts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八、具有良好的商业信誉和健全的财务会计制度的相关材料</w:t>
      </w:r>
    </w:p>
    <w:p w14:paraId="1042342B">
      <w:pPr>
        <w:kinsoku/>
        <w:spacing w:line="360" w:lineRule="auto"/>
        <w:ind w:firstLine="440" w:firstLineChars="200"/>
        <w:rPr>
          <w:rFonts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九、依法缴纳税收和社会保障资金的良好记录的相关材料</w:t>
      </w:r>
    </w:p>
    <w:p w14:paraId="2A93D3DF">
      <w:pPr>
        <w:kinsoku/>
        <w:spacing w:line="360" w:lineRule="auto"/>
        <w:ind w:firstLine="440" w:firstLineChars="200"/>
        <w:rPr>
          <w:rFonts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十、具有履行合同所必需的设备和专业技术能力的相关材料</w:t>
      </w:r>
    </w:p>
    <w:p w14:paraId="633610DE">
      <w:pPr>
        <w:kinsoku/>
        <w:spacing w:line="360" w:lineRule="auto"/>
        <w:ind w:firstLine="440" w:firstLineChars="200"/>
        <w:rPr>
          <w:rFonts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十一、参加政府采购活动前三年内在经营活动中没有重大违法记录的书面声明</w:t>
      </w:r>
    </w:p>
    <w:p w14:paraId="1CD9CC2F">
      <w:pPr>
        <w:kinsoku/>
        <w:spacing w:line="360" w:lineRule="auto"/>
        <w:ind w:firstLine="440" w:firstLineChars="200"/>
        <w:rPr>
          <w:rFonts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十二、联合体协议书</w:t>
      </w:r>
    </w:p>
    <w:p w14:paraId="1B6C8321">
      <w:pPr>
        <w:kinsoku/>
        <w:spacing w:line="360" w:lineRule="auto"/>
        <w:ind w:firstLine="440" w:firstLineChars="200"/>
        <w:rPr>
          <w:rFonts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十三、中小企业声明函</w:t>
      </w:r>
    </w:p>
    <w:p w14:paraId="3659FC99">
      <w:pPr>
        <w:kinsoku/>
        <w:spacing w:line="360" w:lineRule="auto"/>
        <w:ind w:firstLine="440" w:firstLineChars="200"/>
        <w:rPr>
          <w:rFonts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十四、监狱企业证明文件</w:t>
      </w:r>
    </w:p>
    <w:p w14:paraId="45C3235A">
      <w:pPr>
        <w:kinsoku/>
        <w:spacing w:line="360" w:lineRule="auto"/>
        <w:ind w:firstLine="440" w:firstLineChars="200"/>
        <w:rPr>
          <w:rFonts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十五、残疾人福利性单位声明函</w:t>
      </w:r>
    </w:p>
    <w:p w14:paraId="60BAAB64">
      <w:pPr>
        <w:kinsoku/>
        <w:spacing w:line="360" w:lineRule="auto"/>
        <w:ind w:firstLine="440" w:firstLineChars="200"/>
        <w:rPr>
          <w:rFonts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十六、主要商务要求承诺书</w:t>
      </w:r>
    </w:p>
    <w:p w14:paraId="61E66774">
      <w:pPr>
        <w:kinsoku/>
        <w:spacing w:line="360" w:lineRule="auto"/>
        <w:ind w:firstLine="440" w:firstLineChars="200"/>
        <w:rPr>
          <w:rFonts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十七、技术偏离表</w:t>
      </w:r>
    </w:p>
    <w:p w14:paraId="45B413C1">
      <w:pPr>
        <w:kinsoku/>
        <w:spacing w:line="360" w:lineRule="auto"/>
        <w:ind w:firstLine="440" w:firstLineChars="200"/>
        <w:rPr>
          <w:rFonts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十八、项目组成人员一览表</w:t>
      </w:r>
    </w:p>
    <w:p w14:paraId="1E1F2A96">
      <w:pPr>
        <w:kinsoku/>
        <w:spacing w:line="360" w:lineRule="auto"/>
        <w:ind w:firstLine="440" w:firstLineChars="200"/>
        <w:rPr>
          <w:rFonts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十九、项目实施方案、质量保证及售后服务承诺等</w:t>
      </w:r>
    </w:p>
    <w:p w14:paraId="09DDC7AC">
      <w:pPr>
        <w:kinsoku/>
        <w:spacing w:line="360" w:lineRule="auto"/>
        <w:ind w:firstLine="440" w:firstLineChars="200"/>
        <w:rPr>
          <w:rFonts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二十、供应商业绩情况表</w:t>
      </w:r>
    </w:p>
    <w:p w14:paraId="34A1224D">
      <w:pPr>
        <w:kinsoku/>
        <w:spacing w:line="360" w:lineRule="auto"/>
        <w:ind w:firstLine="440" w:firstLineChars="200"/>
        <w:rPr>
          <w:rFonts w:ascii="宋体" w:eastAsia="宋体" w:cs="宋体"/>
          <w:color w:val="auto"/>
          <w:sz w:val="22"/>
          <w:szCs w:val="22"/>
          <w:highlight w:val="none"/>
          <w:lang w:eastAsia="zh-CN"/>
        </w:rPr>
      </w:pPr>
      <w:r>
        <w:rPr>
          <w:rFonts w:hint="eastAsia" w:ascii="宋体" w:eastAsia="宋体" w:cs="宋体"/>
          <w:color w:val="auto"/>
          <w:sz w:val="22"/>
          <w:szCs w:val="22"/>
          <w:highlight w:val="none"/>
          <w:lang w:eastAsia="zh-CN"/>
        </w:rPr>
        <w:t>二十一、其他证明材料</w:t>
      </w:r>
    </w:p>
    <w:p w14:paraId="45BE4817">
      <w:pPr>
        <w:kinsoku/>
        <w:spacing w:line="360" w:lineRule="auto"/>
        <w:ind w:firstLine="440" w:firstLineChars="200"/>
        <w:rPr>
          <w:rFonts w:ascii="宋体" w:eastAsia="宋体" w:cs="宋体"/>
          <w:color w:val="auto"/>
          <w:sz w:val="22"/>
          <w:szCs w:val="22"/>
          <w:highlight w:val="none"/>
          <w:lang w:eastAsia="zh-CN"/>
        </w:rPr>
      </w:pPr>
    </w:p>
    <w:p w14:paraId="1342D254">
      <w:pPr>
        <w:kinsoku/>
        <w:spacing w:line="360" w:lineRule="auto"/>
        <w:ind w:firstLine="480" w:firstLineChars="200"/>
        <w:rPr>
          <w:rFonts w:ascii="宋体" w:eastAsia="宋体" w:cs="宋体"/>
          <w:color w:val="auto"/>
          <w:sz w:val="24"/>
          <w:szCs w:val="24"/>
          <w:highlight w:val="none"/>
          <w:lang w:eastAsia="zh-CN"/>
        </w:rPr>
        <w:sectPr>
          <w:footerReference r:id="rId13" w:type="default"/>
          <w:pgSz w:w="11906" w:h="16838"/>
          <w:pgMar w:top="1440" w:right="1080" w:bottom="1440" w:left="1080" w:header="0" w:footer="850" w:gutter="0"/>
          <w:pgNumType w:fmt="decimal"/>
          <w:cols w:space="0" w:num="1"/>
          <w:rtlGutter w:val="0"/>
          <w:docGrid w:linePitch="312" w:charSpace="0"/>
        </w:sectPr>
      </w:pPr>
    </w:p>
    <w:p w14:paraId="6CAEB5F1">
      <w:pPr>
        <w:kinsoku/>
        <w:spacing w:line="360" w:lineRule="auto"/>
        <w:ind w:firstLine="480" w:firstLineChars="200"/>
        <w:rPr>
          <w:rFonts w:ascii="宋体" w:eastAsia="宋体" w:cs="宋体"/>
          <w:b w:val="0"/>
          <w:bCs w:val="0"/>
          <w:color w:val="auto"/>
          <w:sz w:val="24"/>
          <w:szCs w:val="24"/>
          <w:highlight w:val="none"/>
          <w:lang w:eastAsia="zh-CN"/>
        </w:rPr>
      </w:pPr>
      <w:r>
        <w:rPr>
          <w:rFonts w:hint="eastAsia" w:ascii="宋体" w:eastAsia="宋体" w:cs="宋体"/>
          <w:b w:val="0"/>
          <w:bCs w:val="0"/>
          <w:color w:val="auto"/>
          <w:sz w:val="24"/>
          <w:szCs w:val="24"/>
          <w:highlight w:val="none"/>
          <w:lang w:eastAsia="zh-CN"/>
        </w:rPr>
        <w:t>响应文件正文格式：</w:t>
      </w:r>
    </w:p>
    <w:p w14:paraId="61B5DF77">
      <w:pPr>
        <w:kinsoku/>
        <w:spacing w:line="360" w:lineRule="auto"/>
        <w:ind w:left="0" w:leftChars="0" w:right="0" w:rightChars="0" w:firstLine="0" w:firstLineChars="0"/>
        <w:jc w:val="center"/>
        <w:outlineLvl w:val="1"/>
        <w:rPr>
          <w:rFonts w:ascii="宋体" w:eastAsia="宋体" w:cs="宋体"/>
          <w:color w:val="auto"/>
          <w:sz w:val="24"/>
          <w:szCs w:val="24"/>
          <w:highlight w:val="none"/>
          <w:lang w:eastAsia="zh-CN"/>
        </w:rPr>
      </w:pPr>
      <w:bookmarkStart w:id="44" w:name="_Toc14203"/>
      <w:r>
        <w:rPr>
          <w:rFonts w:hint="eastAsia" w:ascii="宋体" w:eastAsia="宋体" w:cs="宋体"/>
          <w:b/>
          <w:bCs/>
          <w:color w:val="auto"/>
          <w:sz w:val="28"/>
          <w:szCs w:val="28"/>
          <w:highlight w:val="none"/>
          <w:lang w:eastAsia="zh-CN"/>
        </w:rPr>
        <w:t>一、响应承诺书</w:t>
      </w:r>
      <w:bookmarkEnd w:id="44"/>
    </w:p>
    <w:p w14:paraId="181F9D5F">
      <w:pPr>
        <w:kinsoku/>
        <w:spacing w:line="440" w:lineRule="exact"/>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致：</w:t>
      </w:r>
      <w:r>
        <w:rPr>
          <w:rFonts w:hint="eastAsia" w:ascii="宋体" w:eastAsia="宋体" w:cs="宋体"/>
          <w:color w:val="auto"/>
          <w:sz w:val="24"/>
          <w:szCs w:val="24"/>
          <w:highlight w:val="none"/>
          <w:u w:val="single"/>
          <w:lang w:eastAsia="zh-CN"/>
        </w:rPr>
        <w:t xml:space="preserve">                   </w:t>
      </w:r>
      <w:r>
        <w:rPr>
          <w:rFonts w:hint="eastAsia" w:ascii="宋体" w:eastAsia="宋体" w:cs="宋体"/>
          <w:color w:val="auto"/>
          <w:sz w:val="24"/>
          <w:szCs w:val="24"/>
          <w:highlight w:val="none"/>
          <w:lang w:eastAsia="zh-CN"/>
        </w:rPr>
        <w:t>（采购单位名称和采购代理机构名称）</w:t>
      </w:r>
    </w:p>
    <w:p w14:paraId="119DC7FA">
      <w:pPr>
        <w:kinsoku/>
        <w:spacing w:line="440" w:lineRule="exact"/>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你方组织的</w:t>
      </w:r>
      <w:r>
        <w:rPr>
          <w:rFonts w:hint="eastAsia" w:ascii="宋体" w:eastAsia="宋体" w:cs="宋体"/>
          <w:color w:val="auto"/>
          <w:sz w:val="24"/>
          <w:szCs w:val="24"/>
          <w:highlight w:val="none"/>
          <w:u w:val="single"/>
          <w:lang w:eastAsia="zh-CN"/>
        </w:rPr>
        <w:t xml:space="preserve">                             </w:t>
      </w:r>
      <w:r>
        <w:rPr>
          <w:rFonts w:hint="eastAsia" w:ascii="宋体" w:eastAsia="宋体" w:cs="宋体"/>
          <w:color w:val="auto"/>
          <w:sz w:val="24"/>
          <w:szCs w:val="24"/>
          <w:highlight w:val="none"/>
          <w:lang w:eastAsia="zh-CN"/>
        </w:rPr>
        <w:t>（项目名称）的采购，项目编号：</w:t>
      </w:r>
      <w:r>
        <w:rPr>
          <w:rFonts w:hint="eastAsia" w:ascii="宋体" w:eastAsia="宋体" w:cs="宋体"/>
          <w:color w:val="auto"/>
          <w:sz w:val="24"/>
          <w:szCs w:val="24"/>
          <w:highlight w:val="none"/>
          <w:u w:val="single"/>
          <w:lang w:eastAsia="zh-CN"/>
        </w:rPr>
        <w:t xml:space="preserve">                    </w:t>
      </w:r>
      <w:r>
        <w:rPr>
          <w:rFonts w:hint="eastAsia" w:ascii="宋体" w:eastAsia="宋体" w:cs="宋体"/>
          <w:color w:val="auto"/>
          <w:sz w:val="24"/>
          <w:szCs w:val="24"/>
          <w:highlight w:val="none"/>
          <w:lang w:eastAsia="zh-CN"/>
        </w:rPr>
        <w:t>，我方自愿参与，并就有关事项郑重承诺如下：</w:t>
      </w:r>
    </w:p>
    <w:p w14:paraId="3180A0E2">
      <w:pPr>
        <w:kinsoku/>
        <w:spacing w:line="440" w:lineRule="exact"/>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一、我方完全理解并接受该项目磋商文件的所有要求。</w:t>
      </w:r>
    </w:p>
    <w:p w14:paraId="26B029B2">
      <w:pPr>
        <w:kinsoku/>
        <w:spacing w:line="440" w:lineRule="exact"/>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二、我方严格遵守《中华人民共和国政府采购法》《中华人民共和国民法典》及相关法律、法规的规定，如有违反，承担相应的法律责任。</w:t>
      </w:r>
    </w:p>
    <w:p w14:paraId="2E4D4F80">
      <w:pPr>
        <w:kinsoku/>
        <w:spacing w:line="440" w:lineRule="exact"/>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三、我方在报价表中的报价为响应总报价。</w:t>
      </w:r>
    </w:p>
    <w:p w14:paraId="5A821104">
      <w:pPr>
        <w:kinsoku/>
        <w:spacing w:line="440" w:lineRule="exact"/>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四、我方同意提供贵方要求的与磋商有关的任何数据和资料。</w:t>
      </w:r>
    </w:p>
    <w:p w14:paraId="240EAF51">
      <w:pPr>
        <w:kinsoku/>
        <w:spacing w:line="440" w:lineRule="exact"/>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五、我方将按照磋商文件、响应文件等要求，签订并严格执行政府采购合同。</w:t>
      </w:r>
    </w:p>
    <w:p w14:paraId="144AA43D">
      <w:pPr>
        <w:kinsoku/>
        <w:spacing w:line="440" w:lineRule="exact"/>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六、我方响应报价已包含应向知识产权所有权人支付的所有相关税费，并保证采购人在中国使用我方提供的货物时，如有第三方提出侵犯其知识产权主张的，责任由我方承担。</w:t>
      </w:r>
    </w:p>
    <w:p w14:paraId="7AAEEB4F">
      <w:pPr>
        <w:kinsoku/>
        <w:spacing w:line="440" w:lineRule="exact"/>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七、我方承诺未为本项目提供整体设计、规范编制或者项目管理、监理、检测等服务。</w:t>
      </w:r>
    </w:p>
    <w:p w14:paraId="29D3905E">
      <w:pPr>
        <w:kinsoku/>
        <w:spacing w:line="440" w:lineRule="exact"/>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八、我方提供的响应文件内容全部真实有效，如有虚假或隐瞒，我方愿意承担一切法律责任。</w:t>
      </w:r>
    </w:p>
    <w:p w14:paraId="1A606263">
      <w:pPr>
        <w:kinsoku/>
        <w:spacing w:line="440" w:lineRule="exact"/>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九、若我方成交，愿意按有关规定及磋商文件要求缴纳代理服务费。若采购人支付代理服务费，则此条不适用。</w:t>
      </w:r>
    </w:p>
    <w:p w14:paraId="3D23A591">
      <w:pPr>
        <w:kinsoku/>
        <w:spacing w:line="440" w:lineRule="exact"/>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详细地址：</w:t>
      </w:r>
    </w:p>
    <w:p w14:paraId="03E1F429">
      <w:pPr>
        <w:kinsoku/>
        <w:spacing w:line="440" w:lineRule="exact"/>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邮政编码：</w:t>
      </w:r>
    </w:p>
    <w:p w14:paraId="2BADAD05">
      <w:pPr>
        <w:kinsoku/>
        <w:spacing w:line="440" w:lineRule="exact"/>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电    话：</w:t>
      </w:r>
    </w:p>
    <w:p w14:paraId="258A26D8">
      <w:pPr>
        <w:kinsoku/>
        <w:spacing w:line="440" w:lineRule="exact"/>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电子邮箱：</w:t>
      </w:r>
    </w:p>
    <w:p w14:paraId="2C1B0E4F">
      <w:pPr>
        <w:kinsoku/>
        <w:spacing w:line="440" w:lineRule="exact"/>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供应商开户银行：</w:t>
      </w:r>
    </w:p>
    <w:p w14:paraId="6ABEF8D0">
      <w:pPr>
        <w:kinsoku/>
        <w:spacing w:line="440" w:lineRule="exact"/>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账号/行号：</w:t>
      </w:r>
    </w:p>
    <w:p w14:paraId="5B573781">
      <w:pPr>
        <w:kinsoku/>
        <w:spacing w:line="440" w:lineRule="exact"/>
        <w:ind w:firstLine="4080" w:firstLineChars="17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供应商名称（盖章）：</w:t>
      </w:r>
    </w:p>
    <w:p w14:paraId="2158B654">
      <w:pPr>
        <w:kinsoku/>
        <w:spacing w:line="440" w:lineRule="exact"/>
        <w:ind w:firstLine="4080" w:firstLineChars="17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法定代表人或授权委托人（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/盖章</w:t>
      </w:r>
      <w:r>
        <w:rPr>
          <w:rFonts w:hint="eastAsia" w:ascii="宋体" w:eastAsia="宋体" w:cs="宋体"/>
          <w:color w:val="auto"/>
          <w:sz w:val="24"/>
          <w:szCs w:val="24"/>
          <w:highlight w:val="none"/>
          <w:lang w:eastAsia="zh-CN"/>
        </w:rPr>
        <w:t>）：</w:t>
      </w:r>
    </w:p>
    <w:p w14:paraId="6B68628A">
      <w:pPr>
        <w:kinsoku/>
        <w:spacing w:line="440" w:lineRule="exact"/>
        <w:ind w:firstLine="480" w:firstLineChars="200"/>
        <w:jc w:val="right"/>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年    月    日</w:t>
      </w:r>
    </w:p>
    <w:p w14:paraId="45200BF8">
      <w:pPr>
        <w:kinsoku/>
        <w:spacing w:line="440" w:lineRule="exact"/>
        <w:ind w:firstLine="480" w:firstLineChars="200"/>
        <w:rPr>
          <w:rFonts w:ascii="宋体" w:eastAsia="宋体" w:cs="宋体"/>
          <w:color w:val="auto"/>
          <w:sz w:val="24"/>
          <w:szCs w:val="24"/>
          <w:highlight w:val="none"/>
          <w:lang w:eastAsia="zh-CN"/>
        </w:rPr>
        <w:sectPr>
          <w:footerReference r:id="rId14" w:type="default"/>
          <w:pgSz w:w="11906" w:h="16838"/>
          <w:pgMar w:top="1440" w:right="1080" w:bottom="1440" w:left="1080" w:header="0" w:footer="850" w:gutter="0"/>
          <w:pgNumType w:fmt="decimal"/>
          <w:cols w:space="0" w:num="1"/>
          <w:rtlGutter w:val="0"/>
          <w:docGrid w:linePitch="312" w:charSpace="0"/>
        </w:sectPr>
      </w:pPr>
    </w:p>
    <w:p w14:paraId="5DFF357B">
      <w:pPr>
        <w:kinsoku/>
        <w:spacing w:line="360" w:lineRule="auto"/>
        <w:ind w:left="0" w:leftChars="0" w:right="0" w:rightChars="0" w:firstLine="0" w:firstLineChars="0"/>
        <w:jc w:val="center"/>
        <w:outlineLvl w:val="1"/>
        <w:rPr>
          <w:rFonts w:ascii="宋体" w:eastAsia="宋体" w:cs="宋体"/>
          <w:color w:val="auto"/>
          <w:sz w:val="24"/>
          <w:szCs w:val="24"/>
          <w:highlight w:val="none"/>
          <w:lang w:eastAsia="zh-CN"/>
        </w:rPr>
      </w:pPr>
      <w:bookmarkStart w:id="45" w:name="_Toc26939"/>
      <w:r>
        <w:rPr>
          <w:rFonts w:hint="eastAsia" w:ascii="宋体" w:eastAsia="宋体" w:cs="宋体"/>
          <w:b/>
          <w:bCs/>
          <w:color w:val="auto"/>
          <w:sz w:val="28"/>
          <w:szCs w:val="28"/>
          <w:highlight w:val="none"/>
          <w:lang w:eastAsia="zh-CN"/>
        </w:rPr>
        <w:t>二、首轮报价表</w:t>
      </w:r>
      <w:bookmarkEnd w:id="45"/>
    </w:p>
    <w:p w14:paraId="0620A31C">
      <w:pPr>
        <w:kinsoku/>
        <w:spacing w:line="360" w:lineRule="auto"/>
        <w:ind w:firstLine="480" w:firstLineChars="200"/>
        <w:jc w:val="center"/>
        <w:rPr>
          <w:rFonts w:ascii="宋体" w:eastAsia="宋体" w:cs="宋体"/>
          <w:color w:val="auto"/>
          <w:sz w:val="24"/>
          <w:szCs w:val="24"/>
          <w:highlight w:val="none"/>
          <w:lang w:eastAsia="zh-CN"/>
        </w:rPr>
      </w:pPr>
    </w:p>
    <w:p w14:paraId="607205DA">
      <w:pPr>
        <w:kinsoku/>
        <w:spacing w:line="360" w:lineRule="auto"/>
        <w:ind w:left="0" w:leftChars="0" w:right="0" w:rightChars="0" w:firstLine="0" w:firstLineChars="0"/>
        <w:jc w:val="center"/>
        <w:rPr>
          <w:rFonts w:ascii="宋体" w:eastAsia="宋体" w:cs="宋体"/>
          <w:color w:val="auto"/>
          <w:sz w:val="24"/>
          <w:szCs w:val="24"/>
          <w:highlight w:val="none"/>
          <w:lang w:eastAsia="zh-CN"/>
        </w:rPr>
      </w:pPr>
    </w:p>
    <w:p w14:paraId="5D525655">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项目编号：</w:t>
      </w:r>
    </w:p>
    <w:p w14:paraId="2792A7F0">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项目名称：</w:t>
      </w:r>
    </w:p>
    <w:p w14:paraId="592C8DEE">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供应商名称：</w:t>
      </w:r>
    </w:p>
    <w:tbl>
      <w:tblPr>
        <w:tblStyle w:val="21"/>
        <w:tblW w:w="94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2723"/>
        <w:gridCol w:w="2243"/>
        <w:gridCol w:w="1763"/>
        <w:gridCol w:w="1929"/>
      </w:tblGrid>
      <w:tr w14:paraId="65D90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jc w:val="center"/>
        </w:trPr>
        <w:tc>
          <w:tcPr>
            <w:tcW w:w="800" w:type="dxa"/>
            <w:vAlign w:val="center"/>
          </w:tcPr>
          <w:p w14:paraId="34C700C3">
            <w:pPr>
              <w:jc w:val="center"/>
              <w:rPr>
                <w:rFonts w:ascii="宋体" w:eastAsia="宋体" w:cs="宋体"/>
                <w:color w:val="auto"/>
                <w:sz w:val="24"/>
                <w:szCs w:val="24"/>
                <w:highlight w:val="none"/>
              </w:rPr>
            </w:pPr>
            <w:r>
              <w:rPr>
                <w:rFonts w:hint="eastAsia" w:ascii="宋体" w:eastAsia="宋体" w:cs="宋体"/>
                <w:color w:val="auto"/>
                <w:sz w:val="24"/>
                <w:szCs w:val="24"/>
                <w:highlight w:val="none"/>
              </w:rPr>
              <w:t>序号</w:t>
            </w:r>
          </w:p>
        </w:tc>
        <w:tc>
          <w:tcPr>
            <w:tcW w:w="2723" w:type="dxa"/>
            <w:vAlign w:val="center"/>
          </w:tcPr>
          <w:p w14:paraId="19F0C2B7">
            <w:pPr>
              <w:jc w:val="center"/>
              <w:rPr>
                <w:rFonts w:ascii="宋体" w:eastAsia="宋体" w:cs="宋体"/>
                <w:color w:val="auto"/>
                <w:sz w:val="24"/>
                <w:szCs w:val="24"/>
                <w:highlight w:val="none"/>
              </w:rPr>
            </w:pPr>
            <w:r>
              <w:rPr>
                <w:rFonts w:hint="eastAsia" w:ascii="宋体" w:eastAsia="宋体" w:cs="宋体"/>
                <w:color w:val="auto"/>
                <w:sz w:val="24"/>
                <w:szCs w:val="24"/>
                <w:highlight w:val="none"/>
              </w:rPr>
              <w:t>采购项目名称/包名称</w:t>
            </w:r>
          </w:p>
        </w:tc>
        <w:tc>
          <w:tcPr>
            <w:tcW w:w="2243" w:type="dxa"/>
            <w:vAlign w:val="center"/>
          </w:tcPr>
          <w:p w14:paraId="5EE7655A">
            <w:pPr>
              <w:jc w:val="center"/>
              <w:rPr>
                <w:rFonts w:ascii="宋体" w:eastAsia="宋体" w:cs="宋体"/>
                <w:color w:val="auto"/>
                <w:sz w:val="24"/>
                <w:szCs w:val="24"/>
                <w:highlight w:val="none"/>
              </w:rPr>
            </w:pPr>
            <w:r>
              <w:rPr>
                <w:rFonts w:hint="eastAsia" w:ascii="宋体" w:eastAsia="宋体" w:cs="宋体"/>
                <w:color w:val="auto"/>
                <w:sz w:val="24"/>
                <w:szCs w:val="24"/>
                <w:highlight w:val="none"/>
              </w:rPr>
              <w:t>总报价（元）</w:t>
            </w:r>
          </w:p>
        </w:tc>
        <w:tc>
          <w:tcPr>
            <w:tcW w:w="1763" w:type="dxa"/>
            <w:vAlign w:val="center"/>
          </w:tcPr>
          <w:p w14:paraId="6696AA27">
            <w:pPr>
              <w:jc w:val="center"/>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交货或</w:t>
            </w:r>
            <w:r>
              <w:rPr>
                <w:rFonts w:hint="eastAsia" w:ascii="宋体" w:eastAsia="宋体" w:cs="宋体"/>
                <w:color w:val="auto"/>
                <w:sz w:val="24"/>
                <w:szCs w:val="24"/>
                <w:highlight w:val="none"/>
              </w:rPr>
              <w:t>服务</w:t>
            </w:r>
            <w:r>
              <w:rPr>
                <w:rFonts w:hint="eastAsia" w:ascii="宋体" w:eastAsia="宋体" w:cs="宋体"/>
                <w:color w:val="auto"/>
                <w:sz w:val="24"/>
                <w:szCs w:val="24"/>
                <w:highlight w:val="none"/>
                <w:lang w:eastAsia="zh-CN"/>
              </w:rPr>
              <w:t>期限</w:t>
            </w:r>
          </w:p>
        </w:tc>
        <w:tc>
          <w:tcPr>
            <w:tcW w:w="1929" w:type="dxa"/>
            <w:vAlign w:val="center"/>
          </w:tcPr>
          <w:p w14:paraId="6FD1725A">
            <w:pPr>
              <w:jc w:val="center"/>
              <w:rPr>
                <w:rFonts w:ascii="宋体" w:eastAsia="宋体" w:cs="宋体"/>
                <w:color w:val="auto"/>
                <w:sz w:val="24"/>
                <w:szCs w:val="24"/>
                <w:highlight w:val="none"/>
              </w:rPr>
            </w:pPr>
            <w:r>
              <w:rPr>
                <w:rFonts w:hint="eastAsia" w:ascii="宋体" w:eastAsia="宋体" w:cs="宋体"/>
                <w:color w:val="auto"/>
                <w:sz w:val="24"/>
                <w:szCs w:val="24"/>
                <w:highlight w:val="none"/>
                <w:lang w:eastAsia="zh-CN"/>
              </w:rPr>
              <w:t>交货或</w:t>
            </w:r>
            <w:r>
              <w:rPr>
                <w:rFonts w:hint="eastAsia" w:ascii="宋体" w:eastAsia="宋体" w:cs="宋体"/>
                <w:color w:val="auto"/>
                <w:sz w:val="24"/>
                <w:szCs w:val="24"/>
                <w:highlight w:val="none"/>
              </w:rPr>
              <w:t>服务地点</w:t>
            </w:r>
          </w:p>
        </w:tc>
      </w:tr>
      <w:tr w14:paraId="798C2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jc w:val="center"/>
        </w:trPr>
        <w:tc>
          <w:tcPr>
            <w:tcW w:w="800" w:type="dxa"/>
            <w:vAlign w:val="center"/>
          </w:tcPr>
          <w:p w14:paraId="155598E6">
            <w:pPr>
              <w:jc w:val="center"/>
              <w:rPr>
                <w:rFonts w:ascii="宋体" w:eastAsia="宋体" w:cs="宋体"/>
                <w:color w:val="auto"/>
                <w:sz w:val="24"/>
                <w:szCs w:val="24"/>
                <w:highlight w:val="none"/>
              </w:rPr>
            </w:pPr>
            <w:r>
              <w:rPr>
                <w:rFonts w:hint="eastAsia" w:ascii="宋体" w:eastAsia="宋体" w:cs="宋体"/>
                <w:color w:val="auto"/>
                <w:sz w:val="24"/>
                <w:szCs w:val="24"/>
                <w:highlight w:val="none"/>
              </w:rPr>
              <w:t>1</w:t>
            </w:r>
          </w:p>
        </w:tc>
        <w:tc>
          <w:tcPr>
            <w:tcW w:w="2723" w:type="dxa"/>
            <w:vAlign w:val="center"/>
          </w:tcPr>
          <w:p w14:paraId="1D44F79D">
            <w:pPr>
              <w:jc w:val="center"/>
              <w:rPr>
                <w:rFonts w:ascii="宋体" w:eastAsia="宋体" w:cs="宋体"/>
                <w:color w:val="auto"/>
                <w:sz w:val="24"/>
                <w:szCs w:val="24"/>
                <w:highlight w:val="none"/>
              </w:rPr>
            </w:pPr>
          </w:p>
        </w:tc>
        <w:tc>
          <w:tcPr>
            <w:tcW w:w="2243" w:type="dxa"/>
            <w:vAlign w:val="center"/>
          </w:tcPr>
          <w:p w14:paraId="176EC0D4">
            <w:pPr>
              <w:jc w:val="center"/>
              <w:rPr>
                <w:rFonts w:ascii="宋体" w:eastAsia="宋体" w:cs="宋体"/>
                <w:color w:val="auto"/>
                <w:sz w:val="24"/>
                <w:szCs w:val="24"/>
                <w:highlight w:val="none"/>
              </w:rPr>
            </w:pPr>
          </w:p>
        </w:tc>
        <w:tc>
          <w:tcPr>
            <w:tcW w:w="1763" w:type="dxa"/>
            <w:vAlign w:val="center"/>
          </w:tcPr>
          <w:p w14:paraId="1369C08E">
            <w:pPr>
              <w:jc w:val="center"/>
              <w:rPr>
                <w:rFonts w:ascii="宋体" w:eastAsia="宋体" w:cs="宋体"/>
                <w:color w:val="auto"/>
                <w:sz w:val="24"/>
                <w:szCs w:val="24"/>
                <w:highlight w:val="none"/>
              </w:rPr>
            </w:pPr>
          </w:p>
        </w:tc>
        <w:tc>
          <w:tcPr>
            <w:tcW w:w="1929" w:type="dxa"/>
            <w:vAlign w:val="center"/>
          </w:tcPr>
          <w:p w14:paraId="1CB11779">
            <w:pPr>
              <w:jc w:val="center"/>
              <w:rPr>
                <w:rFonts w:ascii="宋体" w:eastAsia="宋体" w:cs="宋体"/>
                <w:color w:val="auto"/>
                <w:sz w:val="24"/>
                <w:szCs w:val="24"/>
                <w:highlight w:val="none"/>
              </w:rPr>
            </w:pPr>
          </w:p>
        </w:tc>
      </w:tr>
      <w:tr w14:paraId="6A893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jc w:val="center"/>
        </w:trPr>
        <w:tc>
          <w:tcPr>
            <w:tcW w:w="800" w:type="dxa"/>
            <w:vAlign w:val="center"/>
          </w:tcPr>
          <w:p w14:paraId="6C2709F9">
            <w:pPr>
              <w:jc w:val="center"/>
              <w:rPr>
                <w:rFonts w:ascii="宋体" w:eastAsia="宋体" w:cs="宋体"/>
                <w:color w:val="auto"/>
                <w:sz w:val="24"/>
                <w:szCs w:val="24"/>
                <w:highlight w:val="none"/>
              </w:rPr>
            </w:pPr>
            <w:r>
              <w:rPr>
                <w:rFonts w:hint="eastAsia" w:ascii="宋体" w:eastAsia="宋体" w:cs="宋体"/>
                <w:color w:val="auto"/>
                <w:sz w:val="24"/>
                <w:szCs w:val="24"/>
                <w:highlight w:val="none"/>
              </w:rPr>
              <w:t>2</w:t>
            </w:r>
          </w:p>
        </w:tc>
        <w:tc>
          <w:tcPr>
            <w:tcW w:w="2723" w:type="dxa"/>
            <w:vAlign w:val="center"/>
          </w:tcPr>
          <w:p w14:paraId="1FFD79C4">
            <w:pPr>
              <w:jc w:val="center"/>
              <w:rPr>
                <w:rFonts w:ascii="宋体" w:eastAsia="宋体" w:cs="宋体"/>
                <w:color w:val="auto"/>
                <w:sz w:val="24"/>
                <w:szCs w:val="24"/>
                <w:highlight w:val="none"/>
              </w:rPr>
            </w:pPr>
          </w:p>
        </w:tc>
        <w:tc>
          <w:tcPr>
            <w:tcW w:w="2243" w:type="dxa"/>
            <w:vAlign w:val="center"/>
          </w:tcPr>
          <w:p w14:paraId="6962967C">
            <w:pPr>
              <w:jc w:val="center"/>
              <w:rPr>
                <w:rFonts w:ascii="宋体" w:eastAsia="宋体" w:cs="宋体"/>
                <w:color w:val="auto"/>
                <w:sz w:val="24"/>
                <w:szCs w:val="24"/>
                <w:highlight w:val="none"/>
              </w:rPr>
            </w:pPr>
          </w:p>
        </w:tc>
        <w:tc>
          <w:tcPr>
            <w:tcW w:w="1763" w:type="dxa"/>
            <w:vAlign w:val="center"/>
          </w:tcPr>
          <w:p w14:paraId="6106A614">
            <w:pPr>
              <w:jc w:val="center"/>
              <w:rPr>
                <w:rFonts w:ascii="宋体" w:eastAsia="宋体" w:cs="宋体"/>
                <w:color w:val="auto"/>
                <w:sz w:val="24"/>
                <w:szCs w:val="24"/>
                <w:highlight w:val="none"/>
              </w:rPr>
            </w:pPr>
          </w:p>
        </w:tc>
        <w:tc>
          <w:tcPr>
            <w:tcW w:w="1929" w:type="dxa"/>
            <w:vAlign w:val="center"/>
          </w:tcPr>
          <w:p w14:paraId="034429A3">
            <w:pPr>
              <w:jc w:val="center"/>
              <w:rPr>
                <w:rFonts w:ascii="宋体" w:eastAsia="宋体" w:cs="宋体"/>
                <w:color w:val="auto"/>
                <w:sz w:val="24"/>
                <w:szCs w:val="24"/>
                <w:highlight w:val="none"/>
              </w:rPr>
            </w:pPr>
          </w:p>
        </w:tc>
      </w:tr>
      <w:tr w14:paraId="108D0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jc w:val="center"/>
        </w:trPr>
        <w:tc>
          <w:tcPr>
            <w:tcW w:w="800" w:type="dxa"/>
            <w:vAlign w:val="center"/>
          </w:tcPr>
          <w:p w14:paraId="316F126C">
            <w:pPr>
              <w:jc w:val="center"/>
              <w:rPr>
                <w:rFonts w:ascii="宋体" w:eastAsia="宋体" w:cs="宋体"/>
                <w:color w:val="auto"/>
                <w:sz w:val="24"/>
                <w:szCs w:val="24"/>
                <w:highlight w:val="none"/>
              </w:rPr>
            </w:pPr>
            <w:r>
              <w:rPr>
                <w:rFonts w:hint="eastAsia" w:ascii="宋体" w:eastAsia="宋体" w:cs="宋体"/>
                <w:color w:val="auto"/>
                <w:sz w:val="24"/>
                <w:szCs w:val="24"/>
                <w:highlight w:val="none"/>
              </w:rPr>
              <w:t>…</w:t>
            </w:r>
          </w:p>
        </w:tc>
        <w:tc>
          <w:tcPr>
            <w:tcW w:w="2723" w:type="dxa"/>
            <w:vAlign w:val="center"/>
          </w:tcPr>
          <w:p w14:paraId="61498A59">
            <w:pPr>
              <w:jc w:val="center"/>
              <w:rPr>
                <w:rFonts w:ascii="宋体" w:eastAsia="宋体" w:cs="宋体"/>
                <w:color w:val="auto"/>
                <w:sz w:val="24"/>
                <w:szCs w:val="24"/>
                <w:highlight w:val="none"/>
              </w:rPr>
            </w:pPr>
          </w:p>
        </w:tc>
        <w:tc>
          <w:tcPr>
            <w:tcW w:w="2243" w:type="dxa"/>
            <w:vAlign w:val="center"/>
          </w:tcPr>
          <w:p w14:paraId="2312B4FE">
            <w:pPr>
              <w:jc w:val="center"/>
              <w:rPr>
                <w:rFonts w:ascii="宋体" w:eastAsia="宋体" w:cs="宋体"/>
                <w:color w:val="auto"/>
                <w:sz w:val="24"/>
                <w:szCs w:val="24"/>
                <w:highlight w:val="none"/>
              </w:rPr>
            </w:pPr>
          </w:p>
        </w:tc>
        <w:tc>
          <w:tcPr>
            <w:tcW w:w="1763" w:type="dxa"/>
            <w:vAlign w:val="center"/>
          </w:tcPr>
          <w:p w14:paraId="6D8BB36B">
            <w:pPr>
              <w:jc w:val="center"/>
              <w:rPr>
                <w:rFonts w:ascii="宋体" w:eastAsia="宋体" w:cs="宋体"/>
                <w:color w:val="auto"/>
                <w:sz w:val="24"/>
                <w:szCs w:val="24"/>
                <w:highlight w:val="none"/>
              </w:rPr>
            </w:pPr>
          </w:p>
        </w:tc>
        <w:tc>
          <w:tcPr>
            <w:tcW w:w="1929" w:type="dxa"/>
            <w:vAlign w:val="center"/>
          </w:tcPr>
          <w:p w14:paraId="4B430793">
            <w:pPr>
              <w:jc w:val="center"/>
              <w:rPr>
                <w:rFonts w:ascii="宋体" w:eastAsia="宋体" w:cs="宋体"/>
                <w:color w:val="auto"/>
                <w:sz w:val="24"/>
                <w:szCs w:val="24"/>
                <w:highlight w:val="none"/>
              </w:rPr>
            </w:pPr>
          </w:p>
        </w:tc>
      </w:tr>
    </w:tbl>
    <w:p w14:paraId="028FE4C7">
      <w:pPr>
        <w:kinsoku/>
        <w:spacing w:before="240" w:beforeLines="100" w:line="360" w:lineRule="auto"/>
        <w:ind w:firstLine="5880" w:firstLineChars="2450"/>
        <w:rPr>
          <w:rFonts w:ascii="宋体" w:eastAsia="宋体" w:cs="宋体"/>
          <w:color w:val="auto"/>
          <w:sz w:val="24"/>
          <w:szCs w:val="24"/>
          <w:highlight w:val="none"/>
        </w:rPr>
      </w:pPr>
      <w:r>
        <w:rPr>
          <w:rFonts w:hint="eastAsia" w:ascii="宋体" w:eastAsia="宋体" w:cs="宋体"/>
          <w:color w:val="auto"/>
          <w:sz w:val="24"/>
          <w:szCs w:val="24"/>
          <w:highlight w:val="none"/>
        </w:rPr>
        <w:t xml:space="preserve">供应商（盖章）：          </w:t>
      </w:r>
    </w:p>
    <w:p w14:paraId="39FF2313">
      <w:pPr>
        <w:kinsoku/>
        <w:spacing w:line="360" w:lineRule="auto"/>
        <w:ind w:firstLine="5880" w:firstLineChars="2450"/>
        <w:rPr>
          <w:rFonts w:ascii="宋体" w:eastAsia="宋体" w:cs="宋体"/>
          <w:color w:val="auto"/>
          <w:sz w:val="24"/>
          <w:szCs w:val="24"/>
          <w:highlight w:val="none"/>
        </w:rPr>
      </w:pPr>
      <w:r>
        <w:rPr>
          <w:rFonts w:hint="eastAsia" w:ascii="宋体" w:eastAsia="宋体" w:cs="宋体"/>
          <w:color w:val="auto"/>
          <w:sz w:val="24"/>
          <w:szCs w:val="24"/>
          <w:highlight w:val="none"/>
        </w:rPr>
        <w:t>日期：</w:t>
      </w:r>
    </w:p>
    <w:p w14:paraId="7C50B711">
      <w:pPr>
        <w:rPr>
          <w:rFonts w:hint="eastAsia" w:ascii="宋体" w:eastAsia="宋体" w:cs="宋体"/>
          <w:color w:val="auto"/>
          <w:sz w:val="24"/>
          <w:szCs w:val="24"/>
          <w:highlight w:val="none"/>
        </w:rPr>
      </w:pPr>
    </w:p>
    <w:p w14:paraId="0234CA6E">
      <w:pPr>
        <w:rPr>
          <w:rFonts w:hint="eastAsia" w:ascii="宋体" w:eastAsia="宋体" w:cs="宋体"/>
          <w:color w:val="auto"/>
          <w:sz w:val="24"/>
          <w:szCs w:val="24"/>
          <w:highlight w:val="none"/>
        </w:rPr>
      </w:pPr>
    </w:p>
    <w:p w14:paraId="6855D2D0">
      <w:pPr>
        <w:rPr>
          <w:rFonts w:hint="eastAsia" w:ascii="宋体" w:eastAsia="宋体" w:cs="宋体"/>
          <w:color w:val="auto"/>
          <w:sz w:val="24"/>
          <w:szCs w:val="24"/>
          <w:highlight w:val="none"/>
        </w:rPr>
      </w:pPr>
    </w:p>
    <w:p w14:paraId="75386079">
      <w:pPr>
        <w:rPr>
          <w:rFonts w:ascii="宋体" w:eastAsia="宋体" w:cs="宋体"/>
          <w:color w:val="auto"/>
          <w:sz w:val="24"/>
          <w:szCs w:val="24"/>
          <w:highlight w:val="none"/>
        </w:rPr>
      </w:pPr>
      <w:r>
        <w:rPr>
          <w:rFonts w:hint="eastAsia" w:ascii="宋体" w:eastAsia="宋体" w:cs="宋体"/>
          <w:color w:val="auto"/>
          <w:sz w:val="24"/>
          <w:szCs w:val="24"/>
          <w:highlight w:val="none"/>
        </w:rPr>
        <w:br w:type="page"/>
      </w:r>
    </w:p>
    <w:p w14:paraId="12B64E23">
      <w:pPr>
        <w:kinsoku/>
        <w:spacing w:line="360" w:lineRule="auto"/>
        <w:ind w:left="0" w:leftChars="0" w:right="0" w:rightChars="0" w:firstLine="0" w:firstLineChars="0"/>
        <w:jc w:val="center"/>
        <w:outlineLvl w:val="1"/>
        <w:rPr>
          <w:rFonts w:ascii="宋体" w:eastAsia="宋体" w:cs="宋体"/>
          <w:color w:val="auto"/>
          <w:sz w:val="24"/>
          <w:szCs w:val="24"/>
          <w:highlight w:val="none"/>
        </w:rPr>
      </w:pPr>
      <w:bookmarkStart w:id="46" w:name="_Toc8181"/>
      <w:r>
        <w:rPr>
          <w:rFonts w:hint="eastAsia" w:ascii="宋体" w:eastAsia="宋体" w:cs="宋体"/>
          <w:b/>
          <w:bCs/>
          <w:color w:val="auto"/>
          <w:sz w:val="28"/>
          <w:szCs w:val="28"/>
          <w:highlight w:val="none"/>
          <w:lang w:eastAsia="zh-CN"/>
        </w:rPr>
        <w:t>三、</w:t>
      </w:r>
      <w:r>
        <w:rPr>
          <w:rFonts w:hint="eastAsia" w:ascii="宋体" w:eastAsia="宋体" w:cs="宋体"/>
          <w:b/>
          <w:bCs/>
          <w:color w:val="auto"/>
          <w:sz w:val="28"/>
          <w:szCs w:val="28"/>
          <w:highlight w:val="none"/>
        </w:rPr>
        <w:t>分项报价表</w:t>
      </w:r>
      <w:bookmarkEnd w:id="46"/>
    </w:p>
    <w:p w14:paraId="39150B44">
      <w:pPr>
        <w:kinsoku/>
        <w:spacing w:line="360" w:lineRule="auto"/>
        <w:ind w:left="0" w:leftChars="0" w:right="0" w:rightChars="0" w:firstLine="0" w:firstLineChars="0"/>
        <w:jc w:val="center"/>
        <w:rPr>
          <w:rFonts w:ascii="宋体" w:eastAsia="宋体" w:cs="宋体"/>
          <w:color w:val="auto"/>
          <w:sz w:val="24"/>
          <w:szCs w:val="24"/>
          <w:highlight w:val="none"/>
        </w:rPr>
      </w:pPr>
    </w:p>
    <w:p w14:paraId="476555CC">
      <w:pPr>
        <w:kinsoku/>
        <w:spacing w:line="360" w:lineRule="auto"/>
        <w:ind w:firstLine="480" w:firstLineChars="200"/>
        <w:rPr>
          <w:rFonts w:ascii="宋体" w:eastAsia="宋体" w:cs="宋体"/>
          <w:color w:val="auto"/>
          <w:sz w:val="24"/>
          <w:szCs w:val="24"/>
          <w:highlight w:val="none"/>
        </w:rPr>
      </w:pPr>
      <w:r>
        <w:rPr>
          <w:rFonts w:hint="eastAsia" w:ascii="宋体" w:eastAsia="宋体" w:cs="宋体"/>
          <w:color w:val="auto"/>
          <w:sz w:val="24"/>
          <w:szCs w:val="24"/>
          <w:highlight w:val="none"/>
        </w:rPr>
        <w:t>项目编号：</w:t>
      </w:r>
    </w:p>
    <w:p w14:paraId="72A7A41E">
      <w:pPr>
        <w:kinsoku/>
        <w:spacing w:line="360" w:lineRule="auto"/>
        <w:ind w:firstLine="480" w:firstLineChars="200"/>
        <w:rPr>
          <w:rFonts w:ascii="宋体" w:eastAsia="宋体" w:cs="宋体"/>
          <w:color w:val="auto"/>
          <w:sz w:val="24"/>
          <w:szCs w:val="24"/>
          <w:highlight w:val="none"/>
        </w:rPr>
      </w:pPr>
      <w:r>
        <w:rPr>
          <w:rFonts w:hint="eastAsia" w:ascii="宋体" w:eastAsia="宋体" w:cs="宋体"/>
          <w:color w:val="auto"/>
          <w:sz w:val="24"/>
          <w:szCs w:val="24"/>
          <w:highlight w:val="none"/>
        </w:rPr>
        <w:t>项目名称：</w:t>
      </w:r>
    </w:p>
    <w:p w14:paraId="368B694A">
      <w:pPr>
        <w:kinsoku/>
        <w:spacing w:line="360" w:lineRule="auto"/>
        <w:ind w:firstLine="480" w:firstLineChars="200"/>
        <w:rPr>
          <w:rFonts w:ascii="宋体" w:eastAsia="宋体" w:cs="宋体"/>
          <w:color w:val="auto"/>
          <w:sz w:val="24"/>
          <w:szCs w:val="24"/>
          <w:highlight w:val="none"/>
        </w:rPr>
      </w:pPr>
      <w:r>
        <w:rPr>
          <w:rFonts w:hint="eastAsia" w:ascii="宋体" w:eastAsia="宋体" w:cs="宋体"/>
          <w:color w:val="auto"/>
          <w:sz w:val="24"/>
          <w:szCs w:val="24"/>
          <w:highlight w:val="none"/>
        </w:rPr>
        <w:t>包号：</w:t>
      </w:r>
    </w:p>
    <w:p w14:paraId="16BDD813">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供应商名称：                                货币及单位：人民币/元</w:t>
      </w:r>
    </w:p>
    <w:tbl>
      <w:tblPr>
        <w:tblStyle w:val="39"/>
        <w:tblW w:w="939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7"/>
        <w:gridCol w:w="1551"/>
        <w:gridCol w:w="1296"/>
        <w:gridCol w:w="1058"/>
        <w:gridCol w:w="1020"/>
        <w:gridCol w:w="1323"/>
        <w:gridCol w:w="810"/>
        <w:gridCol w:w="810"/>
        <w:gridCol w:w="809"/>
      </w:tblGrid>
      <w:tr w14:paraId="3A77D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jc w:val="center"/>
        </w:trPr>
        <w:tc>
          <w:tcPr>
            <w:tcW w:w="717" w:type="dxa"/>
            <w:vAlign w:val="center"/>
          </w:tcPr>
          <w:p w14:paraId="564749C0">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51" w:type="dxa"/>
            <w:vAlign w:val="center"/>
          </w:tcPr>
          <w:p w14:paraId="31F63F99">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服务名称</w:t>
            </w:r>
          </w:p>
        </w:tc>
        <w:tc>
          <w:tcPr>
            <w:tcW w:w="1296" w:type="dxa"/>
            <w:vAlign w:val="center"/>
          </w:tcPr>
          <w:p w14:paraId="71C182E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服务范围</w:t>
            </w:r>
          </w:p>
        </w:tc>
        <w:tc>
          <w:tcPr>
            <w:tcW w:w="1058" w:type="dxa"/>
            <w:vAlign w:val="center"/>
          </w:tcPr>
          <w:p w14:paraId="54FC7CE2">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服务要求</w:t>
            </w:r>
          </w:p>
        </w:tc>
        <w:tc>
          <w:tcPr>
            <w:tcW w:w="1020" w:type="dxa"/>
            <w:vAlign w:val="center"/>
          </w:tcPr>
          <w:p w14:paraId="3F40DC59">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服务</w:t>
            </w:r>
            <w:r>
              <w:rPr>
                <w:rFonts w:hint="eastAsia" w:ascii="宋体" w:hAnsi="宋体" w:eastAsia="宋体" w:cs="宋体"/>
                <w:color w:val="auto"/>
                <w:sz w:val="24"/>
                <w:szCs w:val="24"/>
                <w:highlight w:val="none"/>
                <w:lang w:eastAsia="zh-CN"/>
              </w:rPr>
              <w:t>期限</w:t>
            </w:r>
          </w:p>
        </w:tc>
        <w:tc>
          <w:tcPr>
            <w:tcW w:w="1323" w:type="dxa"/>
            <w:vAlign w:val="center"/>
          </w:tcPr>
          <w:p w14:paraId="51D4EE05">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服务标准</w:t>
            </w:r>
          </w:p>
        </w:tc>
        <w:tc>
          <w:tcPr>
            <w:tcW w:w="810" w:type="dxa"/>
            <w:vAlign w:val="center"/>
          </w:tcPr>
          <w:p w14:paraId="28B6D31C">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810" w:type="dxa"/>
            <w:vAlign w:val="center"/>
          </w:tcPr>
          <w:p w14:paraId="79DE0C51">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809" w:type="dxa"/>
            <w:vAlign w:val="center"/>
          </w:tcPr>
          <w:p w14:paraId="561846D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r>
      <w:tr w14:paraId="62D55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717" w:type="dxa"/>
            <w:vAlign w:val="center"/>
          </w:tcPr>
          <w:p w14:paraId="07DD0134">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51" w:type="dxa"/>
            <w:vAlign w:val="center"/>
          </w:tcPr>
          <w:p w14:paraId="67AD8A3B">
            <w:pPr>
              <w:jc w:val="center"/>
              <w:rPr>
                <w:rFonts w:ascii="宋体" w:hAnsi="宋体" w:eastAsia="宋体" w:cs="宋体"/>
                <w:color w:val="auto"/>
                <w:sz w:val="24"/>
                <w:szCs w:val="24"/>
                <w:highlight w:val="none"/>
              </w:rPr>
            </w:pPr>
          </w:p>
        </w:tc>
        <w:tc>
          <w:tcPr>
            <w:tcW w:w="1296" w:type="dxa"/>
            <w:vAlign w:val="center"/>
          </w:tcPr>
          <w:p w14:paraId="22915D13">
            <w:pPr>
              <w:jc w:val="center"/>
              <w:rPr>
                <w:rFonts w:ascii="宋体" w:hAnsi="宋体" w:eastAsia="宋体" w:cs="宋体"/>
                <w:color w:val="auto"/>
                <w:sz w:val="24"/>
                <w:szCs w:val="24"/>
                <w:highlight w:val="none"/>
              </w:rPr>
            </w:pPr>
          </w:p>
        </w:tc>
        <w:tc>
          <w:tcPr>
            <w:tcW w:w="1058" w:type="dxa"/>
            <w:vAlign w:val="center"/>
          </w:tcPr>
          <w:p w14:paraId="2242944D">
            <w:pPr>
              <w:jc w:val="center"/>
              <w:rPr>
                <w:rFonts w:ascii="宋体" w:hAnsi="宋体" w:eastAsia="宋体" w:cs="宋体"/>
                <w:color w:val="auto"/>
                <w:sz w:val="24"/>
                <w:szCs w:val="24"/>
                <w:highlight w:val="none"/>
              </w:rPr>
            </w:pPr>
          </w:p>
        </w:tc>
        <w:tc>
          <w:tcPr>
            <w:tcW w:w="1020" w:type="dxa"/>
            <w:vAlign w:val="center"/>
          </w:tcPr>
          <w:p w14:paraId="61ECC6F0">
            <w:pPr>
              <w:jc w:val="center"/>
              <w:rPr>
                <w:rFonts w:ascii="宋体" w:hAnsi="宋体" w:eastAsia="宋体" w:cs="宋体"/>
                <w:color w:val="auto"/>
                <w:sz w:val="24"/>
                <w:szCs w:val="24"/>
                <w:highlight w:val="none"/>
              </w:rPr>
            </w:pPr>
          </w:p>
        </w:tc>
        <w:tc>
          <w:tcPr>
            <w:tcW w:w="1323" w:type="dxa"/>
            <w:vAlign w:val="center"/>
          </w:tcPr>
          <w:p w14:paraId="0997AE1B">
            <w:pPr>
              <w:jc w:val="center"/>
              <w:rPr>
                <w:rFonts w:ascii="宋体" w:hAnsi="宋体" w:eastAsia="宋体" w:cs="宋体"/>
                <w:color w:val="auto"/>
                <w:sz w:val="24"/>
                <w:szCs w:val="24"/>
                <w:highlight w:val="none"/>
              </w:rPr>
            </w:pPr>
          </w:p>
        </w:tc>
        <w:tc>
          <w:tcPr>
            <w:tcW w:w="810" w:type="dxa"/>
            <w:vAlign w:val="center"/>
          </w:tcPr>
          <w:p w14:paraId="6759B39B">
            <w:pPr>
              <w:jc w:val="center"/>
              <w:rPr>
                <w:rFonts w:ascii="宋体" w:hAnsi="宋体" w:eastAsia="宋体" w:cs="宋体"/>
                <w:color w:val="auto"/>
                <w:sz w:val="24"/>
                <w:szCs w:val="24"/>
                <w:highlight w:val="none"/>
              </w:rPr>
            </w:pPr>
          </w:p>
        </w:tc>
        <w:tc>
          <w:tcPr>
            <w:tcW w:w="810" w:type="dxa"/>
            <w:vAlign w:val="center"/>
          </w:tcPr>
          <w:p w14:paraId="31252BD4">
            <w:pPr>
              <w:jc w:val="center"/>
              <w:rPr>
                <w:rFonts w:ascii="宋体" w:hAnsi="宋体" w:eastAsia="宋体" w:cs="宋体"/>
                <w:color w:val="auto"/>
                <w:sz w:val="24"/>
                <w:szCs w:val="24"/>
                <w:highlight w:val="none"/>
              </w:rPr>
            </w:pPr>
          </w:p>
        </w:tc>
        <w:tc>
          <w:tcPr>
            <w:tcW w:w="809" w:type="dxa"/>
            <w:vAlign w:val="center"/>
          </w:tcPr>
          <w:p w14:paraId="53915D94">
            <w:pPr>
              <w:jc w:val="center"/>
              <w:rPr>
                <w:rFonts w:ascii="宋体" w:hAnsi="宋体" w:eastAsia="宋体" w:cs="宋体"/>
                <w:color w:val="auto"/>
                <w:sz w:val="24"/>
                <w:szCs w:val="24"/>
                <w:highlight w:val="none"/>
              </w:rPr>
            </w:pPr>
          </w:p>
        </w:tc>
      </w:tr>
      <w:tr w14:paraId="71AB7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717" w:type="dxa"/>
            <w:vAlign w:val="center"/>
          </w:tcPr>
          <w:p w14:paraId="0FC01BCF">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51" w:type="dxa"/>
            <w:vAlign w:val="center"/>
          </w:tcPr>
          <w:p w14:paraId="124FA2BF">
            <w:pPr>
              <w:jc w:val="center"/>
              <w:rPr>
                <w:rFonts w:ascii="宋体" w:hAnsi="宋体" w:eastAsia="宋体" w:cs="宋体"/>
                <w:color w:val="auto"/>
                <w:sz w:val="24"/>
                <w:szCs w:val="24"/>
                <w:highlight w:val="none"/>
              </w:rPr>
            </w:pPr>
          </w:p>
        </w:tc>
        <w:tc>
          <w:tcPr>
            <w:tcW w:w="1296" w:type="dxa"/>
            <w:vAlign w:val="center"/>
          </w:tcPr>
          <w:p w14:paraId="308A8F00">
            <w:pPr>
              <w:jc w:val="center"/>
              <w:rPr>
                <w:rFonts w:ascii="宋体" w:hAnsi="宋体" w:eastAsia="宋体" w:cs="宋体"/>
                <w:color w:val="auto"/>
                <w:sz w:val="24"/>
                <w:szCs w:val="24"/>
                <w:highlight w:val="none"/>
              </w:rPr>
            </w:pPr>
          </w:p>
        </w:tc>
        <w:tc>
          <w:tcPr>
            <w:tcW w:w="1058" w:type="dxa"/>
            <w:vAlign w:val="center"/>
          </w:tcPr>
          <w:p w14:paraId="72ADFCC7">
            <w:pPr>
              <w:jc w:val="center"/>
              <w:rPr>
                <w:rFonts w:ascii="宋体" w:hAnsi="宋体" w:eastAsia="宋体" w:cs="宋体"/>
                <w:color w:val="auto"/>
                <w:sz w:val="24"/>
                <w:szCs w:val="24"/>
                <w:highlight w:val="none"/>
              </w:rPr>
            </w:pPr>
          </w:p>
        </w:tc>
        <w:tc>
          <w:tcPr>
            <w:tcW w:w="1020" w:type="dxa"/>
            <w:vAlign w:val="center"/>
          </w:tcPr>
          <w:p w14:paraId="32D70523">
            <w:pPr>
              <w:jc w:val="center"/>
              <w:rPr>
                <w:rFonts w:ascii="宋体" w:hAnsi="宋体" w:eastAsia="宋体" w:cs="宋体"/>
                <w:color w:val="auto"/>
                <w:sz w:val="24"/>
                <w:szCs w:val="24"/>
                <w:highlight w:val="none"/>
              </w:rPr>
            </w:pPr>
          </w:p>
        </w:tc>
        <w:tc>
          <w:tcPr>
            <w:tcW w:w="1323" w:type="dxa"/>
            <w:vAlign w:val="center"/>
          </w:tcPr>
          <w:p w14:paraId="7515D53E">
            <w:pPr>
              <w:jc w:val="center"/>
              <w:rPr>
                <w:rFonts w:ascii="宋体" w:hAnsi="宋体" w:eastAsia="宋体" w:cs="宋体"/>
                <w:color w:val="auto"/>
                <w:sz w:val="24"/>
                <w:szCs w:val="24"/>
                <w:highlight w:val="none"/>
              </w:rPr>
            </w:pPr>
          </w:p>
        </w:tc>
        <w:tc>
          <w:tcPr>
            <w:tcW w:w="810" w:type="dxa"/>
            <w:vAlign w:val="center"/>
          </w:tcPr>
          <w:p w14:paraId="0B0A780E">
            <w:pPr>
              <w:jc w:val="center"/>
              <w:rPr>
                <w:rFonts w:ascii="宋体" w:hAnsi="宋体" w:eastAsia="宋体" w:cs="宋体"/>
                <w:color w:val="auto"/>
                <w:sz w:val="24"/>
                <w:szCs w:val="24"/>
                <w:highlight w:val="none"/>
              </w:rPr>
            </w:pPr>
          </w:p>
        </w:tc>
        <w:tc>
          <w:tcPr>
            <w:tcW w:w="810" w:type="dxa"/>
            <w:vAlign w:val="center"/>
          </w:tcPr>
          <w:p w14:paraId="39D1E1DB">
            <w:pPr>
              <w:jc w:val="center"/>
              <w:rPr>
                <w:rFonts w:ascii="宋体" w:hAnsi="宋体" w:eastAsia="宋体" w:cs="宋体"/>
                <w:color w:val="auto"/>
                <w:sz w:val="24"/>
                <w:szCs w:val="24"/>
                <w:highlight w:val="none"/>
              </w:rPr>
            </w:pPr>
          </w:p>
        </w:tc>
        <w:tc>
          <w:tcPr>
            <w:tcW w:w="809" w:type="dxa"/>
            <w:vAlign w:val="center"/>
          </w:tcPr>
          <w:p w14:paraId="11C039AE">
            <w:pPr>
              <w:jc w:val="center"/>
              <w:rPr>
                <w:rFonts w:ascii="宋体" w:hAnsi="宋体" w:eastAsia="宋体" w:cs="宋体"/>
                <w:color w:val="auto"/>
                <w:sz w:val="24"/>
                <w:szCs w:val="24"/>
                <w:highlight w:val="none"/>
              </w:rPr>
            </w:pPr>
          </w:p>
        </w:tc>
      </w:tr>
      <w:tr w14:paraId="4E727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717" w:type="dxa"/>
            <w:vAlign w:val="center"/>
          </w:tcPr>
          <w:p w14:paraId="692EE46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551" w:type="dxa"/>
            <w:vAlign w:val="center"/>
          </w:tcPr>
          <w:p w14:paraId="297C1F64">
            <w:pPr>
              <w:jc w:val="center"/>
              <w:rPr>
                <w:rFonts w:ascii="宋体" w:hAnsi="宋体" w:eastAsia="宋体" w:cs="宋体"/>
                <w:color w:val="auto"/>
                <w:sz w:val="24"/>
                <w:szCs w:val="24"/>
                <w:highlight w:val="none"/>
              </w:rPr>
            </w:pPr>
          </w:p>
        </w:tc>
        <w:tc>
          <w:tcPr>
            <w:tcW w:w="1296" w:type="dxa"/>
            <w:vAlign w:val="center"/>
          </w:tcPr>
          <w:p w14:paraId="3C499F47">
            <w:pPr>
              <w:jc w:val="center"/>
              <w:rPr>
                <w:rFonts w:ascii="宋体" w:hAnsi="宋体" w:eastAsia="宋体" w:cs="宋体"/>
                <w:color w:val="auto"/>
                <w:sz w:val="24"/>
                <w:szCs w:val="24"/>
                <w:highlight w:val="none"/>
              </w:rPr>
            </w:pPr>
          </w:p>
        </w:tc>
        <w:tc>
          <w:tcPr>
            <w:tcW w:w="1058" w:type="dxa"/>
            <w:vAlign w:val="center"/>
          </w:tcPr>
          <w:p w14:paraId="45D8B5D3">
            <w:pPr>
              <w:jc w:val="center"/>
              <w:rPr>
                <w:rFonts w:ascii="宋体" w:hAnsi="宋体" w:eastAsia="宋体" w:cs="宋体"/>
                <w:color w:val="auto"/>
                <w:sz w:val="24"/>
                <w:szCs w:val="24"/>
                <w:highlight w:val="none"/>
              </w:rPr>
            </w:pPr>
          </w:p>
        </w:tc>
        <w:tc>
          <w:tcPr>
            <w:tcW w:w="1020" w:type="dxa"/>
            <w:vAlign w:val="center"/>
          </w:tcPr>
          <w:p w14:paraId="01A95A7F">
            <w:pPr>
              <w:jc w:val="center"/>
              <w:rPr>
                <w:rFonts w:ascii="宋体" w:hAnsi="宋体" w:eastAsia="宋体" w:cs="宋体"/>
                <w:color w:val="auto"/>
                <w:sz w:val="24"/>
                <w:szCs w:val="24"/>
                <w:highlight w:val="none"/>
              </w:rPr>
            </w:pPr>
          </w:p>
        </w:tc>
        <w:tc>
          <w:tcPr>
            <w:tcW w:w="1323" w:type="dxa"/>
            <w:vAlign w:val="center"/>
          </w:tcPr>
          <w:p w14:paraId="144A1971">
            <w:pPr>
              <w:jc w:val="center"/>
              <w:rPr>
                <w:rFonts w:ascii="宋体" w:hAnsi="宋体" w:eastAsia="宋体" w:cs="宋体"/>
                <w:color w:val="auto"/>
                <w:sz w:val="24"/>
                <w:szCs w:val="24"/>
                <w:highlight w:val="none"/>
              </w:rPr>
            </w:pPr>
          </w:p>
        </w:tc>
        <w:tc>
          <w:tcPr>
            <w:tcW w:w="810" w:type="dxa"/>
            <w:vAlign w:val="center"/>
          </w:tcPr>
          <w:p w14:paraId="711B58A0">
            <w:pPr>
              <w:jc w:val="center"/>
              <w:rPr>
                <w:rFonts w:ascii="宋体" w:hAnsi="宋体" w:eastAsia="宋体" w:cs="宋体"/>
                <w:color w:val="auto"/>
                <w:sz w:val="24"/>
                <w:szCs w:val="24"/>
                <w:highlight w:val="none"/>
              </w:rPr>
            </w:pPr>
          </w:p>
        </w:tc>
        <w:tc>
          <w:tcPr>
            <w:tcW w:w="810" w:type="dxa"/>
            <w:vAlign w:val="center"/>
          </w:tcPr>
          <w:p w14:paraId="212DA728">
            <w:pPr>
              <w:jc w:val="center"/>
              <w:rPr>
                <w:rFonts w:ascii="宋体" w:hAnsi="宋体" w:eastAsia="宋体" w:cs="宋体"/>
                <w:color w:val="auto"/>
                <w:sz w:val="24"/>
                <w:szCs w:val="24"/>
                <w:highlight w:val="none"/>
              </w:rPr>
            </w:pPr>
          </w:p>
        </w:tc>
        <w:tc>
          <w:tcPr>
            <w:tcW w:w="809" w:type="dxa"/>
            <w:vAlign w:val="center"/>
          </w:tcPr>
          <w:p w14:paraId="6E8AFA4B">
            <w:pPr>
              <w:jc w:val="center"/>
              <w:rPr>
                <w:rFonts w:ascii="宋体" w:hAnsi="宋体" w:eastAsia="宋体" w:cs="宋体"/>
                <w:color w:val="auto"/>
                <w:sz w:val="24"/>
                <w:szCs w:val="24"/>
                <w:highlight w:val="none"/>
              </w:rPr>
            </w:pPr>
          </w:p>
        </w:tc>
      </w:tr>
      <w:tr w14:paraId="31C1A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717" w:type="dxa"/>
            <w:vAlign w:val="center"/>
          </w:tcPr>
          <w:p w14:paraId="39EB9C1A">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551" w:type="dxa"/>
            <w:vAlign w:val="center"/>
          </w:tcPr>
          <w:p w14:paraId="5D81A3AC">
            <w:pPr>
              <w:jc w:val="center"/>
              <w:rPr>
                <w:rFonts w:ascii="宋体" w:hAnsi="宋体" w:eastAsia="宋体" w:cs="宋体"/>
                <w:color w:val="auto"/>
                <w:sz w:val="24"/>
                <w:szCs w:val="24"/>
                <w:highlight w:val="none"/>
              </w:rPr>
            </w:pPr>
          </w:p>
        </w:tc>
        <w:tc>
          <w:tcPr>
            <w:tcW w:w="1296" w:type="dxa"/>
            <w:vAlign w:val="center"/>
          </w:tcPr>
          <w:p w14:paraId="184EFB9D">
            <w:pPr>
              <w:jc w:val="center"/>
              <w:rPr>
                <w:rFonts w:ascii="宋体" w:hAnsi="宋体" w:eastAsia="宋体" w:cs="宋体"/>
                <w:color w:val="auto"/>
                <w:sz w:val="24"/>
                <w:szCs w:val="24"/>
                <w:highlight w:val="none"/>
              </w:rPr>
            </w:pPr>
          </w:p>
        </w:tc>
        <w:tc>
          <w:tcPr>
            <w:tcW w:w="1058" w:type="dxa"/>
            <w:vAlign w:val="center"/>
          </w:tcPr>
          <w:p w14:paraId="07054B86">
            <w:pPr>
              <w:jc w:val="center"/>
              <w:rPr>
                <w:rFonts w:ascii="宋体" w:hAnsi="宋体" w:eastAsia="宋体" w:cs="宋体"/>
                <w:color w:val="auto"/>
                <w:sz w:val="24"/>
                <w:szCs w:val="24"/>
                <w:highlight w:val="none"/>
              </w:rPr>
            </w:pPr>
          </w:p>
        </w:tc>
        <w:tc>
          <w:tcPr>
            <w:tcW w:w="1020" w:type="dxa"/>
            <w:vAlign w:val="center"/>
          </w:tcPr>
          <w:p w14:paraId="38E9A3E7">
            <w:pPr>
              <w:jc w:val="center"/>
              <w:rPr>
                <w:rFonts w:ascii="宋体" w:hAnsi="宋体" w:eastAsia="宋体" w:cs="宋体"/>
                <w:color w:val="auto"/>
                <w:sz w:val="24"/>
                <w:szCs w:val="24"/>
                <w:highlight w:val="none"/>
              </w:rPr>
            </w:pPr>
          </w:p>
        </w:tc>
        <w:tc>
          <w:tcPr>
            <w:tcW w:w="1323" w:type="dxa"/>
            <w:vAlign w:val="center"/>
          </w:tcPr>
          <w:p w14:paraId="545F45C9">
            <w:pPr>
              <w:jc w:val="center"/>
              <w:rPr>
                <w:rFonts w:ascii="宋体" w:hAnsi="宋体" w:eastAsia="宋体" w:cs="宋体"/>
                <w:color w:val="auto"/>
                <w:sz w:val="24"/>
                <w:szCs w:val="24"/>
                <w:highlight w:val="none"/>
              </w:rPr>
            </w:pPr>
          </w:p>
        </w:tc>
        <w:tc>
          <w:tcPr>
            <w:tcW w:w="810" w:type="dxa"/>
            <w:vAlign w:val="center"/>
          </w:tcPr>
          <w:p w14:paraId="0CD0915A">
            <w:pPr>
              <w:jc w:val="center"/>
              <w:rPr>
                <w:rFonts w:ascii="宋体" w:hAnsi="宋体" w:eastAsia="宋体" w:cs="宋体"/>
                <w:color w:val="auto"/>
                <w:sz w:val="24"/>
                <w:szCs w:val="24"/>
                <w:highlight w:val="none"/>
              </w:rPr>
            </w:pPr>
          </w:p>
        </w:tc>
        <w:tc>
          <w:tcPr>
            <w:tcW w:w="810" w:type="dxa"/>
            <w:vAlign w:val="center"/>
          </w:tcPr>
          <w:p w14:paraId="4A8170B4">
            <w:pPr>
              <w:jc w:val="center"/>
              <w:rPr>
                <w:rFonts w:ascii="宋体" w:hAnsi="宋体" w:eastAsia="宋体" w:cs="宋体"/>
                <w:color w:val="auto"/>
                <w:sz w:val="24"/>
                <w:szCs w:val="24"/>
                <w:highlight w:val="none"/>
              </w:rPr>
            </w:pPr>
          </w:p>
        </w:tc>
        <w:tc>
          <w:tcPr>
            <w:tcW w:w="809" w:type="dxa"/>
            <w:vAlign w:val="center"/>
          </w:tcPr>
          <w:p w14:paraId="114C8441">
            <w:pPr>
              <w:jc w:val="center"/>
              <w:rPr>
                <w:rFonts w:ascii="宋体" w:hAnsi="宋体" w:eastAsia="宋体" w:cs="宋体"/>
                <w:color w:val="auto"/>
                <w:sz w:val="24"/>
                <w:szCs w:val="24"/>
                <w:highlight w:val="none"/>
              </w:rPr>
            </w:pPr>
          </w:p>
        </w:tc>
      </w:tr>
      <w:tr w14:paraId="46870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717" w:type="dxa"/>
            <w:vAlign w:val="center"/>
          </w:tcPr>
          <w:p w14:paraId="133053FC">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551" w:type="dxa"/>
            <w:vAlign w:val="center"/>
          </w:tcPr>
          <w:p w14:paraId="5776A818">
            <w:pPr>
              <w:jc w:val="center"/>
              <w:rPr>
                <w:rFonts w:ascii="宋体" w:hAnsi="宋体" w:eastAsia="宋体" w:cs="宋体"/>
                <w:color w:val="auto"/>
                <w:sz w:val="24"/>
                <w:szCs w:val="24"/>
                <w:highlight w:val="none"/>
              </w:rPr>
            </w:pPr>
          </w:p>
        </w:tc>
        <w:tc>
          <w:tcPr>
            <w:tcW w:w="1296" w:type="dxa"/>
            <w:vAlign w:val="center"/>
          </w:tcPr>
          <w:p w14:paraId="6AC72DB6">
            <w:pPr>
              <w:jc w:val="center"/>
              <w:rPr>
                <w:rFonts w:ascii="宋体" w:hAnsi="宋体" w:eastAsia="宋体" w:cs="宋体"/>
                <w:color w:val="auto"/>
                <w:sz w:val="24"/>
                <w:szCs w:val="24"/>
                <w:highlight w:val="none"/>
              </w:rPr>
            </w:pPr>
          </w:p>
        </w:tc>
        <w:tc>
          <w:tcPr>
            <w:tcW w:w="1058" w:type="dxa"/>
            <w:vAlign w:val="center"/>
          </w:tcPr>
          <w:p w14:paraId="30010859">
            <w:pPr>
              <w:jc w:val="center"/>
              <w:rPr>
                <w:rFonts w:ascii="宋体" w:hAnsi="宋体" w:eastAsia="宋体" w:cs="宋体"/>
                <w:color w:val="auto"/>
                <w:sz w:val="24"/>
                <w:szCs w:val="24"/>
                <w:highlight w:val="none"/>
              </w:rPr>
            </w:pPr>
          </w:p>
        </w:tc>
        <w:tc>
          <w:tcPr>
            <w:tcW w:w="1020" w:type="dxa"/>
            <w:vAlign w:val="center"/>
          </w:tcPr>
          <w:p w14:paraId="29F1F538">
            <w:pPr>
              <w:jc w:val="center"/>
              <w:rPr>
                <w:rFonts w:ascii="宋体" w:hAnsi="宋体" w:eastAsia="宋体" w:cs="宋体"/>
                <w:color w:val="auto"/>
                <w:sz w:val="24"/>
                <w:szCs w:val="24"/>
                <w:highlight w:val="none"/>
              </w:rPr>
            </w:pPr>
          </w:p>
        </w:tc>
        <w:tc>
          <w:tcPr>
            <w:tcW w:w="1323" w:type="dxa"/>
            <w:vAlign w:val="center"/>
          </w:tcPr>
          <w:p w14:paraId="1629A4F6">
            <w:pPr>
              <w:jc w:val="center"/>
              <w:rPr>
                <w:rFonts w:ascii="宋体" w:hAnsi="宋体" w:eastAsia="宋体" w:cs="宋体"/>
                <w:color w:val="auto"/>
                <w:sz w:val="24"/>
                <w:szCs w:val="24"/>
                <w:highlight w:val="none"/>
              </w:rPr>
            </w:pPr>
          </w:p>
        </w:tc>
        <w:tc>
          <w:tcPr>
            <w:tcW w:w="810" w:type="dxa"/>
            <w:vAlign w:val="center"/>
          </w:tcPr>
          <w:p w14:paraId="4F4DB7FF">
            <w:pPr>
              <w:jc w:val="center"/>
              <w:rPr>
                <w:rFonts w:ascii="宋体" w:hAnsi="宋体" w:eastAsia="宋体" w:cs="宋体"/>
                <w:color w:val="auto"/>
                <w:sz w:val="24"/>
                <w:szCs w:val="24"/>
                <w:highlight w:val="none"/>
              </w:rPr>
            </w:pPr>
          </w:p>
        </w:tc>
        <w:tc>
          <w:tcPr>
            <w:tcW w:w="810" w:type="dxa"/>
            <w:vAlign w:val="center"/>
          </w:tcPr>
          <w:p w14:paraId="79AA5098">
            <w:pPr>
              <w:jc w:val="center"/>
              <w:rPr>
                <w:rFonts w:ascii="宋体" w:hAnsi="宋体" w:eastAsia="宋体" w:cs="宋体"/>
                <w:color w:val="auto"/>
                <w:sz w:val="24"/>
                <w:szCs w:val="24"/>
                <w:highlight w:val="none"/>
              </w:rPr>
            </w:pPr>
          </w:p>
        </w:tc>
        <w:tc>
          <w:tcPr>
            <w:tcW w:w="809" w:type="dxa"/>
            <w:vAlign w:val="center"/>
          </w:tcPr>
          <w:p w14:paraId="1C297200">
            <w:pPr>
              <w:jc w:val="center"/>
              <w:rPr>
                <w:rFonts w:ascii="宋体" w:hAnsi="宋体" w:eastAsia="宋体" w:cs="宋体"/>
                <w:color w:val="auto"/>
                <w:sz w:val="24"/>
                <w:szCs w:val="24"/>
                <w:highlight w:val="none"/>
              </w:rPr>
            </w:pPr>
          </w:p>
        </w:tc>
      </w:tr>
    </w:tbl>
    <w:p w14:paraId="0A04067F">
      <w:pPr>
        <w:kinsoku/>
        <w:spacing w:before="240" w:beforeLines="100" w:line="360" w:lineRule="auto"/>
        <w:jc w:val="center"/>
        <w:rPr>
          <w:rFonts w:ascii="宋体" w:eastAsia="宋体" w:cs="宋体"/>
          <w:color w:val="auto"/>
          <w:sz w:val="24"/>
          <w:szCs w:val="24"/>
          <w:highlight w:val="none"/>
        </w:rPr>
      </w:pPr>
    </w:p>
    <w:p w14:paraId="1E9200EE">
      <w:pPr>
        <w:kinsoku/>
        <w:spacing w:before="240" w:beforeLines="100" w:line="360" w:lineRule="auto"/>
        <w:ind w:firstLine="5880" w:firstLineChars="2450"/>
        <w:rPr>
          <w:rFonts w:ascii="宋体" w:eastAsia="宋体" w:cs="宋体"/>
          <w:color w:val="auto"/>
          <w:sz w:val="24"/>
          <w:szCs w:val="24"/>
          <w:highlight w:val="none"/>
        </w:rPr>
      </w:pPr>
      <w:r>
        <w:rPr>
          <w:rFonts w:hint="eastAsia" w:ascii="宋体" w:eastAsia="宋体" w:cs="宋体"/>
          <w:color w:val="auto"/>
          <w:sz w:val="24"/>
          <w:szCs w:val="24"/>
          <w:highlight w:val="none"/>
        </w:rPr>
        <w:t xml:space="preserve">供应商（盖章）：          </w:t>
      </w:r>
    </w:p>
    <w:p w14:paraId="77383680">
      <w:pPr>
        <w:kinsoku/>
        <w:spacing w:line="360" w:lineRule="auto"/>
        <w:ind w:firstLine="5880" w:firstLineChars="2450"/>
        <w:rPr>
          <w:rFonts w:ascii="宋体" w:eastAsia="宋体" w:cs="宋体"/>
          <w:color w:val="auto"/>
          <w:sz w:val="24"/>
          <w:szCs w:val="24"/>
          <w:highlight w:val="none"/>
        </w:rPr>
      </w:pPr>
      <w:r>
        <w:rPr>
          <w:rFonts w:hint="eastAsia" w:ascii="宋体" w:eastAsia="宋体" w:cs="宋体"/>
          <w:color w:val="auto"/>
          <w:sz w:val="24"/>
          <w:szCs w:val="24"/>
          <w:highlight w:val="none"/>
        </w:rPr>
        <w:t>日期：</w:t>
      </w:r>
    </w:p>
    <w:p w14:paraId="7DD20D52">
      <w:pPr>
        <w:kinsoku/>
        <w:spacing w:line="360" w:lineRule="auto"/>
        <w:ind w:firstLine="480" w:firstLineChars="200"/>
        <w:rPr>
          <w:rFonts w:hint="eastAsia" w:ascii="宋体" w:eastAsia="宋体" w:cs="宋体"/>
          <w:color w:val="auto"/>
          <w:sz w:val="24"/>
          <w:szCs w:val="24"/>
          <w:highlight w:val="none"/>
        </w:rPr>
      </w:pPr>
    </w:p>
    <w:p w14:paraId="0A031961">
      <w:pPr>
        <w:kinsoku/>
        <w:spacing w:line="360" w:lineRule="auto"/>
        <w:ind w:firstLine="480" w:firstLineChars="200"/>
        <w:rPr>
          <w:rFonts w:ascii="宋体" w:eastAsia="宋体" w:cs="宋体"/>
          <w:color w:val="auto"/>
          <w:sz w:val="24"/>
          <w:szCs w:val="24"/>
          <w:highlight w:val="none"/>
        </w:rPr>
      </w:pPr>
    </w:p>
    <w:p w14:paraId="09C87354">
      <w:pPr>
        <w:kinsoku/>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说明：</w:t>
      </w:r>
    </w:p>
    <w:p w14:paraId="400940D5">
      <w:pPr>
        <w:kinsoku/>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1.</w:t>
      </w:r>
      <w:r>
        <w:rPr>
          <w:rFonts w:hint="eastAsia" w:ascii="宋体" w:eastAsia="宋体" w:cs="宋体"/>
          <w:color w:val="auto"/>
          <w:sz w:val="24"/>
          <w:szCs w:val="24"/>
          <w:highlight w:val="none"/>
          <w:lang w:eastAsia="zh-CN"/>
        </w:rPr>
        <w:t>“服务名称”填写可标的名称；</w:t>
      </w:r>
    </w:p>
    <w:p w14:paraId="281C317C">
      <w:pPr>
        <w:kinsoku/>
        <w:spacing w:line="360" w:lineRule="auto"/>
        <w:ind w:firstLine="480" w:firstLineChars="200"/>
        <w:rPr>
          <w:rFonts w:ascii="宋体" w:eastAsia="宋体" w:cs="宋体"/>
          <w:color w:val="auto"/>
          <w:sz w:val="24"/>
          <w:szCs w:val="24"/>
          <w:highlight w:val="none"/>
        </w:rPr>
      </w:pPr>
      <w:r>
        <w:rPr>
          <w:rFonts w:hint="eastAsia" w:ascii="宋体" w:eastAsia="宋体" w:cs="宋体"/>
          <w:color w:val="auto"/>
          <w:sz w:val="24"/>
          <w:szCs w:val="24"/>
          <w:highlight w:val="none"/>
        </w:rPr>
        <w:t>2.“</w:t>
      </w:r>
      <w:r>
        <w:rPr>
          <w:rFonts w:hint="eastAsia" w:ascii="宋体" w:hAnsi="宋体" w:eastAsia="宋体" w:cs="宋体"/>
          <w:color w:val="auto"/>
          <w:sz w:val="24"/>
          <w:szCs w:val="24"/>
          <w:highlight w:val="none"/>
        </w:rPr>
        <w:t>服务范围</w:t>
      </w:r>
      <w:r>
        <w:rPr>
          <w:rFonts w:hint="eastAsia" w:ascii="宋体" w:eastAsia="宋体" w:cs="宋体"/>
          <w:color w:val="auto"/>
          <w:sz w:val="24"/>
          <w:szCs w:val="24"/>
          <w:highlight w:val="none"/>
        </w:rPr>
        <w:t>”</w:t>
      </w:r>
      <w:r>
        <w:rPr>
          <w:rFonts w:hint="eastAsia" w:ascii="宋体" w:eastAsia="宋体" w:cs="宋体"/>
          <w:color w:val="auto"/>
          <w:sz w:val="24"/>
          <w:szCs w:val="24"/>
          <w:highlight w:val="none"/>
          <w:lang w:eastAsia="zh-CN"/>
        </w:rPr>
        <w:t>、“服务要求”、“</w:t>
      </w:r>
      <w:r>
        <w:rPr>
          <w:rFonts w:hint="eastAsia" w:ascii="宋体" w:hAnsi="宋体" w:eastAsia="宋体" w:cs="宋体"/>
          <w:color w:val="auto"/>
          <w:sz w:val="24"/>
          <w:szCs w:val="24"/>
          <w:highlight w:val="none"/>
        </w:rPr>
        <w:t>服务标准</w:t>
      </w:r>
      <w:r>
        <w:rPr>
          <w:rFonts w:hint="eastAsia" w:ascii="宋体" w:eastAsia="宋体" w:cs="宋体"/>
          <w:color w:val="auto"/>
          <w:sz w:val="24"/>
          <w:szCs w:val="24"/>
          <w:highlight w:val="none"/>
          <w:lang w:eastAsia="zh-CN"/>
        </w:rPr>
        <w:t>”可</w:t>
      </w:r>
      <w:r>
        <w:rPr>
          <w:rFonts w:hint="eastAsia" w:ascii="宋体" w:eastAsia="宋体" w:cs="宋体"/>
          <w:color w:val="auto"/>
          <w:sz w:val="24"/>
          <w:szCs w:val="24"/>
          <w:highlight w:val="none"/>
        </w:rPr>
        <w:t>填写“响应</w:t>
      </w:r>
      <w:r>
        <w:rPr>
          <w:rFonts w:hint="eastAsia" w:ascii="宋体" w:eastAsia="宋体" w:cs="宋体"/>
          <w:color w:val="auto"/>
          <w:sz w:val="24"/>
          <w:szCs w:val="24"/>
          <w:highlight w:val="none"/>
          <w:lang w:eastAsia="zh-CN"/>
        </w:rPr>
        <w:t>采购文件要求”。</w:t>
      </w:r>
    </w:p>
    <w:p w14:paraId="5553E4CA">
      <w:pPr>
        <w:kinsoku/>
        <w:spacing w:line="360" w:lineRule="auto"/>
        <w:ind w:firstLine="480" w:firstLineChars="200"/>
        <w:rPr>
          <w:rFonts w:hint="eastAsia" w:ascii="宋体" w:eastAsia="宋体" w:cs="宋体"/>
          <w:color w:val="auto"/>
          <w:sz w:val="24"/>
          <w:szCs w:val="24"/>
          <w:highlight w:val="none"/>
        </w:rPr>
      </w:pPr>
    </w:p>
    <w:p w14:paraId="159EBAF3">
      <w:pPr>
        <w:kinsoku/>
        <w:spacing w:line="360" w:lineRule="auto"/>
        <w:ind w:firstLine="480" w:firstLineChars="200"/>
        <w:rPr>
          <w:rFonts w:ascii="宋体" w:eastAsia="宋体" w:cs="宋体"/>
          <w:color w:val="auto"/>
          <w:sz w:val="24"/>
          <w:szCs w:val="24"/>
          <w:highlight w:val="none"/>
        </w:rPr>
      </w:pPr>
    </w:p>
    <w:p w14:paraId="70D5C66F">
      <w:pPr>
        <w:kinsoku/>
        <w:spacing w:line="360" w:lineRule="auto"/>
        <w:ind w:firstLine="480" w:firstLineChars="200"/>
        <w:rPr>
          <w:rFonts w:ascii="宋体" w:eastAsia="宋体" w:cs="宋体"/>
          <w:color w:val="auto"/>
          <w:sz w:val="24"/>
          <w:szCs w:val="24"/>
          <w:highlight w:val="none"/>
        </w:rPr>
      </w:pPr>
    </w:p>
    <w:p w14:paraId="128BF3C1">
      <w:pPr>
        <w:kinsoku/>
        <w:spacing w:line="360" w:lineRule="auto"/>
        <w:ind w:firstLine="480" w:firstLineChars="200"/>
        <w:rPr>
          <w:rFonts w:ascii="宋体" w:eastAsia="宋体" w:cs="宋体"/>
          <w:color w:val="auto"/>
          <w:sz w:val="24"/>
          <w:szCs w:val="24"/>
          <w:highlight w:val="none"/>
        </w:rPr>
      </w:pPr>
    </w:p>
    <w:p w14:paraId="69AAB691">
      <w:pPr>
        <w:kinsoku/>
        <w:spacing w:line="360" w:lineRule="auto"/>
        <w:ind w:firstLine="480" w:firstLineChars="200"/>
        <w:rPr>
          <w:rFonts w:ascii="宋体" w:eastAsia="宋体" w:cs="宋体"/>
          <w:color w:val="auto"/>
          <w:sz w:val="24"/>
          <w:szCs w:val="24"/>
          <w:highlight w:val="none"/>
        </w:rPr>
      </w:pPr>
    </w:p>
    <w:p w14:paraId="6818A49F">
      <w:pPr>
        <w:rPr>
          <w:rFonts w:ascii="宋体" w:eastAsia="宋体" w:cs="宋体"/>
          <w:color w:val="auto"/>
          <w:sz w:val="24"/>
          <w:szCs w:val="24"/>
          <w:highlight w:val="none"/>
        </w:rPr>
      </w:pPr>
      <w:r>
        <w:rPr>
          <w:rFonts w:hint="eastAsia" w:ascii="宋体" w:eastAsia="宋体" w:cs="宋体"/>
          <w:color w:val="auto"/>
          <w:sz w:val="24"/>
          <w:szCs w:val="24"/>
          <w:highlight w:val="none"/>
        </w:rPr>
        <w:br w:type="page"/>
      </w:r>
    </w:p>
    <w:p w14:paraId="534D34A1">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（以下格式文件由供应商根据需要选用）</w:t>
      </w:r>
    </w:p>
    <w:p w14:paraId="0C8BDED5">
      <w:pPr>
        <w:kinsoku/>
        <w:spacing w:line="360" w:lineRule="auto"/>
        <w:ind w:left="0" w:leftChars="0" w:right="0" w:rightChars="0" w:firstLine="0" w:firstLineChars="0"/>
        <w:jc w:val="center"/>
        <w:outlineLvl w:val="1"/>
        <w:rPr>
          <w:rFonts w:ascii="宋体" w:eastAsia="宋体" w:cs="宋体"/>
          <w:b/>
          <w:bCs/>
          <w:color w:val="auto"/>
          <w:sz w:val="28"/>
          <w:szCs w:val="28"/>
          <w:highlight w:val="none"/>
          <w:lang w:eastAsia="zh-CN"/>
        </w:rPr>
      </w:pPr>
      <w:bookmarkStart w:id="47" w:name="_Toc21383"/>
      <w:r>
        <w:rPr>
          <w:rFonts w:hint="eastAsia" w:ascii="宋体" w:eastAsia="宋体" w:cs="宋体"/>
          <w:b/>
          <w:bCs/>
          <w:color w:val="auto"/>
          <w:sz w:val="28"/>
          <w:szCs w:val="28"/>
          <w:highlight w:val="none"/>
          <w:lang w:eastAsia="zh-CN"/>
        </w:rPr>
        <w:t>四、授权委托书</w:t>
      </w:r>
      <w:bookmarkEnd w:id="47"/>
    </w:p>
    <w:p w14:paraId="6F7C9EED">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本人</w:t>
      </w:r>
      <w:r>
        <w:rPr>
          <w:rFonts w:hint="eastAsia" w:ascii="宋体" w:eastAsia="宋体" w:cs="宋体"/>
          <w:color w:val="auto"/>
          <w:sz w:val="24"/>
          <w:szCs w:val="24"/>
          <w:highlight w:val="none"/>
          <w:u w:val="single"/>
          <w:lang w:eastAsia="zh-CN"/>
        </w:rPr>
        <w:t xml:space="preserve">      </w:t>
      </w:r>
      <w:r>
        <w:rPr>
          <w:rFonts w:hint="eastAsia" w:ascii="宋体" w:eastAsia="宋体" w:cs="宋体"/>
          <w:color w:val="auto"/>
          <w:sz w:val="24"/>
          <w:szCs w:val="24"/>
          <w:highlight w:val="none"/>
          <w:lang w:eastAsia="zh-CN"/>
        </w:rPr>
        <w:t>（姓名）系</w:t>
      </w:r>
      <w:r>
        <w:rPr>
          <w:rFonts w:hint="eastAsia" w:ascii="宋体" w:eastAsia="宋体" w:cs="宋体"/>
          <w:color w:val="auto"/>
          <w:sz w:val="24"/>
          <w:szCs w:val="24"/>
          <w:highlight w:val="none"/>
          <w:u w:val="single"/>
          <w:lang w:eastAsia="zh-CN"/>
        </w:rPr>
        <w:t xml:space="preserve">             </w:t>
      </w:r>
      <w:r>
        <w:rPr>
          <w:rFonts w:hint="eastAsia" w:ascii="宋体" w:eastAsia="宋体" w:cs="宋体"/>
          <w:color w:val="auto"/>
          <w:sz w:val="24"/>
          <w:szCs w:val="24"/>
          <w:highlight w:val="none"/>
          <w:lang w:eastAsia="zh-CN"/>
        </w:rPr>
        <w:t>（供应商名称）的法定代表人，现委托</w:t>
      </w:r>
      <w:r>
        <w:rPr>
          <w:rFonts w:hint="eastAsia" w:ascii="宋体" w:eastAsia="宋体" w:cs="宋体"/>
          <w:color w:val="auto"/>
          <w:sz w:val="24"/>
          <w:szCs w:val="24"/>
          <w:highlight w:val="none"/>
          <w:u w:val="single"/>
          <w:lang w:eastAsia="zh-CN"/>
        </w:rPr>
        <w:t xml:space="preserve"> </w:t>
      </w:r>
      <w:r>
        <w:rPr>
          <w:rFonts w:hint="eastAsia" w:ascii="宋体" w:eastAsia="宋体" w:cs="宋体"/>
          <w:color w:val="auto"/>
          <w:sz w:val="24"/>
          <w:szCs w:val="24"/>
          <w:highlight w:val="none"/>
          <w:u w:val="single"/>
          <w:lang w:val="en-US" w:eastAsia="zh-CN"/>
        </w:rPr>
        <w:t xml:space="preserve">  </w:t>
      </w:r>
      <w:r>
        <w:rPr>
          <w:rFonts w:hint="eastAsia" w:ascii="宋体" w:eastAsia="宋体" w:cs="宋体"/>
          <w:color w:val="auto"/>
          <w:sz w:val="24"/>
          <w:szCs w:val="24"/>
          <w:highlight w:val="none"/>
          <w:u w:val="single"/>
          <w:lang w:eastAsia="zh-CN"/>
        </w:rPr>
        <w:t xml:space="preserve">   </w:t>
      </w:r>
      <w:r>
        <w:rPr>
          <w:rFonts w:hint="eastAsia" w:ascii="宋体" w:eastAsia="宋体" w:cs="宋体"/>
          <w:color w:val="auto"/>
          <w:sz w:val="24"/>
          <w:szCs w:val="24"/>
          <w:highlight w:val="none"/>
          <w:lang w:eastAsia="zh-CN"/>
        </w:rPr>
        <w:t>（姓名）为我方代理人，参加</w:t>
      </w:r>
      <w:r>
        <w:rPr>
          <w:rFonts w:hint="eastAsia" w:ascii="宋体" w:eastAsia="宋体" w:cs="宋体"/>
          <w:color w:val="auto"/>
          <w:sz w:val="24"/>
          <w:szCs w:val="24"/>
          <w:highlight w:val="none"/>
          <w:u w:val="single"/>
          <w:lang w:eastAsia="zh-CN"/>
        </w:rPr>
        <w:t xml:space="preserve">            </w:t>
      </w:r>
      <w:r>
        <w:rPr>
          <w:rFonts w:hint="eastAsia" w:ascii="宋体" w:eastAsia="宋体" w:cs="宋体"/>
          <w:color w:val="auto"/>
          <w:sz w:val="24"/>
          <w:szCs w:val="24"/>
          <w:highlight w:val="none"/>
          <w:lang w:eastAsia="zh-CN"/>
        </w:rPr>
        <w:t>（项目名称）的采购，项目编号：</w:t>
      </w:r>
      <w:r>
        <w:rPr>
          <w:rFonts w:hint="eastAsia" w:ascii="宋体" w:eastAsia="宋体" w:cs="宋体"/>
          <w:color w:val="auto"/>
          <w:sz w:val="24"/>
          <w:szCs w:val="24"/>
          <w:highlight w:val="none"/>
          <w:u w:val="single"/>
          <w:lang w:eastAsia="zh-CN"/>
        </w:rPr>
        <w:t xml:space="preserve">                </w:t>
      </w:r>
      <w:r>
        <w:rPr>
          <w:rFonts w:hint="eastAsia" w:ascii="宋体" w:eastAsia="宋体" w:cs="宋体"/>
          <w:color w:val="auto"/>
          <w:sz w:val="24"/>
          <w:szCs w:val="24"/>
          <w:highlight w:val="none"/>
          <w:lang w:eastAsia="zh-CN"/>
        </w:rPr>
        <w:t>。代理人根据授权，以我方名义签署、澄清确认、递交、撤回、修改磋商项目响应文件、签订合同和处理有关事宜，其法律后果由我方承担。委托期限：</w:t>
      </w:r>
      <w:r>
        <w:rPr>
          <w:rFonts w:hint="eastAsia" w:ascii="宋体" w:eastAsia="宋体" w:cs="宋体"/>
          <w:color w:val="auto"/>
          <w:sz w:val="24"/>
          <w:szCs w:val="24"/>
          <w:highlight w:val="none"/>
          <w:u w:val="single"/>
          <w:lang w:eastAsia="zh-CN"/>
        </w:rPr>
        <w:t xml:space="preserve">                 </w:t>
      </w:r>
      <w:r>
        <w:rPr>
          <w:rFonts w:hint="eastAsia" w:ascii="宋体" w:eastAsia="宋体" w:cs="宋体"/>
          <w:color w:val="auto"/>
          <w:sz w:val="24"/>
          <w:szCs w:val="24"/>
          <w:highlight w:val="none"/>
          <w:lang w:eastAsia="zh-CN"/>
        </w:rPr>
        <w:t>。</w:t>
      </w:r>
    </w:p>
    <w:p w14:paraId="253F4725">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代理人无转委托权。</w:t>
      </w:r>
    </w:p>
    <w:p w14:paraId="1896CBE9">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供  应  商（盖章）：</w:t>
      </w:r>
      <w:r>
        <w:rPr>
          <w:rFonts w:hint="eastAsia" w:ascii="宋体" w:eastAsia="宋体" w:cs="宋体"/>
          <w:color w:val="auto"/>
          <w:sz w:val="24"/>
          <w:szCs w:val="24"/>
          <w:highlight w:val="none"/>
          <w:u w:val="single"/>
          <w:lang w:eastAsia="zh-CN"/>
        </w:rPr>
        <w:t xml:space="preserve">          </w:t>
      </w:r>
      <w:r>
        <w:rPr>
          <w:rFonts w:hint="eastAsia" w:ascii="宋体" w:eastAsia="宋体" w:cs="宋体"/>
          <w:color w:val="auto"/>
          <w:sz w:val="24"/>
          <w:szCs w:val="24"/>
          <w:highlight w:val="none"/>
          <w:u w:val="single"/>
          <w:lang w:val="en-US" w:eastAsia="zh-CN"/>
        </w:rPr>
        <w:t xml:space="preserve">     </w:t>
      </w:r>
      <w:r>
        <w:rPr>
          <w:rFonts w:hint="eastAsia" w:ascii="宋体" w:eastAsia="宋体" w:cs="宋体"/>
          <w:color w:val="auto"/>
          <w:sz w:val="24"/>
          <w:szCs w:val="24"/>
          <w:highlight w:val="none"/>
          <w:u w:val="single"/>
          <w:lang w:eastAsia="zh-CN"/>
        </w:rPr>
        <w:t xml:space="preserve">               </w:t>
      </w:r>
    </w:p>
    <w:p w14:paraId="31D3CAF4">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/盖章</w:t>
      </w:r>
      <w:r>
        <w:rPr>
          <w:rFonts w:hint="eastAsia" w:ascii="宋体" w:eastAsia="宋体" w:cs="宋体"/>
          <w:color w:val="auto"/>
          <w:sz w:val="24"/>
          <w:szCs w:val="24"/>
          <w:highlight w:val="none"/>
          <w:lang w:eastAsia="zh-CN"/>
        </w:rPr>
        <w:t>）：</w:t>
      </w:r>
      <w:r>
        <w:rPr>
          <w:rFonts w:hint="eastAsia" w:ascii="宋体" w:eastAsia="宋体" w:cs="宋体"/>
          <w:color w:val="auto"/>
          <w:sz w:val="24"/>
          <w:szCs w:val="24"/>
          <w:highlight w:val="none"/>
          <w:u w:val="single"/>
          <w:lang w:eastAsia="zh-CN"/>
        </w:rPr>
        <w:t xml:space="preserve">                         </w:t>
      </w:r>
    </w:p>
    <w:p w14:paraId="0D7D7A8C">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授权委托人（</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/盖章</w:t>
      </w:r>
      <w:r>
        <w:rPr>
          <w:rFonts w:hint="eastAsia" w:ascii="宋体" w:eastAsia="宋体" w:cs="宋体"/>
          <w:color w:val="auto"/>
          <w:sz w:val="24"/>
          <w:szCs w:val="24"/>
          <w:highlight w:val="none"/>
          <w:lang w:eastAsia="zh-CN"/>
        </w:rPr>
        <w:t>）：</w:t>
      </w:r>
      <w:r>
        <w:rPr>
          <w:rFonts w:hint="eastAsia" w:ascii="宋体" w:eastAsia="宋体" w:cs="宋体"/>
          <w:color w:val="auto"/>
          <w:sz w:val="24"/>
          <w:szCs w:val="24"/>
          <w:highlight w:val="none"/>
          <w:u w:val="single"/>
          <w:lang w:eastAsia="zh-CN"/>
        </w:rPr>
        <w:t xml:space="preserve">                         </w:t>
      </w:r>
    </w:p>
    <w:p w14:paraId="3222CE49">
      <w:pPr>
        <w:kinsoku/>
        <w:spacing w:line="360" w:lineRule="auto"/>
        <w:ind w:firstLine="480" w:firstLineChars="200"/>
        <w:rPr>
          <w:rFonts w:ascii="宋体" w:eastAsia="宋体" w:cs="宋体"/>
          <w:color w:val="auto"/>
          <w:sz w:val="24"/>
          <w:szCs w:val="24"/>
          <w:highlight w:val="none"/>
          <w:lang w:eastAsia="zh-CN"/>
        </w:rPr>
      </w:pPr>
    </w:p>
    <w:tbl>
      <w:tblPr>
        <w:tblStyle w:val="21"/>
        <w:tblW w:w="8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23"/>
        <w:gridCol w:w="4436"/>
      </w:tblGrid>
      <w:tr w14:paraId="49B90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5" w:hRule="atLeast"/>
          <w:jc w:val="center"/>
        </w:trPr>
        <w:tc>
          <w:tcPr>
            <w:tcW w:w="4523" w:type="dxa"/>
            <w:shd w:val="clear" w:color="auto" w:fill="auto"/>
            <w:vAlign w:val="center"/>
          </w:tcPr>
          <w:p w14:paraId="43F72980">
            <w:pPr>
              <w:kinsoku/>
              <w:spacing w:line="360" w:lineRule="auto"/>
              <w:jc w:val="center"/>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法定代表人身份证扫描件正面</w:t>
            </w:r>
          </w:p>
        </w:tc>
        <w:tc>
          <w:tcPr>
            <w:tcW w:w="4436" w:type="dxa"/>
            <w:shd w:val="clear" w:color="auto" w:fill="auto"/>
            <w:vAlign w:val="center"/>
          </w:tcPr>
          <w:p w14:paraId="447B2FE0">
            <w:pPr>
              <w:kinsoku/>
              <w:spacing w:line="360" w:lineRule="auto"/>
              <w:jc w:val="center"/>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法定代表人身份证扫描件反面</w:t>
            </w:r>
          </w:p>
        </w:tc>
      </w:tr>
      <w:tr w14:paraId="19C9F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7" w:hRule="atLeast"/>
          <w:jc w:val="center"/>
        </w:trPr>
        <w:tc>
          <w:tcPr>
            <w:tcW w:w="4523" w:type="dxa"/>
            <w:shd w:val="clear" w:color="auto" w:fill="auto"/>
            <w:vAlign w:val="center"/>
          </w:tcPr>
          <w:p w14:paraId="5CA18A72">
            <w:pPr>
              <w:kinsoku/>
              <w:spacing w:line="360" w:lineRule="auto"/>
              <w:jc w:val="center"/>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授权委托人身份证扫描件正面</w:t>
            </w:r>
          </w:p>
        </w:tc>
        <w:tc>
          <w:tcPr>
            <w:tcW w:w="4436" w:type="dxa"/>
            <w:shd w:val="clear" w:color="auto" w:fill="auto"/>
            <w:vAlign w:val="center"/>
          </w:tcPr>
          <w:p w14:paraId="73F6C018">
            <w:pPr>
              <w:kinsoku/>
              <w:spacing w:line="360" w:lineRule="auto"/>
              <w:jc w:val="center"/>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授权委托人身份证扫描件反面</w:t>
            </w:r>
          </w:p>
        </w:tc>
      </w:tr>
    </w:tbl>
    <w:p w14:paraId="31EE42FE">
      <w:pPr>
        <w:kinsoku/>
        <w:spacing w:line="360" w:lineRule="auto"/>
        <w:ind w:firstLine="480" w:firstLineChars="200"/>
        <w:rPr>
          <w:rFonts w:ascii="宋体" w:eastAsia="宋体" w:cs="宋体"/>
          <w:color w:val="auto"/>
          <w:sz w:val="24"/>
          <w:szCs w:val="24"/>
          <w:highlight w:val="none"/>
          <w:lang w:eastAsia="zh-CN"/>
        </w:rPr>
      </w:pPr>
    </w:p>
    <w:p w14:paraId="60064E97">
      <w:pPr>
        <w:kinsoku/>
        <w:spacing w:line="360" w:lineRule="auto"/>
        <w:ind w:firstLine="480" w:firstLineChars="200"/>
        <w:rPr>
          <w:rFonts w:ascii="宋体" w:eastAsia="宋体" w:cs="宋体"/>
          <w:color w:val="auto"/>
          <w:sz w:val="24"/>
          <w:szCs w:val="24"/>
          <w:highlight w:val="none"/>
          <w:lang w:eastAsia="zh-CN"/>
        </w:rPr>
      </w:pPr>
    </w:p>
    <w:p w14:paraId="3F3EE44B">
      <w:pPr>
        <w:kinsoku/>
        <w:spacing w:line="360" w:lineRule="auto"/>
        <w:ind w:firstLine="480" w:firstLineChars="200"/>
        <w:jc w:val="right"/>
        <w:rPr>
          <w:rFonts w:ascii="宋体" w:eastAsia="宋体" w:cs="宋体"/>
          <w:color w:val="auto"/>
          <w:sz w:val="24"/>
          <w:szCs w:val="24"/>
          <w:highlight w:val="none"/>
          <w:lang w:eastAsia="zh-CN"/>
        </w:rPr>
      </w:pPr>
      <w:r>
        <w:rPr>
          <w:rFonts w:hint="eastAsia" w:ascii="宋体" w:eastAsia="宋体" w:cs="宋体"/>
          <w:color w:val="auto"/>
          <w:sz w:val="24"/>
          <w:szCs w:val="24"/>
          <w:highlight w:val="none"/>
          <w:u w:val="single"/>
          <w:lang w:eastAsia="zh-CN"/>
        </w:rPr>
        <w:t xml:space="preserve">     </w:t>
      </w:r>
      <w:r>
        <w:rPr>
          <w:rFonts w:hint="eastAsia" w:ascii="宋体" w:eastAsia="宋体" w:cs="宋体"/>
          <w:color w:val="auto"/>
          <w:sz w:val="24"/>
          <w:szCs w:val="24"/>
          <w:highlight w:val="none"/>
          <w:lang w:eastAsia="zh-CN"/>
        </w:rPr>
        <w:t>年</w:t>
      </w:r>
      <w:r>
        <w:rPr>
          <w:rFonts w:hint="eastAsia" w:ascii="宋体" w:eastAsia="宋体" w:cs="宋体"/>
          <w:color w:val="auto"/>
          <w:sz w:val="24"/>
          <w:szCs w:val="24"/>
          <w:highlight w:val="none"/>
          <w:u w:val="single"/>
          <w:lang w:eastAsia="zh-CN"/>
        </w:rPr>
        <w:t xml:space="preserve">     </w:t>
      </w:r>
      <w:r>
        <w:rPr>
          <w:rFonts w:hint="eastAsia" w:ascii="宋体" w:eastAsia="宋体" w:cs="宋体"/>
          <w:color w:val="auto"/>
          <w:sz w:val="24"/>
          <w:szCs w:val="24"/>
          <w:highlight w:val="none"/>
          <w:lang w:eastAsia="zh-CN"/>
        </w:rPr>
        <w:t>月</w:t>
      </w:r>
      <w:r>
        <w:rPr>
          <w:rFonts w:hint="eastAsia" w:ascii="宋体" w:eastAsia="宋体" w:cs="宋体"/>
          <w:color w:val="auto"/>
          <w:sz w:val="24"/>
          <w:szCs w:val="24"/>
          <w:highlight w:val="none"/>
          <w:u w:val="single"/>
          <w:lang w:eastAsia="zh-CN"/>
        </w:rPr>
        <w:t xml:space="preserve">     </w:t>
      </w:r>
      <w:r>
        <w:rPr>
          <w:rFonts w:hint="eastAsia" w:ascii="宋体" w:eastAsia="宋体" w:cs="宋体"/>
          <w:color w:val="auto"/>
          <w:sz w:val="24"/>
          <w:szCs w:val="24"/>
          <w:highlight w:val="none"/>
          <w:lang w:eastAsia="zh-CN"/>
        </w:rPr>
        <w:t>日</w:t>
      </w:r>
    </w:p>
    <w:p w14:paraId="09E3B27F">
      <w:pPr>
        <w:kinsoku/>
        <w:spacing w:line="360" w:lineRule="auto"/>
        <w:ind w:firstLine="480" w:firstLineChars="200"/>
        <w:rPr>
          <w:rFonts w:ascii="宋体" w:eastAsia="宋体" w:cs="宋体"/>
          <w:color w:val="auto"/>
          <w:sz w:val="24"/>
          <w:szCs w:val="24"/>
          <w:highlight w:val="none"/>
          <w:lang w:eastAsia="zh-CN"/>
        </w:rPr>
        <w:sectPr>
          <w:footerReference r:id="rId15" w:type="default"/>
          <w:pgSz w:w="11906" w:h="16838"/>
          <w:pgMar w:top="1440" w:right="1080" w:bottom="1440" w:left="1080" w:header="0" w:footer="850" w:gutter="0"/>
          <w:pgNumType w:fmt="decimal"/>
          <w:cols w:space="0" w:num="1"/>
          <w:rtlGutter w:val="0"/>
          <w:docGrid w:linePitch="312" w:charSpace="0"/>
        </w:sectPr>
      </w:pPr>
    </w:p>
    <w:p w14:paraId="020B2D43">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（以下格式文件由供应商根据需要选用）</w:t>
      </w:r>
    </w:p>
    <w:p w14:paraId="67B76C97">
      <w:pPr>
        <w:kinsoku/>
        <w:spacing w:line="360" w:lineRule="auto"/>
        <w:ind w:left="0" w:leftChars="0" w:right="0" w:rightChars="0" w:firstLine="0" w:firstLineChars="0"/>
        <w:jc w:val="center"/>
        <w:outlineLvl w:val="1"/>
        <w:rPr>
          <w:rFonts w:ascii="宋体" w:eastAsia="宋体" w:cs="宋体"/>
          <w:color w:val="auto"/>
          <w:sz w:val="24"/>
          <w:szCs w:val="24"/>
          <w:highlight w:val="none"/>
          <w:lang w:eastAsia="zh-CN"/>
        </w:rPr>
      </w:pPr>
      <w:bookmarkStart w:id="48" w:name="_Toc16005"/>
      <w:r>
        <w:rPr>
          <w:rFonts w:hint="eastAsia" w:ascii="宋体" w:eastAsia="宋体" w:cs="宋体"/>
          <w:b/>
          <w:bCs/>
          <w:color w:val="auto"/>
          <w:sz w:val="28"/>
          <w:szCs w:val="28"/>
          <w:highlight w:val="none"/>
          <w:lang w:eastAsia="zh-CN"/>
        </w:rPr>
        <w:t>五、缴纳磋商保证金证明材料</w:t>
      </w:r>
      <w:bookmarkEnd w:id="48"/>
    </w:p>
    <w:p w14:paraId="03690C0E">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供应商应提供缴纳磋商保证金的证明材料原件扫描件。</w:t>
      </w:r>
    </w:p>
    <w:p w14:paraId="15F80495">
      <w:pPr>
        <w:kinsoku/>
        <w:spacing w:line="360" w:lineRule="auto"/>
        <w:ind w:firstLine="480" w:firstLineChars="200"/>
        <w:rPr>
          <w:rFonts w:ascii="宋体" w:eastAsia="宋体" w:cs="宋体"/>
          <w:color w:val="auto"/>
          <w:sz w:val="24"/>
          <w:szCs w:val="24"/>
          <w:highlight w:val="none"/>
          <w:lang w:eastAsia="zh-CN"/>
        </w:rPr>
        <w:sectPr>
          <w:footerReference r:id="rId16" w:type="default"/>
          <w:pgSz w:w="11906" w:h="16838"/>
          <w:pgMar w:top="1440" w:right="1080" w:bottom="1440" w:left="1080" w:header="0" w:footer="850" w:gutter="0"/>
          <w:pgNumType w:fmt="decimal"/>
          <w:cols w:space="0" w:num="1"/>
          <w:rtlGutter w:val="0"/>
          <w:docGrid w:linePitch="312" w:charSpace="0"/>
        </w:sectPr>
      </w:pPr>
    </w:p>
    <w:p w14:paraId="424AF8AE">
      <w:pPr>
        <w:kinsoku/>
        <w:spacing w:line="360" w:lineRule="auto"/>
        <w:ind w:left="0" w:leftChars="0" w:right="0" w:rightChars="0" w:firstLine="0" w:firstLineChars="0"/>
        <w:jc w:val="center"/>
        <w:outlineLvl w:val="1"/>
        <w:rPr>
          <w:rFonts w:ascii="宋体" w:eastAsia="宋体" w:cs="宋体"/>
          <w:color w:val="auto"/>
          <w:sz w:val="24"/>
          <w:szCs w:val="24"/>
          <w:highlight w:val="none"/>
        </w:rPr>
      </w:pPr>
      <w:bookmarkStart w:id="49" w:name="_Toc1435"/>
      <w:r>
        <w:rPr>
          <w:rFonts w:hint="eastAsia" w:ascii="宋体" w:eastAsia="宋体" w:cs="宋体"/>
          <w:b/>
          <w:bCs/>
          <w:color w:val="auto"/>
          <w:sz w:val="28"/>
          <w:szCs w:val="28"/>
          <w:highlight w:val="none"/>
        </w:rPr>
        <w:t>六、供应商基本情况表</w:t>
      </w:r>
      <w:bookmarkEnd w:id="49"/>
    </w:p>
    <w:tbl>
      <w:tblPr>
        <w:tblStyle w:val="21"/>
        <w:tblW w:w="87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96"/>
        <w:gridCol w:w="2192"/>
        <w:gridCol w:w="2192"/>
        <w:gridCol w:w="2198"/>
      </w:tblGrid>
      <w:tr w14:paraId="75A04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jc w:val="center"/>
        </w:trPr>
        <w:tc>
          <w:tcPr>
            <w:tcW w:w="2196" w:type="dxa"/>
            <w:vAlign w:val="center"/>
          </w:tcPr>
          <w:p w14:paraId="2DEB3319">
            <w:pPr>
              <w:jc w:val="center"/>
              <w:rPr>
                <w:rFonts w:ascii="宋体" w:eastAsia="宋体" w:cs="宋体"/>
                <w:color w:val="auto"/>
                <w:sz w:val="24"/>
                <w:szCs w:val="24"/>
                <w:highlight w:val="none"/>
              </w:rPr>
            </w:pPr>
            <w:r>
              <w:rPr>
                <w:rFonts w:hint="eastAsia" w:ascii="宋体" w:eastAsia="宋体" w:cs="宋体"/>
                <w:color w:val="auto"/>
                <w:sz w:val="24"/>
                <w:szCs w:val="24"/>
                <w:highlight w:val="none"/>
              </w:rPr>
              <w:t>供应商名称</w:t>
            </w:r>
          </w:p>
        </w:tc>
        <w:tc>
          <w:tcPr>
            <w:tcW w:w="2192" w:type="dxa"/>
            <w:vAlign w:val="center"/>
          </w:tcPr>
          <w:p w14:paraId="5EB2DB2C">
            <w:pPr>
              <w:jc w:val="center"/>
              <w:rPr>
                <w:rFonts w:ascii="宋体" w:eastAsia="宋体" w:cs="宋体"/>
                <w:color w:val="auto"/>
                <w:sz w:val="24"/>
                <w:szCs w:val="24"/>
                <w:highlight w:val="none"/>
              </w:rPr>
            </w:pPr>
          </w:p>
        </w:tc>
        <w:tc>
          <w:tcPr>
            <w:tcW w:w="2192" w:type="dxa"/>
            <w:vAlign w:val="center"/>
          </w:tcPr>
          <w:p w14:paraId="1F5965F6">
            <w:pPr>
              <w:jc w:val="center"/>
              <w:rPr>
                <w:rFonts w:ascii="宋体" w:eastAsia="宋体" w:cs="宋体"/>
                <w:color w:val="auto"/>
                <w:sz w:val="24"/>
                <w:szCs w:val="24"/>
                <w:highlight w:val="none"/>
              </w:rPr>
            </w:pPr>
            <w:r>
              <w:rPr>
                <w:rFonts w:hint="eastAsia" w:ascii="宋体" w:eastAsia="宋体" w:cs="宋体"/>
                <w:color w:val="auto"/>
                <w:sz w:val="24"/>
                <w:szCs w:val="24"/>
                <w:highlight w:val="none"/>
              </w:rPr>
              <w:t>注册资金</w:t>
            </w:r>
          </w:p>
        </w:tc>
        <w:tc>
          <w:tcPr>
            <w:tcW w:w="2198" w:type="dxa"/>
            <w:vAlign w:val="center"/>
          </w:tcPr>
          <w:p w14:paraId="676F8E87">
            <w:pPr>
              <w:jc w:val="center"/>
              <w:rPr>
                <w:rFonts w:ascii="宋体" w:eastAsia="宋体" w:cs="宋体"/>
                <w:color w:val="auto"/>
                <w:sz w:val="24"/>
                <w:szCs w:val="24"/>
                <w:highlight w:val="none"/>
              </w:rPr>
            </w:pPr>
          </w:p>
        </w:tc>
      </w:tr>
      <w:tr w14:paraId="49D56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2196" w:type="dxa"/>
            <w:vAlign w:val="center"/>
          </w:tcPr>
          <w:p w14:paraId="6837B517">
            <w:pPr>
              <w:jc w:val="center"/>
              <w:rPr>
                <w:rFonts w:ascii="宋体" w:eastAsia="宋体" w:cs="宋体"/>
                <w:color w:val="auto"/>
                <w:sz w:val="24"/>
                <w:szCs w:val="24"/>
                <w:highlight w:val="none"/>
              </w:rPr>
            </w:pPr>
            <w:r>
              <w:rPr>
                <w:rFonts w:hint="eastAsia" w:ascii="宋体" w:eastAsia="宋体" w:cs="宋体"/>
                <w:color w:val="auto"/>
                <w:sz w:val="24"/>
                <w:szCs w:val="24"/>
                <w:highlight w:val="none"/>
              </w:rPr>
              <w:t>注册地</w:t>
            </w:r>
          </w:p>
        </w:tc>
        <w:tc>
          <w:tcPr>
            <w:tcW w:w="2192" w:type="dxa"/>
            <w:vAlign w:val="center"/>
          </w:tcPr>
          <w:p w14:paraId="7DCC4C23">
            <w:pPr>
              <w:jc w:val="center"/>
              <w:rPr>
                <w:rFonts w:ascii="宋体" w:eastAsia="宋体" w:cs="宋体"/>
                <w:color w:val="auto"/>
                <w:sz w:val="24"/>
                <w:szCs w:val="24"/>
                <w:highlight w:val="none"/>
              </w:rPr>
            </w:pPr>
          </w:p>
        </w:tc>
        <w:tc>
          <w:tcPr>
            <w:tcW w:w="2192" w:type="dxa"/>
            <w:vAlign w:val="center"/>
          </w:tcPr>
          <w:p w14:paraId="6251CE52">
            <w:pPr>
              <w:jc w:val="center"/>
              <w:rPr>
                <w:rFonts w:ascii="宋体" w:eastAsia="宋体" w:cs="宋体"/>
                <w:color w:val="auto"/>
                <w:sz w:val="24"/>
                <w:szCs w:val="24"/>
                <w:highlight w:val="none"/>
              </w:rPr>
            </w:pPr>
            <w:r>
              <w:rPr>
                <w:rFonts w:hint="eastAsia" w:ascii="宋体" w:eastAsia="宋体" w:cs="宋体"/>
                <w:color w:val="auto"/>
                <w:sz w:val="24"/>
                <w:szCs w:val="24"/>
                <w:highlight w:val="none"/>
              </w:rPr>
              <w:t>注册时间</w:t>
            </w:r>
          </w:p>
        </w:tc>
        <w:tc>
          <w:tcPr>
            <w:tcW w:w="2198" w:type="dxa"/>
            <w:vAlign w:val="center"/>
          </w:tcPr>
          <w:p w14:paraId="698EF79D">
            <w:pPr>
              <w:jc w:val="center"/>
              <w:rPr>
                <w:rFonts w:ascii="宋体" w:eastAsia="宋体" w:cs="宋体"/>
                <w:color w:val="auto"/>
                <w:sz w:val="24"/>
                <w:szCs w:val="24"/>
                <w:highlight w:val="none"/>
              </w:rPr>
            </w:pPr>
          </w:p>
        </w:tc>
      </w:tr>
      <w:tr w14:paraId="1A746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2196" w:type="dxa"/>
            <w:vAlign w:val="center"/>
          </w:tcPr>
          <w:p w14:paraId="7EC96B37">
            <w:pPr>
              <w:jc w:val="center"/>
              <w:rPr>
                <w:rFonts w:ascii="宋体" w:eastAsia="宋体" w:cs="宋体"/>
                <w:color w:val="auto"/>
                <w:sz w:val="24"/>
                <w:szCs w:val="24"/>
                <w:highlight w:val="none"/>
              </w:rPr>
            </w:pPr>
            <w:r>
              <w:rPr>
                <w:rFonts w:hint="eastAsia" w:ascii="宋体" w:eastAsia="宋体" w:cs="宋体"/>
                <w:color w:val="auto"/>
                <w:sz w:val="24"/>
                <w:szCs w:val="24"/>
                <w:highlight w:val="none"/>
              </w:rPr>
              <w:t>法定代表人</w:t>
            </w:r>
          </w:p>
        </w:tc>
        <w:tc>
          <w:tcPr>
            <w:tcW w:w="2192" w:type="dxa"/>
            <w:vAlign w:val="center"/>
          </w:tcPr>
          <w:p w14:paraId="263CBFC3">
            <w:pPr>
              <w:jc w:val="center"/>
              <w:rPr>
                <w:rFonts w:ascii="宋体" w:eastAsia="宋体" w:cs="宋体"/>
                <w:color w:val="auto"/>
                <w:sz w:val="24"/>
                <w:szCs w:val="24"/>
                <w:highlight w:val="none"/>
              </w:rPr>
            </w:pPr>
          </w:p>
        </w:tc>
        <w:tc>
          <w:tcPr>
            <w:tcW w:w="2192" w:type="dxa"/>
            <w:vAlign w:val="center"/>
          </w:tcPr>
          <w:p w14:paraId="338E4F4B">
            <w:pPr>
              <w:jc w:val="center"/>
              <w:rPr>
                <w:rFonts w:ascii="宋体" w:eastAsia="宋体" w:cs="宋体"/>
                <w:color w:val="auto"/>
                <w:sz w:val="24"/>
                <w:szCs w:val="24"/>
                <w:highlight w:val="none"/>
              </w:rPr>
            </w:pPr>
            <w:r>
              <w:rPr>
                <w:rFonts w:hint="eastAsia" w:ascii="宋体" w:eastAsia="宋体" w:cs="宋体"/>
                <w:color w:val="auto"/>
                <w:sz w:val="24"/>
                <w:szCs w:val="24"/>
                <w:highlight w:val="none"/>
              </w:rPr>
              <w:t>联系电话</w:t>
            </w:r>
          </w:p>
        </w:tc>
        <w:tc>
          <w:tcPr>
            <w:tcW w:w="2198" w:type="dxa"/>
            <w:vAlign w:val="center"/>
          </w:tcPr>
          <w:p w14:paraId="53D3A9E2">
            <w:pPr>
              <w:jc w:val="center"/>
              <w:rPr>
                <w:rFonts w:ascii="宋体" w:eastAsia="宋体" w:cs="宋体"/>
                <w:color w:val="auto"/>
                <w:sz w:val="24"/>
                <w:szCs w:val="24"/>
                <w:highlight w:val="none"/>
              </w:rPr>
            </w:pPr>
          </w:p>
        </w:tc>
      </w:tr>
      <w:tr w14:paraId="21527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jc w:val="center"/>
        </w:trPr>
        <w:tc>
          <w:tcPr>
            <w:tcW w:w="2196" w:type="dxa"/>
            <w:vAlign w:val="center"/>
          </w:tcPr>
          <w:p w14:paraId="39FE0109">
            <w:pPr>
              <w:jc w:val="center"/>
              <w:rPr>
                <w:rFonts w:ascii="宋体" w:eastAsia="宋体" w:cs="宋体"/>
                <w:color w:val="auto"/>
                <w:sz w:val="24"/>
                <w:szCs w:val="24"/>
                <w:highlight w:val="none"/>
              </w:rPr>
            </w:pPr>
            <w:r>
              <w:rPr>
                <w:rFonts w:hint="eastAsia" w:ascii="宋体" w:eastAsia="宋体" w:cs="宋体"/>
                <w:color w:val="auto"/>
                <w:sz w:val="24"/>
                <w:szCs w:val="24"/>
                <w:highlight w:val="none"/>
              </w:rPr>
              <w:t>技术负责人</w:t>
            </w:r>
          </w:p>
        </w:tc>
        <w:tc>
          <w:tcPr>
            <w:tcW w:w="2192" w:type="dxa"/>
            <w:vAlign w:val="center"/>
          </w:tcPr>
          <w:p w14:paraId="00B94EAF">
            <w:pPr>
              <w:jc w:val="center"/>
              <w:rPr>
                <w:rFonts w:ascii="宋体" w:eastAsia="宋体" w:cs="宋体"/>
                <w:color w:val="auto"/>
                <w:sz w:val="24"/>
                <w:szCs w:val="24"/>
                <w:highlight w:val="none"/>
              </w:rPr>
            </w:pPr>
          </w:p>
        </w:tc>
        <w:tc>
          <w:tcPr>
            <w:tcW w:w="2192" w:type="dxa"/>
            <w:vAlign w:val="center"/>
          </w:tcPr>
          <w:p w14:paraId="39227926">
            <w:pPr>
              <w:jc w:val="center"/>
              <w:rPr>
                <w:rFonts w:ascii="宋体" w:eastAsia="宋体" w:cs="宋体"/>
                <w:color w:val="auto"/>
                <w:sz w:val="24"/>
                <w:szCs w:val="24"/>
                <w:highlight w:val="none"/>
              </w:rPr>
            </w:pPr>
            <w:r>
              <w:rPr>
                <w:rFonts w:hint="eastAsia" w:ascii="宋体" w:eastAsia="宋体" w:cs="宋体"/>
                <w:color w:val="auto"/>
                <w:sz w:val="24"/>
                <w:szCs w:val="24"/>
                <w:highlight w:val="none"/>
              </w:rPr>
              <w:t>联系电话</w:t>
            </w:r>
          </w:p>
        </w:tc>
        <w:tc>
          <w:tcPr>
            <w:tcW w:w="2198" w:type="dxa"/>
            <w:vAlign w:val="center"/>
          </w:tcPr>
          <w:p w14:paraId="1FBAFCF4">
            <w:pPr>
              <w:jc w:val="center"/>
              <w:rPr>
                <w:rFonts w:ascii="宋体" w:eastAsia="宋体" w:cs="宋体"/>
                <w:color w:val="auto"/>
                <w:sz w:val="24"/>
                <w:szCs w:val="24"/>
                <w:highlight w:val="none"/>
              </w:rPr>
            </w:pPr>
          </w:p>
        </w:tc>
      </w:tr>
      <w:tr w14:paraId="02CAC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2196" w:type="dxa"/>
            <w:vAlign w:val="center"/>
          </w:tcPr>
          <w:p w14:paraId="3F887438">
            <w:pPr>
              <w:jc w:val="center"/>
              <w:rPr>
                <w:rFonts w:ascii="宋体" w:eastAsia="宋体" w:cs="宋体"/>
                <w:color w:val="auto"/>
                <w:sz w:val="24"/>
                <w:szCs w:val="24"/>
                <w:highlight w:val="none"/>
              </w:rPr>
            </w:pPr>
            <w:r>
              <w:rPr>
                <w:rFonts w:hint="eastAsia" w:ascii="宋体" w:eastAsia="宋体" w:cs="宋体"/>
                <w:color w:val="auto"/>
                <w:sz w:val="24"/>
                <w:szCs w:val="24"/>
                <w:highlight w:val="none"/>
              </w:rPr>
              <w:t>开户银行</w:t>
            </w:r>
          </w:p>
        </w:tc>
        <w:tc>
          <w:tcPr>
            <w:tcW w:w="6582" w:type="dxa"/>
            <w:gridSpan w:val="3"/>
            <w:vAlign w:val="center"/>
          </w:tcPr>
          <w:p w14:paraId="56DB4F00">
            <w:pPr>
              <w:jc w:val="center"/>
              <w:rPr>
                <w:rFonts w:ascii="宋体" w:eastAsia="宋体" w:cs="宋体"/>
                <w:color w:val="auto"/>
                <w:sz w:val="24"/>
                <w:szCs w:val="24"/>
                <w:highlight w:val="none"/>
              </w:rPr>
            </w:pPr>
          </w:p>
        </w:tc>
      </w:tr>
      <w:tr w14:paraId="08B47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2196" w:type="dxa"/>
            <w:vAlign w:val="center"/>
          </w:tcPr>
          <w:p w14:paraId="47AC2619">
            <w:pPr>
              <w:jc w:val="center"/>
              <w:rPr>
                <w:rFonts w:ascii="宋体" w:eastAsia="宋体" w:cs="宋体"/>
                <w:color w:val="auto"/>
                <w:sz w:val="24"/>
                <w:szCs w:val="24"/>
                <w:highlight w:val="none"/>
              </w:rPr>
            </w:pPr>
            <w:r>
              <w:rPr>
                <w:rFonts w:hint="eastAsia" w:ascii="宋体" w:eastAsia="宋体" w:cs="宋体"/>
                <w:color w:val="auto"/>
                <w:sz w:val="24"/>
                <w:szCs w:val="24"/>
                <w:highlight w:val="none"/>
              </w:rPr>
              <w:t>开户银行账号</w:t>
            </w:r>
          </w:p>
        </w:tc>
        <w:tc>
          <w:tcPr>
            <w:tcW w:w="6582" w:type="dxa"/>
            <w:gridSpan w:val="3"/>
            <w:vAlign w:val="center"/>
          </w:tcPr>
          <w:p w14:paraId="3FA5A2A0">
            <w:pPr>
              <w:jc w:val="center"/>
              <w:rPr>
                <w:rFonts w:ascii="宋体" w:eastAsia="宋体" w:cs="宋体"/>
                <w:color w:val="auto"/>
                <w:sz w:val="24"/>
                <w:szCs w:val="24"/>
                <w:highlight w:val="none"/>
              </w:rPr>
            </w:pPr>
          </w:p>
        </w:tc>
      </w:tr>
      <w:tr w14:paraId="2FF49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jc w:val="center"/>
        </w:trPr>
        <w:tc>
          <w:tcPr>
            <w:tcW w:w="8778" w:type="dxa"/>
            <w:gridSpan w:val="4"/>
            <w:vAlign w:val="center"/>
          </w:tcPr>
          <w:p w14:paraId="7738F6F8">
            <w:pPr>
              <w:jc w:val="both"/>
              <w:rPr>
                <w:rFonts w:ascii="宋体" w:eastAsia="宋体" w:cs="宋体"/>
                <w:color w:val="auto"/>
                <w:sz w:val="24"/>
                <w:szCs w:val="24"/>
                <w:highlight w:val="none"/>
              </w:rPr>
            </w:pPr>
            <w:r>
              <w:rPr>
                <w:rFonts w:hint="eastAsia" w:ascii="宋体" w:eastAsia="宋体" w:cs="宋体"/>
                <w:color w:val="auto"/>
                <w:sz w:val="24"/>
                <w:szCs w:val="24"/>
                <w:highlight w:val="none"/>
              </w:rPr>
              <w:t>主营范围：</w:t>
            </w:r>
          </w:p>
        </w:tc>
      </w:tr>
      <w:tr w14:paraId="47DF1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8778" w:type="dxa"/>
            <w:gridSpan w:val="4"/>
            <w:vAlign w:val="center"/>
          </w:tcPr>
          <w:p w14:paraId="69F96CEA">
            <w:pPr>
              <w:jc w:val="both"/>
              <w:rPr>
                <w:rFonts w:ascii="宋体" w:eastAsia="宋体" w:cs="宋体"/>
                <w:color w:val="auto"/>
                <w:sz w:val="24"/>
                <w:szCs w:val="24"/>
                <w:highlight w:val="none"/>
              </w:rPr>
            </w:pPr>
            <w:r>
              <w:rPr>
                <w:rFonts w:hint="eastAsia" w:ascii="宋体" w:eastAsia="宋体" w:cs="宋体"/>
                <w:color w:val="auto"/>
                <w:sz w:val="24"/>
                <w:szCs w:val="24"/>
                <w:highlight w:val="none"/>
              </w:rPr>
              <w:t>企业资质：</w:t>
            </w:r>
          </w:p>
        </w:tc>
      </w:tr>
    </w:tbl>
    <w:p w14:paraId="46C7846B">
      <w:pPr>
        <w:kinsoku/>
        <w:spacing w:line="360" w:lineRule="auto"/>
        <w:ind w:firstLine="480" w:firstLineChars="200"/>
        <w:rPr>
          <w:rFonts w:ascii="宋体" w:eastAsia="宋体" w:cs="宋体"/>
          <w:color w:val="auto"/>
          <w:sz w:val="24"/>
          <w:szCs w:val="24"/>
          <w:highlight w:val="none"/>
        </w:rPr>
      </w:pPr>
    </w:p>
    <w:p w14:paraId="5929AF58">
      <w:pPr>
        <w:kinsoku/>
        <w:spacing w:line="360" w:lineRule="auto"/>
        <w:ind w:firstLine="480" w:firstLineChars="200"/>
        <w:rPr>
          <w:rFonts w:ascii="宋体" w:eastAsia="宋体" w:cs="宋体"/>
          <w:color w:val="auto"/>
          <w:sz w:val="24"/>
          <w:szCs w:val="24"/>
          <w:highlight w:val="none"/>
        </w:rPr>
        <w:sectPr>
          <w:footerReference r:id="rId17" w:type="default"/>
          <w:pgSz w:w="11906" w:h="16838"/>
          <w:pgMar w:top="1440" w:right="1080" w:bottom="1440" w:left="1080" w:header="0" w:footer="850" w:gutter="0"/>
          <w:pgNumType w:fmt="decimal"/>
          <w:cols w:space="0" w:num="1"/>
          <w:rtlGutter w:val="0"/>
          <w:docGrid w:linePitch="312" w:charSpace="0"/>
        </w:sectPr>
      </w:pPr>
    </w:p>
    <w:p w14:paraId="5000F34C">
      <w:pPr>
        <w:kinsoku/>
        <w:spacing w:line="360" w:lineRule="auto"/>
        <w:ind w:left="0" w:leftChars="0" w:right="0" w:rightChars="0" w:firstLine="0" w:firstLineChars="0"/>
        <w:jc w:val="center"/>
        <w:outlineLvl w:val="1"/>
        <w:rPr>
          <w:rFonts w:ascii="宋体" w:eastAsia="宋体" w:cs="宋体"/>
          <w:color w:val="auto"/>
          <w:sz w:val="24"/>
          <w:szCs w:val="24"/>
          <w:highlight w:val="none"/>
          <w:lang w:eastAsia="zh-CN"/>
        </w:rPr>
      </w:pPr>
      <w:bookmarkStart w:id="50" w:name="_Toc3218"/>
      <w:r>
        <w:rPr>
          <w:rFonts w:hint="eastAsia" w:ascii="宋体" w:eastAsia="宋体" w:cs="宋体"/>
          <w:b/>
          <w:bCs/>
          <w:color w:val="auto"/>
          <w:sz w:val="28"/>
          <w:szCs w:val="28"/>
          <w:highlight w:val="none"/>
          <w:lang w:eastAsia="zh-CN"/>
        </w:rPr>
        <w:t>七、具有独立承担民事责任的能力的证明材料</w:t>
      </w:r>
      <w:bookmarkEnd w:id="50"/>
    </w:p>
    <w:p w14:paraId="3310552B">
      <w:pPr>
        <w:kinsoku/>
        <w:spacing w:line="360" w:lineRule="auto"/>
        <w:ind w:firstLine="480" w:firstLineChars="200"/>
        <w:rPr>
          <w:rFonts w:ascii="宋体" w:eastAsia="宋体" w:cs="宋体"/>
          <w:color w:val="auto"/>
          <w:sz w:val="24"/>
          <w:szCs w:val="24"/>
          <w:highlight w:val="none"/>
          <w:lang w:eastAsia="zh-CN"/>
        </w:rPr>
      </w:pPr>
    </w:p>
    <w:p w14:paraId="233FAC86">
      <w:pPr>
        <w:kinsoku/>
        <w:spacing w:line="360" w:lineRule="auto"/>
        <w:ind w:firstLine="480" w:firstLineChars="200"/>
        <w:rPr>
          <w:rFonts w:ascii="宋体" w:eastAsia="宋体" w:cs="宋体"/>
          <w:color w:val="auto"/>
          <w:sz w:val="24"/>
          <w:szCs w:val="24"/>
          <w:highlight w:val="none"/>
          <w:lang w:eastAsia="zh-CN"/>
        </w:rPr>
        <w:sectPr>
          <w:footerReference r:id="rId18" w:type="default"/>
          <w:pgSz w:w="11906" w:h="16838"/>
          <w:pgMar w:top="1440" w:right="1080" w:bottom="1440" w:left="1080" w:header="0" w:footer="850" w:gutter="0"/>
          <w:pgNumType w:fmt="decimal"/>
          <w:cols w:space="0" w:num="1"/>
          <w:rtlGutter w:val="0"/>
          <w:docGrid w:linePitch="312" w:charSpace="0"/>
        </w:sectPr>
      </w:pPr>
      <w:r>
        <w:rPr>
          <w:rFonts w:hint="eastAsia" w:ascii="宋体" w:eastAsia="宋体" w:cs="宋体"/>
          <w:color w:val="auto"/>
          <w:sz w:val="24"/>
          <w:szCs w:val="24"/>
          <w:highlight w:val="none"/>
          <w:lang w:eastAsia="zh-CN"/>
        </w:rPr>
        <w:t>供应商为法人或者其他组织的，提供营业执照等证明文件；供应商为自然人的，提供身份证明。</w:t>
      </w:r>
    </w:p>
    <w:p w14:paraId="632B9A2D">
      <w:pPr>
        <w:kinsoku/>
        <w:spacing w:line="360" w:lineRule="auto"/>
        <w:ind w:left="0" w:leftChars="0" w:right="0" w:rightChars="0" w:firstLine="0" w:firstLineChars="0"/>
        <w:jc w:val="center"/>
        <w:outlineLvl w:val="1"/>
        <w:rPr>
          <w:rFonts w:ascii="宋体" w:eastAsia="宋体" w:cs="宋体"/>
          <w:color w:val="auto"/>
          <w:sz w:val="24"/>
          <w:szCs w:val="24"/>
          <w:highlight w:val="none"/>
          <w:lang w:eastAsia="zh-CN"/>
        </w:rPr>
      </w:pPr>
      <w:bookmarkStart w:id="51" w:name="_Toc17843"/>
      <w:r>
        <w:rPr>
          <w:rFonts w:hint="eastAsia" w:ascii="宋体" w:eastAsia="宋体" w:cs="宋体"/>
          <w:b/>
          <w:bCs/>
          <w:color w:val="auto"/>
          <w:sz w:val="28"/>
          <w:szCs w:val="28"/>
          <w:highlight w:val="none"/>
          <w:lang w:eastAsia="zh-CN"/>
        </w:rPr>
        <w:t>八、具有良好的商业信誉和健全的财务会计制度的相关材料</w:t>
      </w:r>
      <w:bookmarkEnd w:id="51"/>
    </w:p>
    <w:p w14:paraId="1711242E">
      <w:pPr>
        <w:kinsoku/>
        <w:spacing w:line="360" w:lineRule="auto"/>
        <w:ind w:firstLine="480" w:firstLineChars="200"/>
        <w:rPr>
          <w:rFonts w:ascii="宋体" w:eastAsia="宋体" w:cs="宋体"/>
          <w:color w:val="auto"/>
          <w:sz w:val="24"/>
          <w:szCs w:val="24"/>
          <w:highlight w:val="none"/>
          <w:lang w:eastAsia="zh-CN"/>
        </w:rPr>
      </w:pPr>
    </w:p>
    <w:p w14:paraId="23750433">
      <w:pPr>
        <w:kinsoku/>
        <w:spacing w:line="360" w:lineRule="auto"/>
        <w:ind w:left="0" w:leftChars="0" w:right="0" w:rightChars="0" w:firstLine="0" w:firstLineChars="0"/>
        <w:jc w:val="center"/>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供应商提供具有良好的商业信誉和健全的财务会计制度的相关材料。</w:t>
      </w:r>
    </w:p>
    <w:p w14:paraId="0D234734">
      <w:pPr>
        <w:kinsoku/>
        <w:spacing w:line="360" w:lineRule="auto"/>
        <w:ind w:firstLine="480" w:firstLineChars="200"/>
        <w:rPr>
          <w:rFonts w:ascii="宋体" w:eastAsia="宋体" w:cs="宋体"/>
          <w:color w:val="auto"/>
          <w:sz w:val="24"/>
          <w:szCs w:val="24"/>
          <w:highlight w:val="none"/>
          <w:lang w:eastAsia="zh-CN"/>
        </w:rPr>
        <w:sectPr>
          <w:footerReference r:id="rId19" w:type="default"/>
          <w:pgSz w:w="11906" w:h="16838"/>
          <w:pgMar w:top="1440" w:right="1080" w:bottom="1440" w:left="1080" w:header="0" w:footer="850" w:gutter="0"/>
          <w:pgNumType w:fmt="decimal"/>
          <w:cols w:space="0" w:num="1"/>
          <w:rtlGutter w:val="0"/>
          <w:docGrid w:linePitch="312" w:charSpace="0"/>
        </w:sectPr>
      </w:pPr>
    </w:p>
    <w:p w14:paraId="50F0CC2D">
      <w:pPr>
        <w:kinsoku/>
        <w:spacing w:line="360" w:lineRule="auto"/>
        <w:ind w:left="0" w:leftChars="0" w:right="0" w:rightChars="0" w:firstLine="0" w:firstLineChars="0"/>
        <w:jc w:val="center"/>
        <w:outlineLvl w:val="1"/>
        <w:rPr>
          <w:rFonts w:ascii="宋体" w:eastAsia="宋体" w:cs="宋体"/>
          <w:color w:val="auto"/>
          <w:sz w:val="24"/>
          <w:szCs w:val="24"/>
          <w:highlight w:val="none"/>
          <w:lang w:eastAsia="zh-CN"/>
        </w:rPr>
      </w:pPr>
      <w:bookmarkStart w:id="52" w:name="_Toc18482"/>
      <w:r>
        <w:rPr>
          <w:rFonts w:hint="eastAsia" w:ascii="宋体" w:eastAsia="宋体" w:cs="宋体"/>
          <w:b/>
          <w:bCs/>
          <w:color w:val="auto"/>
          <w:sz w:val="28"/>
          <w:szCs w:val="28"/>
          <w:highlight w:val="none"/>
          <w:lang w:eastAsia="zh-CN"/>
        </w:rPr>
        <w:t>九、依法缴纳税收和社会保障资金的良好记录的相关材料</w:t>
      </w:r>
      <w:bookmarkEnd w:id="52"/>
    </w:p>
    <w:p w14:paraId="6A3C4097">
      <w:pPr>
        <w:kinsoku/>
        <w:spacing w:line="360" w:lineRule="auto"/>
        <w:ind w:firstLine="480" w:firstLineChars="200"/>
        <w:rPr>
          <w:rFonts w:ascii="宋体" w:eastAsia="宋体" w:cs="宋体"/>
          <w:color w:val="auto"/>
          <w:sz w:val="24"/>
          <w:szCs w:val="24"/>
          <w:highlight w:val="none"/>
          <w:lang w:eastAsia="zh-CN"/>
        </w:rPr>
      </w:pPr>
    </w:p>
    <w:p w14:paraId="748AE3C4">
      <w:pPr>
        <w:kinsoku/>
        <w:spacing w:line="360" w:lineRule="auto"/>
        <w:ind w:left="0" w:leftChars="0" w:right="0" w:rightChars="0" w:firstLine="0" w:firstLineChars="0"/>
        <w:jc w:val="center"/>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供应商提供依法缴纳税收和社会保障资金的相关材料。</w:t>
      </w:r>
    </w:p>
    <w:p w14:paraId="6E7B5D9C">
      <w:pPr>
        <w:kinsoku/>
        <w:spacing w:line="360" w:lineRule="auto"/>
        <w:ind w:firstLine="480" w:firstLineChars="200"/>
        <w:rPr>
          <w:rFonts w:ascii="宋体" w:eastAsia="宋体" w:cs="宋体"/>
          <w:color w:val="auto"/>
          <w:sz w:val="24"/>
          <w:szCs w:val="24"/>
          <w:highlight w:val="none"/>
          <w:lang w:eastAsia="zh-CN"/>
        </w:rPr>
        <w:sectPr>
          <w:footerReference r:id="rId20" w:type="default"/>
          <w:pgSz w:w="11906" w:h="16838"/>
          <w:pgMar w:top="1440" w:right="1080" w:bottom="1440" w:left="1080" w:header="0" w:footer="850" w:gutter="0"/>
          <w:pgNumType w:fmt="decimal"/>
          <w:cols w:space="0" w:num="1"/>
          <w:rtlGutter w:val="0"/>
          <w:docGrid w:linePitch="312" w:charSpace="0"/>
        </w:sectPr>
      </w:pPr>
    </w:p>
    <w:p w14:paraId="5A60637E">
      <w:pPr>
        <w:kinsoku/>
        <w:spacing w:line="360" w:lineRule="auto"/>
        <w:ind w:left="0" w:leftChars="0" w:right="0" w:rightChars="0" w:firstLine="0" w:firstLineChars="0"/>
        <w:jc w:val="center"/>
        <w:outlineLvl w:val="1"/>
        <w:rPr>
          <w:rFonts w:ascii="宋体" w:eastAsia="宋体" w:cs="宋体"/>
          <w:color w:val="auto"/>
          <w:sz w:val="24"/>
          <w:szCs w:val="24"/>
          <w:highlight w:val="none"/>
          <w:lang w:eastAsia="zh-CN"/>
        </w:rPr>
      </w:pPr>
      <w:bookmarkStart w:id="53" w:name="_Toc12100"/>
      <w:r>
        <w:rPr>
          <w:rFonts w:hint="eastAsia" w:ascii="宋体" w:eastAsia="宋体" w:cs="宋体"/>
          <w:b/>
          <w:bCs/>
          <w:color w:val="auto"/>
          <w:sz w:val="28"/>
          <w:szCs w:val="28"/>
          <w:highlight w:val="none"/>
          <w:lang w:eastAsia="zh-CN"/>
        </w:rPr>
        <w:t>十、具有履行合同所必需的设备和专业技术能力的相关材料</w:t>
      </w:r>
      <w:bookmarkEnd w:id="53"/>
    </w:p>
    <w:p w14:paraId="73227425">
      <w:pPr>
        <w:kinsoku/>
        <w:spacing w:line="360" w:lineRule="auto"/>
        <w:ind w:firstLine="480" w:firstLineChars="200"/>
        <w:rPr>
          <w:rFonts w:ascii="宋体" w:eastAsia="宋体" w:cs="宋体"/>
          <w:color w:val="auto"/>
          <w:sz w:val="24"/>
          <w:szCs w:val="24"/>
          <w:highlight w:val="none"/>
          <w:lang w:eastAsia="zh-CN"/>
        </w:rPr>
      </w:pPr>
    </w:p>
    <w:p w14:paraId="790C2D1E">
      <w:pPr>
        <w:kinsoku/>
        <w:spacing w:line="360" w:lineRule="auto"/>
        <w:ind w:left="0" w:leftChars="0" w:right="0" w:rightChars="0" w:firstLine="0" w:firstLineChars="0"/>
        <w:jc w:val="center"/>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供应商提供具有履行合同所必需的设备和专业技术能力的相关材料。</w:t>
      </w:r>
    </w:p>
    <w:p w14:paraId="41929FDA">
      <w:pPr>
        <w:kinsoku/>
        <w:spacing w:line="360" w:lineRule="auto"/>
        <w:ind w:firstLine="480" w:firstLineChars="200"/>
        <w:rPr>
          <w:rFonts w:ascii="宋体" w:eastAsia="宋体" w:cs="宋体"/>
          <w:color w:val="auto"/>
          <w:sz w:val="24"/>
          <w:szCs w:val="24"/>
          <w:highlight w:val="none"/>
          <w:lang w:eastAsia="zh-CN"/>
        </w:rPr>
        <w:sectPr>
          <w:footerReference r:id="rId21" w:type="default"/>
          <w:pgSz w:w="11906" w:h="16838"/>
          <w:pgMar w:top="1440" w:right="1080" w:bottom="1440" w:left="1080" w:header="0" w:footer="850" w:gutter="0"/>
          <w:pgNumType w:fmt="decimal"/>
          <w:cols w:space="0" w:num="1"/>
          <w:rtlGutter w:val="0"/>
          <w:docGrid w:linePitch="312" w:charSpace="0"/>
        </w:sectPr>
      </w:pPr>
    </w:p>
    <w:p w14:paraId="0A4B4ED3">
      <w:pPr>
        <w:kinsoku/>
        <w:spacing w:line="360" w:lineRule="auto"/>
        <w:ind w:left="0" w:leftChars="0" w:right="0" w:rightChars="0" w:firstLine="0" w:firstLineChars="0"/>
        <w:jc w:val="center"/>
        <w:outlineLvl w:val="1"/>
        <w:rPr>
          <w:rFonts w:ascii="宋体" w:eastAsia="宋体" w:cs="宋体"/>
          <w:b/>
          <w:bCs/>
          <w:color w:val="auto"/>
          <w:sz w:val="28"/>
          <w:szCs w:val="28"/>
          <w:highlight w:val="none"/>
          <w:lang w:eastAsia="zh-CN"/>
        </w:rPr>
      </w:pPr>
      <w:bookmarkStart w:id="54" w:name="_Toc1487"/>
      <w:r>
        <w:rPr>
          <w:rFonts w:hint="eastAsia" w:ascii="宋体" w:eastAsia="宋体" w:cs="宋体"/>
          <w:b/>
          <w:bCs/>
          <w:color w:val="auto"/>
          <w:sz w:val="28"/>
          <w:szCs w:val="28"/>
          <w:highlight w:val="none"/>
          <w:lang w:eastAsia="zh-CN"/>
        </w:rPr>
        <w:t>十一、参加政府采购活动前三年内在经营活动中没有重大违法记录的书面声明</w:t>
      </w:r>
      <w:bookmarkEnd w:id="54"/>
    </w:p>
    <w:p w14:paraId="03A10108">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本公司（单位）自愿参加本次政府采购活动，</w:t>
      </w:r>
      <w:r>
        <w:rPr>
          <w:rFonts w:hint="eastAsia" w:ascii="宋体" w:eastAsia="宋体" w:cs="宋体"/>
          <w:color w:val="auto"/>
          <w:sz w:val="24"/>
          <w:szCs w:val="24"/>
          <w:highlight w:val="none"/>
          <w:u w:val="single"/>
          <w:lang w:eastAsia="zh-CN"/>
        </w:rPr>
        <w:t xml:space="preserve">               </w:t>
      </w:r>
      <w:r>
        <w:rPr>
          <w:rFonts w:hint="eastAsia" w:ascii="宋体" w:eastAsia="宋体" w:cs="宋体"/>
          <w:color w:val="auto"/>
          <w:sz w:val="24"/>
          <w:szCs w:val="24"/>
          <w:highlight w:val="none"/>
          <w:lang w:eastAsia="zh-CN"/>
        </w:rPr>
        <w:t>（项目名称），项目编号：</w:t>
      </w:r>
      <w:r>
        <w:rPr>
          <w:rFonts w:hint="eastAsia" w:ascii="宋体" w:eastAsia="宋体" w:cs="宋体"/>
          <w:color w:val="auto"/>
          <w:sz w:val="24"/>
          <w:szCs w:val="24"/>
          <w:highlight w:val="none"/>
          <w:u w:val="single"/>
          <w:lang w:eastAsia="zh-CN"/>
        </w:rPr>
        <w:t xml:space="preserve">              </w:t>
      </w:r>
      <w:r>
        <w:rPr>
          <w:rFonts w:hint="eastAsia" w:ascii="宋体" w:eastAsia="宋体" w:cs="宋体"/>
          <w:color w:val="auto"/>
          <w:sz w:val="24"/>
          <w:szCs w:val="24"/>
          <w:highlight w:val="none"/>
          <w:lang w:eastAsia="zh-CN"/>
        </w:rPr>
        <w:t>，严格遵守《中华人民共和国政府采购法》《中华人民共和国政府采购法实施条例》及相关法律、法规和规章制度，在参加此次政府采购活动前三年内，本公司在经营活动中无重大违法记录。</w:t>
      </w:r>
    </w:p>
    <w:p w14:paraId="4AF8ABCA">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特此声明</w:t>
      </w:r>
    </w:p>
    <w:p w14:paraId="40CF09CA">
      <w:pPr>
        <w:kinsoku/>
        <w:spacing w:line="360" w:lineRule="auto"/>
        <w:ind w:firstLine="480" w:firstLineChars="200"/>
        <w:rPr>
          <w:rFonts w:ascii="宋体" w:eastAsia="宋体" w:cs="宋体"/>
          <w:color w:val="auto"/>
          <w:sz w:val="24"/>
          <w:szCs w:val="24"/>
          <w:highlight w:val="none"/>
          <w:lang w:eastAsia="zh-CN"/>
        </w:rPr>
      </w:pPr>
    </w:p>
    <w:p w14:paraId="69C2C13C">
      <w:pPr>
        <w:kinsoku/>
        <w:spacing w:line="360" w:lineRule="auto"/>
        <w:ind w:firstLine="480" w:firstLineChars="200"/>
        <w:rPr>
          <w:rFonts w:ascii="宋体" w:eastAsia="宋体" w:cs="宋体"/>
          <w:color w:val="auto"/>
          <w:sz w:val="24"/>
          <w:szCs w:val="24"/>
          <w:highlight w:val="none"/>
          <w:lang w:eastAsia="zh-CN"/>
        </w:rPr>
      </w:pPr>
    </w:p>
    <w:p w14:paraId="33C16A5B">
      <w:pPr>
        <w:kinsoku/>
        <w:spacing w:line="360" w:lineRule="auto"/>
        <w:ind w:firstLine="480" w:firstLineChars="200"/>
        <w:rPr>
          <w:rFonts w:ascii="宋体" w:eastAsia="宋体" w:cs="宋体"/>
          <w:color w:val="auto"/>
          <w:sz w:val="24"/>
          <w:szCs w:val="24"/>
          <w:highlight w:val="none"/>
          <w:lang w:eastAsia="zh-CN"/>
        </w:rPr>
      </w:pPr>
    </w:p>
    <w:p w14:paraId="5945BA2F">
      <w:pPr>
        <w:kinsoku/>
        <w:spacing w:line="360" w:lineRule="auto"/>
        <w:ind w:firstLine="4560" w:firstLineChars="19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供应商名称（盖章）：</w:t>
      </w:r>
    </w:p>
    <w:p w14:paraId="549D3E1D">
      <w:pPr>
        <w:kinsoku/>
        <w:spacing w:line="360" w:lineRule="auto"/>
        <w:ind w:left="0" w:leftChars="0" w:firstLine="2520" w:firstLineChars="105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法定代表人或授权委托人（签字</w:t>
      </w:r>
      <w:r>
        <w:rPr>
          <w:rFonts w:hint="eastAsia" w:ascii="宋体" w:eastAsia="宋体" w:cs="宋体"/>
          <w:color w:val="auto"/>
          <w:sz w:val="24"/>
          <w:szCs w:val="24"/>
          <w:highlight w:val="none"/>
          <w:lang w:val="en-US" w:eastAsia="zh-CN"/>
        </w:rPr>
        <w:t>/盖章</w:t>
      </w:r>
      <w:r>
        <w:rPr>
          <w:rFonts w:hint="eastAsia" w:ascii="宋体" w:eastAsia="宋体" w:cs="宋体"/>
          <w:color w:val="auto"/>
          <w:sz w:val="24"/>
          <w:szCs w:val="24"/>
          <w:highlight w:val="none"/>
          <w:lang w:eastAsia="zh-CN"/>
        </w:rPr>
        <w:t>）：</w:t>
      </w:r>
    </w:p>
    <w:p w14:paraId="7116A5DE">
      <w:pPr>
        <w:kinsoku/>
        <w:spacing w:line="360" w:lineRule="auto"/>
        <w:ind w:firstLine="480" w:firstLineChars="200"/>
        <w:jc w:val="right"/>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年    月    日</w:t>
      </w:r>
    </w:p>
    <w:p w14:paraId="69DA2C29">
      <w:pPr>
        <w:kinsoku/>
        <w:spacing w:line="360" w:lineRule="auto"/>
        <w:ind w:firstLine="480" w:firstLineChars="200"/>
        <w:rPr>
          <w:rFonts w:ascii="宋体" w:eastAsia="宋体" w:cs="宋体"/>
          <w:color w:val="auto"/>
          <w:sz w:val="24"/>
          <w:szCs w:val="24"/>
          <w:highlight w:val="none"/>
          <w:lang w:eastAsia="zh-CN"/>
        </w:rPr>
        <w:sectPr>
          <w:footerReference r:id="rId22" w:type="default"/>
          <w:pgSz w:w="11906" w:h="16838"/>
          <w:pgMar w:top="1440" w:right="1080" w:bottom="1440" w:left="1080" w:header="0" w:footer="850" w:gutter="0"/>
          <w:pgNumType w:fmt="decimal"/>
          <w:cols w:space="0" w:num="1"/>
          <w:rtlGutter w:val="0"/>
          <w:docGrid w:linePitch="312" w:charSpace="0"/>
        </w:sectPr>
      </w:pPr>
    </w:p>
    <w:p w14:paraId="319D6BF8">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（以下格式文件由供应商根据需要选用）</w:t>
      </w:r>
    </w:p>
    <w:p w14:paraId="1B58EA54">
      <w:pPr>
        <w:kinsoku/>
        <w:spacing w:line="360" w:lineRule="auto"/>
        <w:ind w:left="0" w:leftChars="0" w:right="0" w:rightChars="0" w:firstLine="0" w:firstLineChars="0"/>
        <w:jc w:val="center"/>
        <w:outlineLvl w:val="1"/>
        <w:rPr>
          <w:rFonts w:ascii="宋体" w:eastAsia="宋体" w:cs="宋体"/>
          <w:color w:val="auto"/>
          <w:sz w:val="24"/>
          <w:szCs w:val="24"/>
          <w:highlight w:val="none"/>
          <w:lang w:eastAsia="zh-CN"/>
        </w:rPr>
      </w:pPr>
      <w:bookmarkStart w:id="55" w:name="_Toc6296"/>
      <w:r>
        <w:rPr>
          <w:rFonts w:hint="eastAsia" w:ascii="宋体" w:eastAsia="宋体" w:cs="宋体"/>
          <w:b/>
          <w:bCs/>
          <w:color w:val="auto"/>
          <w:sz w:val="28"/>
          <w:szCs w:val="28"/>
          <w:highlight w:val="none"/>
          <w:lang w:eastAsia="zh-CN"/>
        </w:rPr>
        <w:t>十二、联合体协议书</w:t>
      </w:r>
      <w:bookmarkEnd w:id="55"/>
    </w:p>
    <w:p w14:paraId="684D5E02">
      <w:pPr>
        <w:kinsoku/>
        <w:wordWrap w:val="0"/>
        <w:spacing w:line="480" w:lineRule="exact"/>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u w:val="single"/>
          <w:lang w:eastAsia="zh-CN"/>
        </w:rPr>
        <w:t xml:space="preserve">                 </w:t>
      </w:r>
      <w:r>
        <w:rPr>
          <w:rFonts w:hint="eastAsia" w:ascii="宋体" w:eastAsia="宋体" w:cs="宋体"/>
          <w:color w:val="auto"/>
          <w:sz w:val="24"/>
          <w:szCs w:val="24"/>
          <w:highlight w:val="none"/>
          <w:lang w:eastAsia="zh-CN"/>
        </w:rPr>
        <w:t>（所有成员单位名称）自愿组成一个联合体，以一个供应商的身份共同参加</w:t>
      </w:r>
      <w:r>
        <w:rPr>
          <w:rFonts w:hint="eastAsia" w:ascii="宋体" w:eastAsia="宋体" w:cs="宋体"/>
          <w:color w:val="auto"/>
          <w:sz w:val="24"/>
          <w:szCs w:val="24"/>
          <w:highlight w:val="none"/>
          <w:u w:val="single"/>
          <w:lang w:eastAsia="zh-CN"/>
        </w:rPr>
        <w:t xml:space="preserve">                 </w:t>
      </w:r>
      <w:r>
        <w:rPr>
          <w:rFonts w:hint="eastAsia" w:ascii="宋体" w:eastAsia="宋体" w:cs="宋体"/>
          <w:color w:val="auto"/>
          <w:sz w:val="24"/>
          <w:szCs w:val="24"/>
          <w:highlight w:val="none"/>
          <w:lang w:eastAsia="zh-CN"/>
        </w:rPr>
        <w:t>（项目名称）的采购，项目编：</w:t>
      </w:r>
      <w:r>
        <w:rPr>
          <w:rFonts w:hint="eastAsia" w:ascii="宋体" w:eastAsia="宋体" w:cs="宋体"/>
          <w:color w:val="auto"/>
          <w:sz w:val="24"/>
          <w:szCs w:val="24"/>
          <w:highlight w:val="none"/>
          <w:u w:val="single"/>
          <w:lang w:eastAsia="zh-CN"/>
        </w:rPr>
        <w:t xml:space="preserve">                </w:t>
      </w:r>
      <w:r>
        <w:rPr>
          <w:rFonts w:hint="eastAsia" w:ascii="宋体" w:eastAsia="宋体" w:cs="宋体"/>
          <w:color w:val="auto"/>
          <w:sz w:val="24"/>
          <w:szCs w:val="24"/>
          <w:highlight w:val="none"/>
          <w:lang w:eastAsia="zh-CN"/>
        </w:rPr>
        <w:t>。联合体各方共同与采购人签订采购合同，就采购合同约定的事项对采购人承担连带责任。现就联合体参加采购事宜订立如下协议。</w:t>
      </w:r>
    </w:p>
    <w:p w14:paraId="3972AA27">
      <w:pPr>
        <w:kinsoku/>
        <w:spacing w:line="480" w:lineRule="exact"/>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1.</w:t>
      </w:r>
      <w:r>
        <w:rPr>
          <w:rFonts w:hint="eastAsia" w:ascii="宋体" w:eastAsia="宋体" w:cs="宋体"/>
          <w:color w:val="auto"/>
          <w:sz w:val="24"/>
          <w:szCs w:val="24"/>
          <w:highlight w:val="none"/>
          <w:u w:val="single"/>
          <w:lang w:eastAsia="zh-CN"/>
        </w:rPr>
        <w:t xml:space="preserve">              </w:t>
      </w:r>
      <w:r>
        <w:rPr>
          <w:rFonts w:hint="eastAsia" w:ascii="宋体" w:eastAsia="宋体" w:cs="宋体"/>
          <w:color w:val="auto"/>
          <w:sz w:val="24"/>
          <w:szCs w:val="24"/>
          <w:highlight w:val="none"/>
          <w:lang w:eastAsia="zh-CN"/>
        </w:rPr>
        <w:t>（某成员单位名称）为联合体牵头人。</w:t>
      </w:r>
    </w:p>
    <w:p w14:paraId="17EF6CBF">
      <w:pPr>
        <w:kinsoku/>
        <w:spacing w:line="480" w:lineRule="exact"/>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2.联合体各成员单位授权牵头人代表联合体参加采购活动，提交和接收相关的资料，负责合同实施阶段的组织和协调工作，以及处理与本项目有关的事宜。</w:t>
      </w:r>
    </w:p>
    <w:p w14:paraId="1CC47B34">
      <w:pPr>
        <w:kinsoku/>
        <w:spacing w:line="480" w:lineRule="exact"/>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3.联合体牵头人在本项目中签署的文件和处理的事宜，联合体各成员单位均予以承认。联合体各成员单位将严格按照磋商文件、响应文件和合同的要求全面履行义务，并向采购人承担连带责任。</w:t>
      </w:r>
    </w:p>
    <w:p w14:paraId="1899237F">
      <w:pPr>
        <w:kinsoku/>
        <w:spacing w:line="480" w:lineRule="exact"/>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4.联合体各成员单位内部的职责分工如下：</w:t>
      </w:r>
      <w:r>
        <w:rPr>
          <w:rFonts w:hint="eastAsia" w:ascii="宋体" w:eastAsia="宋体" w:cs="宋体"/>
          <w:color w:val="auto"/>
          <w:sz w:val="24"/>
          <w:szCs w:val="24"/>
          <w:highlight w:val="none"/>
          <w:u w:val="single"/>
          <w:lang w:eastAsia="zh-CN"/>
        </w:rPr>
        <w:t xml:space="preserve">                </w:t>
      </w:r>
      <w:r>
        <w:rPr>
          <w:rFonts w:hint="eastAsia" w:ascii="宋体" w:eastAsia="宋体" w:cs="宋体"/>
          <w:color w:val="auto"/>
          <w:sz w:val="24"/>
          <w:szCs w:val="24"/>
          <w:highlight w:val="none"/>
          <w:lang w:eastAsia="zh-CN"/>
        </w:rPr>
        <w:t>。</w:t>
      </w:r>
    </w:p>
    <w:p w14:paraId="0AD01D93">
      <w:pPr>
        <w:kinsoku/>
        <w:spacing w:line="480" w:lineRule="exact"/>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5.如要求缴纳保证金，以牵头人名义缴纳，对联合体各方均具有约束力。</w:t>
      </w:r>
    </w:p>
    <w:p w14:paraId="39ABF1A9">
      <w:pPr>
        <w:kinsoku/>
        <w:spacing w:line="480" w:lineRule="exact"/>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6.本协议书自签署之日起生效，合同履行完毕后自动失效。</w:t>
      </w:r>
    </w:p>
    <w:p w14:paraId="7DC49E65">
      <w:pPr>
        <w:kinsoku/>
        <w:spacing w:line="480" w:lineRule="exact"/>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7.本协议书一式</w:t>
      </w:r>
      <w:r>
        <w:rPr>
          <w:rFonts w:hint="eastAsia" w:ascii="宋体" w:eastAsia="宋体" w:cs="宋体"/>
          <w:color w:val="auto"/>
          <w:sz w:val="24"/>
          <w:szCs w:val="24"/>
          <w:highlight w:val="none"/>
          <w:u w:val="single"/>
          <w:lang w:eastAsia="zh-CN"/>
        </w:rPr>
        <w:t xml:space="preserve">       </w:t>
      </w:r>
      <w:r>
        <w:rPr>
          <w:rFonts w:hint="eastAsia" w:ascii="宋体" w:eastAsia="宋体" w:cs="宋体"/>
          <w:color w:val="auto"/>
          <w:sz w:val="24"/>
          <w:szCs w:val="24"/>
          <w:highlight w:val="none"/>
          <w:lang w:eastAsia="zh-CN"/>
        </w:rPr>
        <w:t>份，联合体各成员单位和采购人各执一份。</w:t>
      </w:r>
    </w:p>
    <w:p w14:paraId="06BE89A2">
      <w:pPr>
        <w:kinsoku/>
        <w:spacing w:line="480" w:lineRule="exact"/>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协议书由法定代表人签字的，应附法定代表人身份证明；由授权代表签字的，应附授权委托书。</w:t>
      </w:r>
    </w:p>
    <w:p w14:paraId="3176E67F">
      <w:pPr>
        <w:kinsoku/>
        <w:spacing w:line="480" w:lineRule="exact"/>
        <w:ind w:firstLine="480" w:firstLineChars="200"/>
        <w:rPr>
          <w:rFonts w:ascii="宋体" w:eastAsia="宋体" w:cs="宋体"/>
          <w:color w:val="auto"/>
          <w:sz w:val="24"/>
          <w:szCs w:val="24"/>
          <w:highlight w:val="none"/>
          <w:lang w:eastAsia="zh-CN"/>
        </w:rPr>
      </w:pPr>
    </w:p>
    <w:p w14:paraId="6F28E98D">
      <w:pPr>
        <w:kinsoku/>
        <w:spacing w:line="480" w:lineRule="exact"/>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所有成员单位法定代表人或其授权代表（签字并盖章）：</w:t>
      </w:r>
    </w:p>
    <w:p w14:paraId="397095C8">
      <w:pPr>
        <w:kinsoku/>
        <w:spacing w:line="480" w:lineRule="exact"/>
        <w:ind w:firstLine="480" w:firstLineChars="200"/>
        <w:jc w:val="right"/>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年    月    日</w:t>
      </w:r>
    </w:p>
    <w:p w14:paraId="2990ADC0">
      <w:pPr>
        <w:kinsoku/>
        <w:spacing w:line="360" w:lineRule="auto"/>
        <w:ind w:firstLine="480" w:firstLineChars="200"/>
        <w:rPr>
          <w:rFonts w:ascii="宋体" w:eastAsia="宋体" w:cs="宋体"/>
          <w:color w:val="auto"/>
          <w:sz w:val="24"/>
          <w:szCs w:val="24"/>
          <w:highlight w:val="none"/>
          <w:lang w:eastAsia="zh-CN"/>
        </w:rPr>
        <w:sectPr>
          <w:footerReference r:id="rId23" w:type="default"/>
          <w:pgSz w:w="11906" w:h="16838"/>
          <w:pgMar w:top="1440" w:right="1080" w:bottom="1440" w:left="1080" w:header="0" w:footer="850" w:gutter="0"/>
          <w:pgNumType w:fmt="decimal"/>
          <w:cols w:space="0" w:num="1"/>
          <w:rtlGutter w:val="0"/>
          <w:docGrid w:linePitch="312" w:charSpace="0"/>
        </w:sectPr>
      </w:pPr>
    </w:p>
    <w:p w14:paraId="1D58AFAB">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both"/>
        <w:outlineLvl w:val="9"/>
        <w:rPr>
          <w:rFonts w:hint="eastAsia" w:ascii="宋体" w:eastAsia="宋体" w:cs="宋体"/>
          <w:b/>
          <w:bCs/>
          <w:color w:val="auto"/>
          <w:sz w:val="28"/>
          <w:szCs w:val="28"/>
          <w:highlight w:val="none"/>
          <w:lang w:eastAsia="zh-CN"/>
        </w:rPr>
      </w:pPr>
      <w:r>
        <w:rPr>
          <w:rFonts w:hint="eastAsia" w:ascii="宋体" w:eastAsia="宋体" w:cs="宋体"/>
          <w:color w:val="auto"/>
          <w:sz w:val="24"/>
          <w:szCs w:val="24"/>
          <w:highlight w:val="none"/>
        </w:rPr>
        <w:t>（以下格式文件由供应商根据需要选用）</w:t>
      </w:r>
    </w:p>
    <w:p w14:paraId="6A2E7F27">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1"/>
        <w:rPr>
          <w:rFonts w:hint="eastAsia" w:ascii="宋体" w:eastAsia="宋体" w:cs="宋体"/>
          <w:color w:val="auto"/>
          <w:sz w:val="24"/>
          <w:szCs w:val="24"/>
          <w:highlight w:val="none"/>
        </w:rPr>
      </w:pPr>
      <w:bookmarkStart w:id="56" w:name="_Toc12275"/>
      <w:r>
        <w:rPr>
          <w:rFonts w:hint="eastAsia" w:ascii="宋体" w:eastAsia="宋体" w:cs="宋体"/>
          <w:b/>
          <w:bCs/>
          <w:color w:val="auto"/>
          <w:sz w:val="28"/>
          <w:szCs w:val="28"/>
          <w:highlight w:val="none"/>
          <w:lang w:eastAsia="zh-CN"/>
        </w:rPr>
        <w:t>十三、</w:t>
      </w:r>
      <w:r>
        <w:rPr>
          <w:rFonts w:hint="eastAsia" w:ascii="宋体" w:eastAsia="宋体" w:cs="宋体"/>
          <w:b/>
          <w:bCs/>
          <w:color w:val="auto"/>
          <w:sz w:val="28"/>
          <w:szCs w:val="28"/>
          <w:highlight w:val="none"/>
        </w:rPr>
        <w:t>中小企业声明函（工程、服务）</w:t>
      </w:r>
      <w:bookmarkEnd w:id="56"/>
    </w:p>
    <w:p w14:paraId="63DFA8F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eastAsia="宋体" w:cs="宋体"/>
          <w:color w:val="auto"/>
          <w:sz w:val="24"/>
          <w:szCs w:val="24"/>
          <w:highlight w:val="none"/>
        </w:rPr>
      </w:pPr>
      <w:r>
        <w:rPr>
          <w:rFonts w:hint="eastAsia" w:ascii="宋体" w:eastAsia="宋体" w:cs="宋体"/>
          <w:color w:val="auto"/>
          <w:sz w:val="24"/>
          <w:szCs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A96826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eastAsia="宋体" w:cs="宋体"/>
          <w:color w:val="auto"/>
          <w:sz w:val="24"/>
          <w:szCs w:val="24"/>
          <w:highlight w:val="none"/>
        </w:rPr>
      </w:pPr>
      <w:r>
        <w:rPr>
          <w:rFonts w:hint="eastAsia" w:ascii="宋体" w:eastAsia="宋体" w:cs="宋体"/>
          <w:color w:val="auto"/>
          <w:sz w:val="24"/>
          <w:szCs w:val="24"/>
          <w:highlight w:val="none"/>
        </w:rPr>
        <w:t>1.</w:t>
      </w:r>
      <w:r>
        <w:rPr>
          <w:rFonts w:hint="eastAsia" w:ascii="宋体" w:eastAsia="宋体" w:cs="宋体"/>
          <w:color w:val="auto"/>
          <w:sz w:val="24"/>
          <w:szCs w:val="24"/>
          <w:highlight w:val="none"/>
          <w:u w:val="single"/>
        </w:rPr>
        <w:t>（标的名称）</w:t>
      </w:r>
      <w:r>
        <w:rPr>
          <w:rFonts w:hint="eastAsia" w:ascii="宋体" w:eastAsia="宋体" w:cs="宋体"/>
          <w:color w:val="auto"/>
          <w:sz w:val="24"/>
          <w:szCs w:val="24"/>
          <w:highlight w:val="none"/>
        </w:rPr>
        <w:t>，属于</w:t>
      </w:r>
      <w:r>
        <w:rPr>
          <w:rFonts w:hint="eastAsia" w:ascii="宋体" w:eastAsia="宋体" w:cs="宋体"/>
          <w:color w:val="auto"/>
          <w:sz w:val="24"/>
          <w:szCs w:val="24"/>
          <w:highlight w:val="none"/>
          <w:u w:val="single"/>
        </w:rPr>
        <w:t>（采购文件中明确的所属行业）</w:t>
      </w:r>
      <w:r>
        <w:rPr>
          <w:rFonts w:hint="eastAsia" w:ascii="宋体" w:eastAsia="宋体" w:cs="宋体"/>
          <w:color w:val="auto"/>
          <w:sz w:val="24"/>
          <w:szCs w:val="24"/>
          <w:highlight w:val="none"/>
        </w:rPr>
        <w:t>；承建（承接）企业为</w:t>
      </w:r>
      <w:r>
        <w:rPr>
          <w:rFonts w:hint="eastAsia" w:ascii="宋体" w:eastAsia="宋体" w:cs="宋体"/>
          <w:color w:val="auto"/>
          <w:sz w:val="24"/>
          <w:szCs w:val="24"/>
          <w:highlight w:val="none"/>
          <w:u w:val="single"/>
        </w:rPr>
        <w:t>（企业名称）</w:t>
      </w:r>
      <w:r>
        <w:rPr>
          <w:rFonts w:hint="eastAsia" w:ascii="宋体" w:eastAsia="宋体" w:cs="宋体"/>
          <w:color w:val="auto"/>
          <w:sz w:val="24"/>
          <w:szCs w:val="24"/>
          <w:highlight w:val="none"/>
        </w:rPr>
        <w:t>，从业人员</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人，营业收入为</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万元，资产总额为</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 xml:space="preserve">万元 </w:t>
      </w:r>
      <w:r>
        <w:rPr>
          <w:rFonts w:hint="eastAsia" w:ascii="宋体" w:eastAsia="宋体" w:cs="宋体"/>
          <w:color w:val="auto"/>
          <w:sz w:val="24"/>
          <w:szCs w:val="24"/>
          <w:highlight w:val="none"/>
          <w:vertAlign w:val="superscript"/>
        </w:rPr>
        <w:t>1</w:t>
      </w:r>
      <w:r>
        <w:rPr>
          <w:rFonts w:hint="eastAsia" w:ascii="宋体" w:eastAsia="宋体" w:cs="宋体"/>
          <w:color w:val="auto"/>
          <w:sz w:val="24"/>
          <w:szCs w:val="24"/>
          <w:highlight w:val="none"/>
        </w:rPr>
        <w:t xml:space="preserve"> ，属于（中型企业、小型企业、微型企业）；</w:t>
      </w:r>
    </w:p>
    <w:p w14:paraId="61F8942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eastAsia="宋体" w:cs="宋体"/>
          <w:color w:val="auto"/>
          <w:sz w:val="24"/>
          <w:szCs w:val="24"/>
          <w:highlight w:val="none"/>
        </w:rPr>
      </w:pPr>
      <w:r>
        <w:rPr>
          <w:rFonts w:hint="eastAsia" w:ascii="宋体" w:eastAsia="宋体" w:cs="宋体"/>
          <w:color w:val="auto"/>
          <w:sz w:val="24"/>
          <w:szCs w:val="24"/>
          <w:highlight w:val="none"/>
        </w:rPr>
        <w:t>2.</w:t>
      </w:r>
      <w:r>
        <w:rPr>
          <w:rFonts w:hint="eastAsia" w:ascii="宋体" w:eastAsia="宋体" w:cs="宋体"/>
          <w:color w:val="auto"/>
          <w:sz w:val="24"/>
          <w:szCs w:val="24"/>
          <w:highlight w:val="none"/>
          <w:u w:val="single"/>
        </w:rPr>
        <w:t>（标的名称）</w:t>
      </w:r>
      <w:r>
        <w:rPr>
          <w:rFonts w:hint="eastAsia" w:ascii="宋体" w:eastAsia="宋体" w:cs="宋体"/>
          <w:color w:val="auto"/>
          <w:sz w:val="24"/>
          <w:szCs w:val="24"/>
          <w:highlight w:val="none"/>
        </w:rPr>
        <w:t>，属于</w:t>
      </w:r>
      <w:r>
        <w:rPr>
          <w:rFonts w:hint="eastAsia" w:ascii="宋体" w:eastAsia="宋体" w:cs="宋体"/>
          <w:color w:val="auto"/>
          <w:sz w:val="24"/>
          <w:szCs w:val="24"/>
          <w:highlight w:val="none"/>
          <w:u w:val="single"/>
        </w:rPr>
        <w:t>（采购文件中明确的所属行业）</w:t>
      </w:r>
      <w:r>
        <w:rPr>
          <w:rFonts w:hint="eastAsia" w:ascii="宋体" w:eastAsia="宋体" w:cs="宋体"/>
          <w:color w:val="auto"/>
          <w:sz w:val="24"/>
          <w:szCs w:val="24"/>
          <w:highlight w:val="none"/>
        </w:rPr>
        <w:t>；承建（承接）企业为</w:t>
      </w:r>
      <w:r>
        <w:rPr>
          <w:rFonts w:hint="eastAsia" w:ascii="宋体" w:eastAsia="宋体" w:cs="宋体"/>
          <w:color w:val="auto"/>
          <w:sz w:val="24"/>
          <w:szCs w:val="24"/>
          <w:highlight w:val="none"/>
          <w:u w:val="single"/>
        </w:rPr>
        <w:t>（企业名称）</w:t>
      </w:r>
      <w:r>
        <w:rPr>
          <w:rFonts w:hint="eastAsia" w:ascii="宋体" w:eastAsia="宋体" w:cs="宋体"/>
          <w:color w:val="auto"/>
          <w:sz w:val="24"/>
          <w:szCs w:val="24"/>
          <w:highlight w:val="none"/>
        </w:rPr>
        <w:t>，从业人员</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人，营业收入为</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万元，资产总额为</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万元，属于（中型企业、小型企业、微型企业）；</w:t>
      </w:r>
    </w:p>
    <w:p w14:paraId="2F4E27E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eastAsia="宋体" w:cs="宋体"/>
          <w:color w:val="auto"/>
          <w:sz w:val="24"/>
          <w:szCs w:val="24"/>
          <w:highlight w:val="none"/>
        </w:rPr>
      </w:pPr>
      <w:r>
        <w:rPr>
          <w:rFonts w:hint="eastAsia" w:ascii="宋体" w:eastAsia="宋体" w:cs="宋体"/>
          <w:color w:val="auto"/>
          <w:sz w:val="24"/>
          <w:szCs w:val="24"/>
          <w:highlight w:val="none"/>
        </w:rPr>
        <w:t>……</w:t>
      </w:r>
    </w:p>
    <w:p w14:paraId="5D69066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eastAsia="宋体" w:cs="宋体"/>
          <w:color w:val="auto"/>
          <w:sz w:val="24"/>
          <w:szCs w:val="24"/>
          <w:highlight w:val="none"/>
        </w:rPr>
      </w:pPr>
      <w:r>
        <w:rPr>
          <w:rFonts w:hint="eastAsia" w:ascii="宋体" w:eastAsia="宋体" w:cs="宋体"/>
          <w:color w:val="auto"/>
          <w:sz w:val="24"/>
          <w:szCs w:val="24"/>
          <w:highlight w:val="none"/>
        </w:rPr>
        <w:t>以上企业，不属于大企业的分支机构，不存在控股股东为大企业的情形，也不存在与大企业的负责人为同一人的情形。</w:t>
      </w:r>
    </w:p>
    <w:p w14:paraId="55A62E1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eastAsia="宋体" w:cs="宋体"/>
          <w:color w:val="auto"/>
          <w:sz w:val="24"/>
          <w:szCs w:val="24"/>
          <w:highlight w:val="none"/>
        </w:rPr>
      </w:pPr>
      <w:r>
        <w:rPr>
          <w:rFonts w:hint="eastAsia" w:ascii="宋体" w:eastAsia="宋体" w:cs="宋体"/>
          <w:color w:val="auto"/>
          <w:sz w:val="24"/>
          <w:szCs w:val="24"/>
          <w:highlight w:val="none"/>
        </w:rPr>
        <w:t>本企业对上述声明内容的真实性负责。如有虚假，将依法承担相应责任。</w:t>
      </w:r>
    </w:p>
    <w:p w14:paraId="3A9F415B">
      <w:pPr>
        <w:keepNext w:val="0"/>
        <w:keepLines w:val="0"/>
        <w:pageBreakBefore w:val="0"/>
        <w:widowControl/>
        <w:kinsoku/>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eastAsia="宋体" w:cs="宋体"/>
          <w:color w:val="auto"/>
          <w:sz w:val="24"/>
          <w:szCs w:val="24"/>
          <w:highlight w:val="none"/>
        </w:rPr>
      </w:pPr>
      <w:r>
        <w:rPr>
          <w:rFonts w:hint="eastAsia" w:ascii="宋体" w:eastAsia="宋体" w:cs="宋体"/>
          <w:color w:val="auto"/>
          <w:sz w:val="24"/>
          <w:szCs w:val="24"/>
          <w:highlight w:val="none"/>
        </w:rPr>
        <w:t>企业名称（盖章）：</w:t>
      </w:r>
    </w:p>
    <w:p w14:paraId="2F1F8259">
      <w:pPr>
        <w:keepNext w:val="0"/>
        <w:keepLines w:val="0"/>
        <w:pageBreakBefore w:val="0"/>
        <w:widowControl/>
        <w:kinsoku/>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eastAsia="宋体" w:cs="宋体"/>
          <w:color w:val="auto"/>
          <w:sz w:val="24"/>
          <w:szCs w:val="24"/>
          <w:highlight w:val="none"/>
        </w:rPr>
      </w:pPr>
      <w:r>
        <w:rPr>
          <w:rFonts w:hint="eastAsia" w:ascii="宋体" w:eastAsia="宋体" w:cs="宋体"/>
          <w:color w:val="auto"/>
          <w:sz w:val="24"/>
          <w:szCs w:val="24"/>
          <w:highlight w:val="none"/>
        </w:rPr>
        <w:t>日 期：</w:t>
      </w:r>
    </w:p>
    <w:p w14:paraId="644B528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eastAsia="宋体" w:cs="宋体"/>
          <w:color w:val="auto"/>
          <w:sz w:val="24"/>
          <w:szCs w:val="24"/>
          <w:highlight w:val="none"/>
        </w:rPr>
      </w:pPr>
    </w:p>
    <w:p w14:paraId="71E8698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eastAsia="宋体" w:cs="宋体"/>
          <w:color w:val="auto"/>
          <w:sz w:val="24"/>
          <w:szCs w:val="24"/>
          <w:highlight w:val="none"/>
        </w:rPr>
      </w:pPr>
    </w:p>
    <w:p w14:paraId="04B0042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eastAsia="宋体" w:cs="宋体"/>
          <w:color w:val="auto"/>
          <w:sz w:val="24"/>
          <w:szCs w:val="24"/>
          <w:highlight w:val="none"/>
          <w:vertAlign w:val="superscript"/>
        </w:rPr>
      </w:pPr>
    </w:p>
    <w:p w14:paraId="0A52DA5F">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注：1.从业人员、营业收入、资产总额填报上一年度数据，无上一年数据的新成立企业可不填报。</w:t>
      </w:r>
    </w:p>
    <w:p w14:paraId="459ECCA3">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2.中型、小型、微型企业请在投标文件中附此函。</w:t>
      </w:r>
    </w:p>
    <w:p w14:paraId="4742CA39">
      <w:pPr>
        <w:keepNext w:val="0"/>
        <w:keepLines w:val="0"/>
        <w:pageBreakBefore w:val="0"/>
        <w:widowControl/>
        <w:kinsoku/>
        <w:wordWrap/>
        <w:overflowPunct/>
        <w:topLinePunct w:val="0"/>
        <w:autoSpaceDE w:val="0"/>
        <w:autoSpaceDN w:val="0"/>
        <w:bidi w:val="0"/>
        <w:adjustRightInd w:val="0"/>
        <w:snapToGrid w:val="0"/>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3.供应商提供《中小企业声明函》内容不实的，属于“隐瞒真实情况，提供虚假资料”的情形，依照有关规定追究相应责任。</w:t>
      </w:r>
    </w:p>
    <w:p w14:paraId="736AF0FC">
      <w:pPr>
        <w:rPr>
          <w:rFonts w:hint="eastAsia" w:ascii="宋体" w:eastAsia="宋体" w:cs="宋体"/>
          <w:b/>
          <w:bCs/>
          <w:color w:val="auto"/>
          <w:sz w:val="28"/>
          <w:szCs w:val="28"/>
          <w:highlight w:val="none"/>
          <w:lang w:eastAsia="zh-CN"/>
        </w:rPr>
      </w:pPr>
      <w:r>
        <w:rPr>
          <w:rFonts w:hint="eastAsia" w:ascii="宋体" w:eastAsia="宋体" w:cs="宋体"/>
          <w:b/>
          <w:bCs/>
          <w:color w:val="auto"/>
          <w:sz w:val="28"/>
          <w:szCs w:val="28"/>
          <w:highlight w:val="none"/>
          <w:lang w:eastAsia="zh-CN"/>
        </w:rPr>
        <w:br w:type="page"/>
      </w:r>
    </w:p>
    <w:p w14:paraId="12D5362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（以下格式文件由供应商根据需要选用）</w:t>
      </w:r>
    </w:p>
    <w:p w14:paraId="17B3970C">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center"/>
        <w:outlineLvl w:val="1"/>
        <w:rPr>
          <w:rFonts w:hint="eastAsia" w:ascii="宋体" w:hAnsi="宋体" w:eastAsia="宋体" w:cs="宋体"/>
          <w:b/>
          <w:bCs/>
          <w:color w:val="auto"/>
          <w:kern w:val="0"/>
          <w:sz w:val="24"/>
          <w:szCs w:val="24"/>
          <w:highlight w:val="none"/>
        </w:rPr>
      </w:pPr>
      <w:bookmarkStart w:id="57" w:name="_Toc489"/>
      <w:r>
        <w:rPr>
          <w:rFonts w:hint="eastAsia" w:ascii="宋体" w:eastAsia="宋体" w:cs="宋体"/>
          <w:b/>
          <w:bCs/>
          <w:color w:val="auto"/>
          <w:sz w:val="28"/>
          <w:szCs w:val="28"/>
          <w:highlight w:val="none"/>
          <w:lang w:eastAsia="zh-CN"/>
        </w:rPr>
        <w:t>十四、监狱企业证明文件</w:t>
      </w:r>
      <w:bookmarkEnd w:id="57"/>
    </w:p>
    <w:p w14:paraId="24BE2C5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p>
    <w:p w14:paraId="7690A02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提供由省级以上监狱管理局、戒毒管理局（含新疆生产建设兵团）出具的属于监狱企业的证明文件。</w:t>
      </w:r>
    </w:p>
    <w:p w14:paraId="5514C69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p>
    <w:p w14:paraId="731DFDF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p>
    <w:p w14:paraId="23BFD1C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p>
    <w:p w14:paraId="508F914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p>
    <w:p w14:paraId="6AE095D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rPr>
          <w:rFonts w:hint="eastAsia" w:ascii="宋体" w:hAnsi="宋体" w:eastAsia="宋体" w:cs="宋体"/>
          <w:color w:val="auto"/>
          <w:sz w:val="24"/>
          <w:szCs w:val="24"/>
          <w:highlight w:val="none"/>
        </w:rPr>
        <w:sectPr>
          <w:footerReference r:id="rId24" w:type="default"/>
          <w:pgSz w:w="11906" w:h="16838"/>
          <w:pgMar w:top="1440" w:right="1080" w:bottom="1440" w:left="1080" w:header="0" w:footer="850" w:gutter="0"/>
          <w:pgBorders>
            <w:top w:val="none" w:sz="0" w:space="0"/>
            <w:left w:val="none" w:sz="0" w:space="0"/>
            <w:bottom w:val="none" w:sz="0" w:space="0"/>
            <w:right w:val="none" w:sz="0" w:space="0"/>
          </w:pgBorders>
          <w:pgNumType w:fmt="decimal"/>
          <w:cols w:space="0" w:num="1"/>
          <w:rtlGutter w:val="0"/>
          <w:docGrid w:linePitch="0" w:charSpace="0"/>
        </w:sectPr>
      </w:pPr>
    </w:p>
    <w:p w14:paraId="6FBC141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（以下格式文件由供应商根据需要选用）</w:t>
      </w:r>
    </w:p>
    <w:p w14:paraId="55A10FE5">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rightChars="0" w:firstLine="0" w:firstLineChars="0"/>
        <w:jc w:val="center"/>
        <w:outlineLvl w:val="1"/>
        <w:rPr>
          <w:rFonts w:hint="eastAsia" w:ascii="宋体" w:hAnsi="宋体" w:eastAsia="宋体" w:cs="宋体"/>
          <w:b/>
          <w:bCs/>
          <w:color w:val="auto"/>
          <w:kern w:val="0"/>
          <w:sz w:val="24"/>
          <w:szCs w:val="24"/>
          <w:highlight w:val="none"/>
        </w:rPr>
      </w:pPr>
      <w:bookmarkStart w:id="58" w:name="_Toc28256"/>
      <w:r>
        <w:rPr>
          <w:rFonts w:hint="eastAsia" w:ascii="宋体" w:hAnsi="宋体" w:eastAsia="宋体" w:cs="宋体"/>
          <w:b/>
          <w:bCs/>
          <w:color w:val="auto"/>
          <w:kern w:val="0"/>
          <w:sz w:val="28"/>
          <w:szCs w:val="28"/>
          <w:highlight w:val="none"/>
        </w:rPr>
        <w:t>十五、残疾人福利性单位声明函</w:t>
      </w:r>
      <w:bookmarkEnd w:id="58"/>
    </w:p>
    <w:p w14:paraId="6E566321">
      <w:pPr>
        <w:keepNext w:val="0"/>
        <w:keepLines w:val="0"/>
        <w:pageBreakBefore w:val="0"/>
        <w:widowControl/>
        <w:kinsoku w:val="0"/>
        <w:wordWrap/>
        <w:overflowPunct/>
        <w:topLinePunct w:val="0"/>
        <w:autoSpaceDE w:val="0"/>
        <w:autoSpaceDN w:val="0"/>
        <w:bidi w:val="0"/>
        <w:adjustRightInd w:val="0"/>
        <w:snapToGrid w:val="0"/>
        <w:spacing w:before="111" w:line="360" w:lineRule="auto"/>
        <w:ind w:right="15" w:firstLine="544" w:firstLineChars="200"/>
        <w:jc w:val="left"/>
        <w:rPr>
          <w:rFonts w:hint="eastAsia" w:ascii="宋体" w:hAnsi="宋体" w:eastAsia="宋体" w:cs="宋体"/>
          <w:color w:val="auto"/>
          <w:kern w:val="0"/>
          <w:sz w:val="26"/>
          <w:szCs w:val="26"/>
          <w:highlight w:val="none"/>
        </w:rPr>
      </w:pPr>
      <w:r>
        <w:rPr>
          <w:rFonts w:hint="eastAsia" w:ascii="宋体" w:hAnsi="宋体" w:eastAsia="宋体" w:cs="宋体"/>
          <w:color w:val="auto"/>
          <w:spacing w:val="6"/>
          <w:kern w:val="0"/>
          <w:sz w:val="26"/>
          <w:szCs w:val="26"/>
          <w:highlight w:val="none"/>
        </w:rPr>
        <w:t>本单位郑重声</w:t>
      </w:r>
      <w:r>
        <w:rPr>
          <w:rFonts w:hint="eastAsia" w:ascii="宋体" w:hAnsi="宋体" w:eastAsia="宋体" w:cs="宋体"/>
          <w:color w:val="auto"/>
          <w:spacing w:val="4"/>
          <w:kern w:val="0"/>
          <w:sz w:val="26"/>
          <w:szCs w:val="26"/>
          <w:highlight w:val="none"/>
        </w:rPr>
        <w:t>明</w:t>
      </w:r>
      <w:r>
        <w:rPr>
          <w:rFonts w:hint="eastAsia" w:ascii="宋体" w:hAnsi="宋体" w:eastAsia="宋体" w:cs="宋体"/>
          <w:color w:val="auto"/>
          <w:spacing w:val="3"/>
          <w:kern w:val="0"/>
          <w:sz w:val="26"/>
          <w:szCs w:val="26"/>
          <w:highlight w:val="none"/>
        </w:rPr>
        <w:t>，根据《财政部 民政部 中国残疾人联合会关于</w:t>
      </w:r>
      <w:r>
        <w:rPr>
          <w:rFonts w:hint="eastAsia" w:ascii="宋体" w:hAnsi="宋体" w:eastAsia="宋体" w:cs="宋体"/>
          <w:color w:val="auto"/>
          <w:spacing w:val="2"/>
          <w:kern w:val="0"/>
          <w:sz w:val="26"/>
          <w:szCs w:val="26"/>
          <w:highlight w:val="none"/>
        </w:rPr>
        <w:t>促进残疾人就业</w:t>
      </w:r>
      <w:r>
        <w:rPr>
          <w:rFonts w:hint="eastAsia" w:ascii="宋体" w:hAnsi="宋体" w:eastAsia="宋体" w:cs="宋体"/>
          <w:color w:val="auto"/>
          <w:spacing w:val="1"/>
          <w:kern w:val="0"/>
          <w:sz w:val="26"/>
          <w:szCs w:val="26"/>
          <w:highlight w:val="none"/>
        </w:rPr>
        <w:t>政府采购政策的通知》(财库〔2017〕141号)的规</w:t>
      </w:r>
      <w:r>
        <w:rPr>
          <w:rFonts w:hint="eastAsia" w:ascii="宋体" w:hAnsi="宋体" w:eastAsia="宋体" w:cs="宋体"/>
          <w:color w:val="auto"/>
          <w:spacing w:val="9"/>
          <w:kern w:val="0"/>
          <w:sz w:val="26"/>
          <w:szCs w:val="26"/>
          <w:highlight w:val="none"/>
        </w:rPr>
        <w:t>定，本单位为符合条件的残疾人福利性单位，且本单位参加</w:t>
      </w:r>
      <w:r>
        <w:rPr>
          <w:rFonts w:hint="eastAsia" w:ascii="宋体" w:hAnsi="宋体" w:eastAsia="宋体" w:cs="宋体"/>
          <w:color w:val="auto"/>
          <w:spacing w:val="9"/>
          <w:kern w:val="0"/>
          <w:sz w:val="26"/>
          <w:szCs w:val="26"/>
          <w:highlight w:val="none"/>
          <w:u w:val="single"/>
          <w:lang w:val="en-US" w:eastAsia="zh-CN"/>
        </w:rPr>
        <w:t xml:space="preserve">    </w:t>
      </w:r>
      <w:r>
        <w:rPr>
          <w:rFonts w:hint="eastAsia" w:ascii="宋体" w:hAnsi="宋体" w:eastAsia="宋体" w:cs="宋体"/>
          <w:color w:val="auto"/>
          <w:spacing w:val="9"/>
          <w:kern w:val="0"/>
          <w:sz w:val="26"/>
          <w:szCs w:val="26"/>
          <w:highlight w:val="none"/>
        </w:rPr>
        <w:t>单</w:t>
      </w:r>
      <w:r>
        <w:rPr>
          <w:rFonts w:hint="eastAsia" w:ascii="宋体" w:hAnsi="宋体" w:eastAsia="宋体" w:cs="宋体"/>
          <w:color w:val="auto"/>
          <w:spacing w:val="2"/>
          <w:kern w:val="0"/>
          <w:sz w:val="26"/>
          <w:szCs w:val="26"/>
          <w:highlight w:val="none"/>
        </w:rPr>
        <w:t>位</w:t>
      </w:r>
      <w:r>
        <w:rPr>
          <w:rFonts w:hint="eastAsia" w:ascii="宋体" w:hAnsi="宋体" w:eastAsia="宋体" w:cs="宋体"/>
          <w:color w:val="auto"/>
          <w:spacing w:val="16"/>
          <w:kern w:val="0"/>
          <w:sz w:val="26"/>
          <w:szCs w:val="26"/>
          <w:highlight w:val="none"/>
        </w:rPr>
        <w:t>的</w:t>
      </w:r>
      <w:r>
        <w:rPr>
          <w:rFonts w:hint="eastAsia" w:ascii="宋体" w:hAnsi="宋体" w:eastAsia="宋体" w:cs="宋体"/>
          <w:color w:val="auto"/>
          <w:spacing w:val="8"/>
          <w:kern w:val="0"/>
          <w:sz w:val="26"/>
          <w:szCs w:val="26"/>
          <w:highlight w:val="none"/>
          <w:u w:val="single"/>
          <w:lang w:val="en-US" w:eastAsia="zh-CN"/>
        </w:rPr>
        <w:t xml:space="preserve">    </w:t>
      </w:r>
      <w:r>
        <w:rPr>
          <w:rFonts w:hint="eastAsia" w:ascii="宋体" w:hAnsi="宋体" w:eastAsia="宋体" w:cs="宋体"/>
          <w:color w:val="auto"/>
          <w:spacing w:val="8"/>
          <w:kern w:val="0"/>
          <w:sz w:val="26"/>
          <w:szCs w:val="26"/>
          <w:highlight w:val="none"/>
        </w:rPr>
        <w:t>项目采购活动提供本单位制造的货物(由本单位承担工程/提供</w:t>
      </w:r>
      <w:r>
        <w:rPr>
          <w:rFonts w:hint="eastAsia" w:ascii="宋体" w:hAnsi="宋体" w:eastAsia="宋体" w:cs="宋体"/>
          <w:color w:val="auto"/>
          <w:spacing w:val="17"/>
          <w:kern w:val="0"/>
          <w:sz w:val="26"/>
          <w:szCs w:val="26"/>
          <w:highlight w:val="none"/>
        </w:rPr>
        <w:t>服</w:t>
      </w:r>
      <w:r>
        <w:rPr>
          <w:rFonts w:hint="eastAsia" w:ascii="宋体" w:hAnsi="宋体" w:eastAsia="宋体" w:cs="宋体"/>
          <w:color w:val="auto"/>
          <w:spacing w:val="13"/>
          <w:kern w:val="0"/>
          <w:sz w:val="26"/>
          <w:szCs w:val="26"/>
          <w:highlight w:val="none"/>
        </w:rPr>
        <w:t>务)，或者提供其他残疾人福利性单位制造的货物(不包括使用非残</w:t>
      </w:r>
      <w:r>
        <w:rPr>
          <w:rFonts w:hint="eastAsia" w:ascii="宋体" w:hAnsi="宋体" w:eastAsia="宋体" w:cs="宋体"/>
          <w:color w:val="auto"/>
          <w:spacing w:val="12"/>
          <w:kern w:val="0"/>
          <w:sz w:val="26"/>
          <w:szCs w:val="26"/>
          <w:highlight w:val="none"/>
        </w:rPr>
        <w:t>疾</w:t>
      </w:r>
      <w:r>
        <w:rPr>
          <w:rFonts w:hint="eastAsia" w:ascii="宋体" w:hAnsi="宋体" w:eastAsia="宋体" w:cs="宋体"/>
          <w:color w:val="auto"/>
          <w:spacing w:val="9"/>
          <w:kern w:val="0"/>
          <w:sz w:val="26"/>
          <w:szCs w:val="26"/>
          <w:highlight w:val="none"/>
        </w:rPr>
        <w:t>人福利性单位注册商标的货物)。</w:t>
      </w:r>
    </w:p>
    <w:p w14:paraId="3C87CA81">
      <w:pPr>
        <w:keepNext w:val="0"/>
        <w:keepLines w:val="0"/>
        <w:pageBreakBefore w:val="0"/>
        <w:widowControl/>
        <w:kinsoku/>
        <w:wordWrap/>
        <w:overflowPunct/>
        <w:topLinePunct w:val="0"/>
        <w:autoSpaceDE w:val="0"/>
        <w:autoSpaceDN w:val="0"/>
        <w:bidi w:val="0"/>
        <w:adjustRightInd w:val="0"/>
        <w:snapToGrid w:val="0"/>
        <w:spacing w:line="360" w:lineRule="auto"/>
        <w:ind w:right="0" w:firstLine="560" w:firstLineChars="200"/>
        <w:jc w:val="left"/>
        <w:rPr>
          <w:rFonts w:hint="eastAsia" w:ascii="宋体" w:hAnsi="宋体" w:eastAsia="宋体" w:cs="宋体"/>
          <w:color w:val="auto"/>
          <w:kern w:val="0"/>
          <w:sz w:val="26"/>
          <w:szCs w:val="26"/>
          <w:highlight w:val="none"/>
        </w:rPr>
      </w:pPr>
      <w:r>
        <w:rPr>
          <w:rFonts w:hint="eastAsia" w:ascii="宋体" w:hAnsi="宋体" w:eastAsia="宋体" w:cs="宋体"/>
          <w:color w:val="auto"/>
          <w:spacing w:val="10"/>
          <w:kern w:val="0"/>
          <w:sz w:val="26"/>
          <w:szCs w:val="26"/>
          <w:highlight w:val="none"/>
        </w:rPr>
        <w:t>本单位对</w:t>
      </w:r>
      <w:r>
        <w:rPr>
          <w:rFonts w:hint="eastAsia" w:ascii="宋体" w:hAnsi="宋体" w:eastAsia="宋体" w:cs="宋体"/>
          <w:color w:val="auto"/>
          <w:spacing w:val="5"/>
          <w:kern w:val="0"/>
          <w:sz w:val="26"/>
          <w:szCs w:val="26"/>
          <w:highlight w:val="none"/>
        </w:rPr>
        <w:t>上述声明的真实性负责。如有虚假，将依法承担相应责</w:t>
      </w:r>
      <w:r>
        <w:rPr>
          <w:rFonts w:hint="eastAsia" w:ascii="宋体" w:hAnsi="宋体" w:eastAsia="宋体" w:cs="宋体"/>
          <w:color w:val="auto"/>
          <w:spacing w:val="3"/>
          <w:kern w:val="0"/>
          <w:sz w:val="26"/>
          <w:szCs w:val="26"/>
          <w:highlight w:val="none"/>
        </w:rPr>
        <w:t>任</w:t>
      </w:r>
      <w:r>
        <w:rPr>
          <w:rFonts w:hint="eastAsia" w:ascii="宋体" w:hAnsi="宋体" w:eastAsia="宋体" w:cs="宋体"/>
          <w:color w:val="auto"/>
          <w:spacing w:val="2"/>
          <w:kern w:val="0"/>
          <w:sz w:val="26"/>
          <w:szCs w:val="26"/>
          <w:highlight w:val="none"/>
        </w:rPr>
        <w:t>。</w:t>
      </w:r>
    </w:p>
    <w:p w14:paraId="27631A7C">
      <w:pPr>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6"/>
          <w:szCs w:val="26"/>
          <w:highlight w:val="none"/>
        </w:rPr>
      </w:pPr>
    </w:p>
    <w:p w14:paraId="0119032F">
      <w:pPr>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6"/>
          <w:szCs w:val="26"/>
          <w:highlight w:val="none"/>
        </w:rPr>
      </w:pPr>
    </w:p>
    <w:p w14:paraId="20B3E60E">
      <w:pPr>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6"/>
          <w:szCs w:val="26"/>
          <w:highlight w:val="none"/>
        </w:rPr>
      </w:pPr>
    </w:p>
    <w:p w14:paraId="3D1F122F">
      <w:pPr>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6"/>
          <w:szCs w:val="26"/>
          <w:highlight w:val="none"/>
        </w:rPr>
      </w:pPr>
    </w:p>
    <w:p w14:paraId="527A1C5E">
      <w:pPr>
        <w:keepNext w:val="0"/>
        <w:keepLines w:val="0"/>
        <w:pageBreakBefore w:val="0"/>
        <w:widowControl/>
        <w:kinsoku w:val="0"/>
        <w:wordWrap/>
        <w:overflowPunct/>
        <w:topLinePunct w:val="0"/>
        <w:autoSpaceDE w:val="0"/>
        <w:autoSpaceDN w:val="0"/>
        <w:bidi w:val="0"/>
        <w:adjustRightInd w:val="0"/>
        <w:snapToGrid w:val="0"/>
        <w:spacing w:before="112" w:line="360" w:lineRule="auto"/>
        <w:ind w:left="3977"/>
        <w:jc w:val="left"/>
        <w:rPr>
          <w:rFonts w:hint="eastAsia" w:ascii="宋体" w:hAnsi="宋体" w:eastAsia="宋体" w:cs="宋体"/>
          <w:color w:val="auto"/>
          <w:kern w:val="0"/>
          <w:sz w:val="26"/>
          <w:szCs w:val="26"/>
          <w:highlight w:val="none"/>
        </w:rPr>
      </w:pPr>
      <w:r>
        <w:rPr>
          <w:rFonts w:hint="eastAsia" w:ascii="宋体" w:hAnsi="宋体" w:eastAsia="宋体" w:cs="宋体"/>
          <w:color w:val="auto"/>
          <w:spacing w:val="24"/>
          <w:kern w:val="0"/>
          <w:position w:val="24"/>
          <w:sz w:val="26"/>
          <w:szCs w:val="26"/>
          <w:highlight w:val="none"/>
        </w:rPr>
        <w:t>单</w:t>
      </w:r>
      <w:r>
        <w:rPr>
          <w:rFonts w:hint="eastAsia" w:ascii="宋体" w:hAnsi="宋体" w:eastAsia="宋体" w:cs="宋体"/>
          <w:color w:val="auto"/>
          <w:spacing w:val="17"/>
          <w:kern w:val="0"/>
          <w:position w:val="24"/>
          <w:sz w:val="26"/>
          <w:szCs w:val="26"/>
          <w:highlight w:val="none"/>
        </w:rPr>
        <w:t>位名称(盖章)：</w:t>
      </w:r>
    </w:p>
    <w:p w14:paraId="24C46FF5">
      <w:pPr>
        <w:ind w:left="0" w:leftChars="0" w:firstLine="5257" w:firstLineChars="2120"/>
        <w:rPr>
          <w:rFonts w:hint="eastAsia" w:ascii="宋体" w:eastAsia="宋体" w:cs="宋体"/>
          <w:b/>
          <w:bCs/>
          <w:color w:val="auto"/>
          <w:sz w:val="28"/>
          <w:szCs w:val="28"/>
          <w:highlight w:val="none"/>
          <w:lang w:eastAsia="zh-CN"/>
        </w:rPr>
      </w:pPr>
      <w:r>
        <w:rPr>
          <w:rFonts w:hint="eastAsia" w:ascii="宋体" w:hAnsi="宋体" w:eastAsia="宋体" w:cs="宋体"/>
          <w:color w:val="auto"/>
          <w:spacing w:val="-6"/>
          <w:kern w:val="0"/>
          <w:sz w:val="26"/>
          <w:szCs w:val="26"/>
          <w:highlight w:val="none"/>
        </w:rPr>
        <w:t>日</w:t>
      </w:r>
      <w:r>
        <w:rPr>
          <w:rFonts w:hint="eastAsia" w:ascii="宋体" w:hAnsi="宋体" w:eastAsia="宋体" w:cs="宋体"/>
          <w:color w:val="auto"/>
          <w:spacing w:val="-4"/>
          <w:kern w:val="0"/>
          <w:sz w:val="26"/>
          <w:szCs w:val="26"/>
          <w:highlight w:val="none"/>
        </w:rPr>
        <w:t xml:space="preserve"> </w:t>
      </w:r>
      <w:r>
        <w:rPr>
          <w:rFonts w:hint="eastAsia" w:ascii="宋体" w:hAnsi="宋体" w:eastAsia="宋体" w:cs="宋体"/>
          <w:color w:val="auto"/>
          <w:spacing w:val="-3"/>
          <w:kern w:val="0"/>
          <w:sz w:val="26"/>
          <w:szCs w:val="26"/>
          <w:highlight w:val="none"/>
        </w:rPr>
        <w:t>期：</w:t>
      </w:r>
      <w:r>
        <w:rPr>
          <w:rFonts w:hint="eastAsia" w:ascii="宋体" w:eastAsia="宋体" w:cs="宋体"/>
          <w:b/>
          <w:bCs/>
          <w:color w:val="auto"/>
          <w:sz w:val="28"/>
          <w:szCs w:val="28"/>
          <w:highlight w:val="none"/>
          <w:lang w:eastAsia="zh-CN"/>
        </w:rPr>
        <w:br w:type="page"/>
      </w:r>
    </w:p>
    <w:p w14:paraId="3F87D6CD">
      <w:pPr>
        <w:kinsoku/>
        <w:spacing w:line="480" w:lineRule="auto"/>
        <w:ind w:left="0" w:leftChars="0" w:right="0" w:rightChars="0" w:firstLine="0" w:firstLineChars="0"/>
        <w:jc w:val="center"/>
        <w:outlineLvl w:val="1"/>
        <w:rPr>
          <w:rFonts w:ascii="宋体" w:eastAsia="宋体" w:cs="宋体"/>
          <w:b/>
          <w:bCs/>
          <w:color w:val="auto"/>
          <w:sz w:val="28"/>
          <w:szCs w:val="28"/>
          <w:highlight w:val="none"/>
          <w:lang w:eastAsia="zh-CN"/>
        </w:rPr>
      </w:pPr>
      <w:bookmarkStart w:id="59" w:name="_Toc17059"/>
      <w:r>
        <w:rPr>
          <w:rFonts w:hint="eastAsia" w:ascii="宋体" w:eastAsia="宋体" w:cs="宋体"/>
          <w:b/>
          <w:bCs/>
          <w:color w:val="auto"/>
          <w:sz w:val="28"/>
          <w:szCs w:val="28"/>
          <w:highlight w:val="none"/>
          <w:lang w:eastAsia="zh-CN"/>
        </w:rPr>
        <w:t>十六、主要商务要求承诺书</w:t>
      </w:r>
      <w:bookmarkEnd w:id="59"/>
    </w:p>
    <w:p w14:paraId="17677213">
      <w:pPr>
        <w:kinsoku/>
        <w:wordWrap w:val="0"/>
        <w:spacing w:line="48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我公司承诺可以完全满足</w:t>
      </w:r>
      <w:r>
        <w:rPr>
          <w:rFonts w:hint="eastAsia" w:ascii="宋体" w:eastAsia="宋体" w:cs="宋体"/>
          <w:color w:val="auto"/>
          <w:sz w:val="24"/>
          <w:szCs w:val="24"/>
          <w:highlight w:val="none"/>
          <w:u w:val="single"/>
          <w:lang w:eastAsia="zh-CN"/>
        </w:rPr>
        <w:t xml:space="preserve">                </w:t>
      </w:r>
      <w:r>
        <w:rPr>
          <w:rFonts w:hint="eastAsia" w:ascii="宋体" w:eastAsia="宋体" w:cs="宋体"/>
          <w:color w:val="auto"/>
          <w:sz w:val="24"/>
          <w:szCs w:val="24"/>
          <w:highlight w:val="none"/>
          <w:lang w:eastAsia="zh-CN"/>
        </w:rPr>
        <w:t>(项目名称），项目编号：</w:t>
      </w:r>
      <w:r>
        <w:rPr>
          <w:rFonts w:hint="eastAsia" w:ascii="宋体" w:eastAsia="宋体" w:cs="宋体"/>
          <w:color w:val="auto"/>
          <w:sz w:val="24"/>
          <w:szCs w:val="24"/>
          <w:highlight w:val="none"/>
          <w:u w:val="single"/>
          <w:lang w:eastAsia="zh-CN"/>
        </w:rPr>
        <w:t xml:space="preserve">                </w:t>
      </w:r>
      <w:r>
        <w:rPr>
          <w:rFonts w:hint="eastAsia" w:ascii="宋体" w:eastAsia="宋体" w:cs="宋体"/>
          <w:color w:val="auto"/>
          <w:sz w:val="24"/>
          <w:szCs w:val="24"/>
          <w:highlight w:val="none"/>
          <w:lang w:eastAsia="zh-CN"/>
        </w:rPr>
        <w:t>磋商文件的所有主要商务条款要求，包括交货或服务期限、交货或服务地点、付款方式、验收要求、履约保证金等。若有不符合或未按承诺履行的，承担相应法律后果。</w:t>
      </w:r>
    </w:p>
    <w:p w14:paraId="05A54726">
      <w:pPr>
        <w:kinsoku/>
        <w:spacing w:line="48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如有优于磋商文件主要商务要求的请在此承诺书中说明。</w:t>
      </w:r>
    </w:p>
    <w:p w14:paraId="10A16786">
      <w:pPr>
        <w:kinsoku/>
        <w:spacing w:line="48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具体优于内容（如服务期限、地点，质保期等）。</w:t>
      </w:r>
    </w:p>
    <w:p w14:paraId="0DFD28CD">
      <w:pPr>
        <w:kinsoku/>
        <w:spacing w:line="48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特此承诺</w:t>
      </w:r>
    </w:p>
    <w:p w14:paraId="2C07C148">
      <w:pPr>
        <w:kinsoku/>
        <w:spacing w:line="360" w:lineRule="auto"/>
        <w:ind w:firstLine="4320" w:firstLineChars="18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供应商名称（盖章）：</w:t>
      </w:r>
    </w:p>
    <w:p w14:paraId="3954E3CD">
      <w:pPr>
        <w:kinsoku/>
        <w:spacing w:line="360" w:lineRule="auto"/>
        <w:ind w:firstLine="480" w:firstLineChars="200"/>
        <w:jc w:val="right"/>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年   月   日</w:t>
      </w:r>
    </w:p>
    <w:p w14:paraId="00625E89">
      <w:pPr>
        <w:kinsoku/>
        <w:spacing w:line="360" w:lineRule="auto"/>
        <w:ind w:firstLine="480" w:firstLineChars="200"/>
        <w:rPr>
          <w:rFonts w:ascii="宋体" w:eastAsia="宋体" w:cs="宋体"/>
          <w:color w:val="auto"/>
          <w:sz w:val="24"/>
          <w:szCs w:val="24"/>
          <w:highlight w:val="none"/>
          <w:lang w:eastAsia="zh-CN"/>
        </w:rPr>
        <w:sectPr>
          <w:footerReference r:id="rId25" w:type="default"/>
          <w:pgSz w:w="11906" w:h="16838"/>
          <w:pgMar w:top="1440" w:right="1080" w:bottom="1440" w:left="1080" w:header="0" w:footer="850" w:gutter="0"/>
          <w:pgNumType w:fmt="decimal"/>
          <w:cols w:space="0" w:num="1"/>
          <w:rtlGutter w:val="0"/>
          <w:docGrid w:linePitch="312" w:charSpace="0"/>
        </w:sectPr>
      </w:pPr>
    </w:p>
    <w:p w14:paraId="2920625D">
      <w:pPr>
        <w:kinsoku/>
        <w:spacing w:line="360" w:lineRule="auto"/>
        <w:ind w:left="0" w:leftChars="0" w:right="0" w:rightChars="0" w:firstLine="0" w:firstLineChars="0"/>
        <w:jc w:val="center"/>
        <w:outlineLvl w:val="1"/>
        <w:rPr>
          <w:rFonts w:ascii="宋体" w:eastAsia="宋体" w:cs="宋体"/>
          <w:color w:val="auto"/>
          <w:sz w:val="24"/>
          <w:szCs w:val="24"/>
          <w:highlight w:val="none"/>
          <w:lang w:eastAsia="zh-CN"/>
        </w:rPr>
      </w:pPr>
      <w:bookmarkStart w:id="60" w:name="_Toc30420"/>
      <w:r>
        <w:rPr>
          <w:rFonts w:hint="eastAsia" w:ascii="宋体" w:eastAsia="宋体" w:cs="宋体"/>
          <w:b/>
          <w:bCs/>
          <w:color w:val="auto"/>
          <w:sz w:val="28"/>
          <w:szCs w:val="28"/>
          <w:highlight w:val="none"/>
          <w:lang w:eastAsia="zh-CN"/>
        </w:rPr>
        <w:t>十七、技术偏离表</w:t>
      </w:r>
      <w:bookmarkEnd w:id="60"/>
    </w:p>
    <w:tbl>
      <w:tblPr>
        <w:tblStyle w:val="21"/>
        <w:tblW w:w="941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1307"/>
        <w:gridCol w:w="1044"/>
        <w:gridCol w:w="1239"/>
        <w:gridCol w:w="2611"/>
        <w:gridCol w:w="1467"/>
        <w:gridCol w:w="934"/>
      </w:tblGrid>
      <w:tr w14:paraId="618A4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815" w:type="dxa"/>
            <w:shd w:val="clear" w:color="auto" w:fill="auto"/>
            <w:vAlign w:val="center"/>
          </w:tcPr>
          <w:p w14:paraId="25E68E71">
            <w:pPr>
              <w:jc w:val="center"/>
              <w:rPr>
                <w:color w:val="auto"/>
                <w:highlight w:val="none"/>
              </w:rPr>
            </w:pPr>
            <w:r>
              <w:rPr>
                <w:rFonts w:hint="eastAsia"/>
                <w:color w:val="auto"/>
                <w:highlight w:val="none"/>
              </w:rPr>
              <w:t>序号</w:t>
            </w:r>
          </w:p>
        </w:tc>
        <w:tc>
          <w:tcPr>
            <w:tcW w:w="1307" w:type="dxa"/>
            <w:shd w:val="clear" w:color="auto" w:fill="auto"/>
            <w:vAlign w:val="center"/>
          </w:tcPr>
          <w:p w14:paraId="7C846CC4">
            <w:pPr>
              <w:jc w:val="center"/>
              <w:rPr>
                <w:color w:val="auto"/>
                <w:highlight w:val="none"/>
              </w:rPr>
            </w:pPr>
            <w:r>
              <w:rPr>
                <w:rFonts w:hint="eastAsia"/>
                <w:color w:val="auto"/>
                <w:highlight w:val="none"/>
              </w:rPr>
              <w:t>标的名称</w:t>
            </w:r>
          </w:p>
        </w:tc>
        <w:tc>
          <w:tcPr>
            <w:tcW w:w="2283" w:type="dxa"/>
            <w:gridSpan w:val="2"/>
            <w:shd w:val="clear" w:color="auto" w:fill="auto"/>
            <w:vAlign w:val="center"/>
          </w:tcPr>
          <w:p w14:paraId="19A9A2D3">
            <w:pPr>
              <w:jc w:val="center"/>
              <w:rPr>
                <w:color w:val="auto"/>
                <w:highlight w:val="none"/>
              </w:rPr>
            </w:pPr>
            <w:r>
              <w:rPr>
                <w:rFonts w:hint="eastAsia"/>
                <w:color w:val="auto"/>
                <w:highlight w:val="none"/>
              </w:rPr>
              <w:t>技术要求</w:t>
            </w:r>
          </w:p>
        </w:tc>
        <w:tc>
          <w:tcPr>
            <w:tcW w:w="2611" w:type="dxa"/>
            <w:shd w:val="clear" w:color="auto" w:fill="auto"/>
            <w:vAlign w:val="center"/>
          </w:tcPr>
          <w:p w14:paraId="1D42B88D">
            <w:pPr>
              <w:jc w:val="center"/>
              <w:rPr>
                <w:color w:val="auto"/>
                <w:highlight w:val="none"/>
              </w:rPr>
            </w:pPr>
            <w:r>
              <w:rPr>
                <w:rFonts w:hint="eastAsia"/>
                <w:color w:val="auto"/>
                <w:highlight w:val="none"/>
              </w:rPr>
              <w:t>响应内容</w:t>
            </w:r>
          </w:p>
        </w:tc>
        <w:tc>
          <w:tcPr>
            <w:tcW w:w="1467" w:type="dxa"/>
            <w:shd w:val="clear" w:color="auto" w:fill="auto"/>
            <w:vAlign w:val="center"/>
          </w:tcPr>
          <w:p w14:paraId="4B98B7AD">
            <w:pPr>
              <w:jc w:val="center"/>
              <w:rPr>
                <w:color w:val="auto"/>
                <w:highlight w:val="none"/>
              </w:rPr>
            </w:pPr>
            <w:r>
              <w:rPr>
                <w:rFonts w:hint="eastAsia"/>
                <w:color w:val="auto"/>
                <w:highlight w:val="none"/>
              </w:rPr>
              <w:t>偏离程度</w:t>
            </w:r>
          </w:p>
        </w:tc>
        <w:tc>
          <w:tcPr>
            <w:tcW w:w="934" w:type="dxa"/>
            <w:shd w:val="clear" w:color="auto" w:fill="auto"/>
            <w:vAlign w:val="center"/>
          </w:tcPr>
          <w:p w14:paraId="05A65DA0">
            <w:pPr>
              <w:jc w:val="center"/>
              <w:rPr>
                <w:color w:val="auto"/>
                <w:highlight w:val="none"/>
              </w:rPr>
            </w:pPr>
            <w:r>
              <w:rPr>
                <w:rFonts w:hint="eastAsia"/>
                <w:color w:val="auto"/>
                <w:highlight w:val="none"/>
              </w:rPr>
              <w:t>备注</w:t>
            </w:r>
          </w:p>
        </w:tc>
      </w:tr>
      <w:tr w14:paraId="50FFC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815" w:type="dxa"/>
            <w:vMerge w:val="restart"/>
            <w:tcBorders>
              <w:bottom w:val="nil"/>
            </w:tcBorders>
            <w:shd w:val="clear" w:color="auto" w:fill="auto"/>
            <w:vAlign w:val="center"/>
          </w:tcPr>
          <w:p w14:paraId="4C895CA2">
            <w:pPr>
              <w:jc w:val="center"/>
              <w:rPr>
                <w:color w:val="auto"/>
                <w:highlight w:val="none"/>
              </w:rPr>
            </w:pPr>
            <w:r>
              <w:rPr>
                <w:rFonts w:hint="eastAsia"/>
                <w:color w:val="auto"/>
                <w:highlight w:val="none"/>
              </w:rPr>
              <w:t>1</w:t>
            </w:r>
          </w:p>
        </w:tc>
        <w:tc>
          <w:tcPr>
            <w:tcW w:w="1307" w:type="dxa"/>
            <w:vMerge w:val="restart"/>
            <w:tcBorders>
              <w:bottom w:val="nil"/>
            </w:tcBorders>
            <w:shd w:val="clear" w:color="auto" w:fill="auto"/>
            <w:vAlign w:val="center"/>
          </w:tcPr>
          <w:p w14:paraId="00186EAC">
            <w:pPr>
              <w:jc w:val="center"/>
              <w:rPr>
                <w:color w:val="auto"/>
                <w:highlight w:val="none"/>
              </w:rPr>
            </w:pPr>
          </w:p>
        </w:tc>
        <w:tc>
          <w:tcPr>
            <w:tcW w:w="1044" w:type="dxa"/>
            <w:shd w:val="clear" w:color="auto" w:fill="auto"/>
            <w:vAlign w:val="center"/>
          </w:tcPr>
          <w:p w14:paraId="38357335">
            <w:pPr>
              <w:jc w:val="center"/>
              <w:rPr>
                <w:color w:val="auto"/>
                <w:highlight w:val="none"/>
              </w:rPr>
            </w:pPr>
            <w:r>
              <w:rPr>
                <w:rFonts w:hint="eastAsia"/>
                <w:color w:val="auto"/>
                <w:highlight w:val="none"/>
              </w:rPr>
              <w:t>★</w:t>
            </w:r>
          </w:p>
        </w:tc>
        <w:tc>
          <w:tcPr>
            <w:tcW w:w="1239" w:type="dxa"/>
            <w:shd w:val="clear" w:color="auto" w:fill="auto"/>
            <w:vAlign w:val="center"/>
          </w:tcPr>
          <w:p w14:paraId="4BDADC9C">
            <w:pPr>
              <w:jc w:val="center"/>
              <w:rPr>
                <w:color w:val="auto"/>
                <w:highlight w:val="none"/>
              </w:rPr>
            </w:pPr>
            <w:r>
              <w:rPr>
                <w:rFonts w:hint="eastAsia"/>
                <w:color w:val="auto"/>
                <w:highlight w:val="none"/>
              </w:rPr>
              <w:t>1.1…</w:t>
            </w:r>
          </w:p>
        </w:tc>
        <w:tc>
          <w:tcPr>
            <w:tcW w:w="2611" w:type="dxa"/>
            <w:shd w:val="clear" w:color="auto" w:fill="auto"/>
            <w:vAlign w:val="center"/>
          </w:tcPr>
          <w:p w14:paraId="45C66B77">
            <w:pPr>
              <w:jc w:val="center"/>
              <w:rPr>
                <w:color w:val="auto"/>
                <w:highlight w:val="none"/>
              </w:rPr>
            </w:pPr>
          </w:p>
        </w:tc>
        <w:tc>
          <w:tcPr>
            <w:tcW w:w="1467" w:type="dxa"/>
            <w:shd w:val="clear" w:color="auto" w:fill="auto"/>
            <w:vAlign w:val="center"/>
          </w:tcPr>
          <w:p w14:paraId="1ED1DFE7">
            <w:pPr>
              <w:jc w:val="center"/>
              <w:rPr>
                <w:color w:val="auto"/>
                <w:highlight w:val="none"/>
              </w:rPr>
            </w:pPr>
          </w:p>
        </w:tc>
        <w:tc>
          <w:tcPr>
            <w:tcW w:w="934" w:type="dxa"/>
            <w:shd w:val="clear" w:color="auto" w:fill="auto"/>
            <w:vAlign w:val="center"/>
          </w:tcPr>
          <w:p w14:paraId="1D1AC655">
            <w:pPr>
              <w:jc w:val="center"/>
              <w:rPr>
                <w:color w:val="auto"/>
                <w:highlight w:val="none"/>
              </w:rPr>
            </w:pPr>
          </w:p>
        </w:tc>
      </w:tr>
      <w:tr w14:paraId="4F7B1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815" w:type="dxa"/>
            <w:vMerge w:val="continue"/>
            <w:tcBorders>
              <w:top w:val="nil"/>
              <w:bottom w:val="nil"/>
            </w:tcBorders>
            <w:shd w:val="clear" w:color="auto" w:fill="auto"/>
            <w:vAlign w:val="center"/>
          </w:tcPr>
          <w:p w14:paraId="011AA57F">
            <w:pPr>
              <w:rPr>
                <w:color w:val="auto"/>
                <w:highlight w:val="none"/>
              </w:rPr>
            </w:pPr>
          </w:p>
        </w:tc>
        <w:tc>
          <w:tcPr>
            <w:tcW w:w="1307" w:type="dxa"/>
            <w:vMerge w:val="continue"/>
            <w:tcBorders>
              <w:top w:val="nil"/>
              <w:bottom w:val="nil"/>
            </w:tcBorders>
            <w:shd w:val="clear" w:color="auto" w:fill="auto"/>
            <w:vAlign w:val="center"/>
          </w:tcPr>
          <w:p w14:paraId="23BA6C34">
            <w:pPr>
              <w:rPr>
                <w:color w:val="auto"/>
                <w:highlight w:val="none"/>
              </w:rPr>
            </w:pPr>
          </w:p>
        </w:tc>
        <w:tc>
          <w:tcPr>
            <w:tcW w:w="1044" w:type="dxa"/>
            <w:shd w:val="clear" w:color="auto" w:fill="auto"/>
            <w:vAlign w:val="center"/>
          </w:tcPr>
          <w:p w14:paraId="502C323F">
            <w:pPr>
              <w:jc w:val="center"/>
              <w:rPr>
                <w:color w:val="auto"/>
                <w:highlight w:val="none"/>
              </w:rPr>
            </w:pPr>
          </w:p>
        </w:tc>
        <w:tc>
          <w:tcPr>
            <w:tcW w:w="1239" w:type="dxa"/>
            <w:shd w:val="clear" w:color="auto" w:fill="auto"/>
            <w:vAlign w:val="center"/>
          </w:tcPr>
          <w:p w14:paraId="28831AFD">
            <w:pPr>
              <w:jc w:val="center"/>
              <w:rPr>
                <w:color w:val="auto"/>
                <w:highlight w:val="none"/>
              </w:rPr>
            </w:pPr>
            <w:r>
              <w:rPr>
                <w:rFonts w:hint="eastAsia"/>
                <w:color w:val="auto"/>
                <w:highlight w:val="none"/>
              </w:rPr>
              <w:t>1.2…</w:t>
            </w:r>
          </w:p>
        </w:tc>
        <w:tc>
          <w:tcPr>
            <w:tcW w:w="2611" w:type="dxa"/>
            <w:shd w:val="clear" w:color="auto" w:fill="auto"/>
            <w:vAlign w:val="center"/>
          </w:tcPr>
          <w:p w14:paraId="2E3C6B11">
            <w:pPr>
              <w:jc w:val="center"/>
              <w:rPr>
                <w:color w:val="auto"/>
                <w:highlight w:val="none"/>
              </w:rPr>
            </w:pPr>
          </w:p>
        </w:tc>
        <w:tc>
          <w:tcPr>
            <w:tcW w:w="1467" w:type="dxa"/>
            <w:shd w:val="clear" w:color="auto" w:fill="auto"/>
            <w:vAlign w:val="center"/>
          </w:tcPr>
          <w:p w14:paraId="3176B3AE">
            <w:pPr>
              <w:jc w:val="center"/>
              <w:rPr>
                <w:color w:val="auto"/>
                <w:highlight w:val="none"/>
              </w:rPr>
            </w:pPr>
          </w:p>
        </w:tc>
        <w:tc>
          <w:tcPr>
            <w:tcW w:w="934" w:type="dxa"/>
            <w:shd w:val="clear" w:color="auto" w:fill="auto"/>
            <w:vAlign w:val="center"/>
          </w:tcPr>
          <w:p w14:paraId="1C6EBEFE">
            <w:pPr>
              <w:jc w:val="center"/>
              <w:rPr>
                <w:color w:val="auto"/>
                <w:highlight w:val="none"/>
              </w:rPr>
            </w:pPr>
          </w:p>
        </w:tc>
      </w:tr>
      <w:tr w14:paraId="76014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815" w:type="dxa"/>
            <w:vMerge w:val="continue"/>
            <w:tcBorders>
              <w:top w:val="nil"/>
            </w:tcBorders>
            <w:shd w:val="clear" w:color="auto" w:fill="auto"/>
            <w:vAlign w:val="center"/>
          </w:tcPr>
          <w:p w14:paraId="42A85820">
            <w:pPr>
              <w:rPr>
                <w:color w:val="auto"/>
                <w:highlight w:val="none"/>
              </w:rPr>
            </w:pPr>
          </w:p>
        </w:tc>
        <w:tc>
          <w:tcPr>
            <w:tcW w:w="1307" w:type="dxa"/>
            <w:vMerge w:val="continue"/>
            <w:tcBorders>
              <w:top w:val="nil"/>
            </w:tcBorders>
            <w:shd w:val="clear" w:color="auto" w:fill="auto"/>
            <w:vAlign w:val="center"/>
          </w:tcPr>
          <w:p w14:paraId="608D7926">
            <w:pPr>
              <w:rPr>
                <w:color w:val="auto"/>
                <w:highlight w:val="none"/>
              </w:rPr>
            </w:pPr>
          </w:p>
        </w:tc>
        <w:tc>
          <w:tcPr>
            <w:tcW w:w="1044" w:type="dxa"/>
            <w:shd w:val="clear" w:color="auto" w:fill="auto"/>
            <w:vAlign w:val="center"/>
          </w:tcPr>
          <w:p w14:paraId="30EEAFF0">
            <w:pPr>
              <w:jc w:val="center"/>
              <w:rPr>
                <w:color w:val="auto"/>
                <w:highlight w:val="none"/>
              </w:rPr>
            </w:pPr>
          </w:p>
        </w:tc>
        <w:tc>
          <w:tcPr>
            <w:tcW w:w="1239" w:type="dxa"/>
            <w:shd w:val="clear" w:color="auto" w:fill="auto"/>
            <w:vAlign w:val="center"/>
          </w:tcPr>
          <w:p w14:paraId="4002418B">
            <w:pPr>
              <w:jc w:val="center"/>
              <w:rPr>
                <w:color w:val="auto"/>
                <w:highlight w:val="none"/>
              </w:rPr>
            </w:pPr>
            <w:r>
              <w:rPr>
                <w:rFonts w:hint="eastAsia"/>
                <w:color w:val="auto"/>
                <w:highlight w:val="none"/>
              </w:rPr>
              <w:t>…</w:t>
            </w:r>
          </w:p>
        </w:tc>
        <w:tc>
          <w:tcPr>
            <w:tcW w:w="2611" w:type="dxa"/>
            <w:shd w:val="clear" w:color="auto" w:fill="auto"/>
            <w:vAlign w:val="center"/>
          </w:tcPr>
          <w:p w14:paraId="567A2A15">
            <w:pPr>
              <w:jc w:val="center"/>
              <w:rPr>
                <w:color w:val="auto"/>
                <w:highlight w:val="none"/>
              </w:rPr>
            </w:pPr>
          </w:p>
        </w:tc>
        <w:tc>
          <w:tcPr>
            <w:tcW w:w="1467" w:type="dxa"/>
            <w:shd w:val="clear" w:color="auto" w:fill="auto"/>
            <w:vAlign w:val="center"/>
          </w:tcPr>
          <w:p w14:paraId="2944DD64">
            <w:pPr>
              <w:jc w:val="center"/>
              <w:rPr>
                <w:color w:val="auto"/>
                <w:highlight w:val="none"/>
              </w:rPr>
            </w:pPr>
          </w:p>
        </w:tc>
        <w:tc>
          <w:tcPr>
            <w:tcW w:w="934" w:type="dxa"/>
            <w:shd w:val="clear" w:color="auto" w:fill="auto"/>
            <w:vAlign w:val="center"/>
          </w:tcPr>
          <w:p w14:paraId="36CB680E">
            <w:pPr>
              <w:jc w:val="center"/>
              <w:rPr>
                <w:color w:val="auto"/>
                <w:highlight w:val="none"/>
              </w:rPr>
            </w:pPr>
          </w:p>
        </w:tc>
      </w:tr>
      <w:tr w14:paraId="077A8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815" w:type="dxa"/>
            <w:vMerge w:val="restart"/>
            <w:tcBorders>
              <w:bottom w:val="nil"/>
            </w:tcBorders>
            <w:shd w:val="clear" w:color="auto" w:fill="auto"/>
            <w:vAlign w:val="center"/>
          </w:tcPr>
          <w:p w14:paraId="2CC2DD1F">
            <w:pPr>
              <w:jc w:val="center"/>
              <w:rPr>
                <w:color w:val="auto"/>
                <w:highlight w:val="none"/>
              </w:rPr>
            </w:pPr>
            <w:r>
              <w:rPr>
                <w:rFonts w:hint="eastAsia"/>
                <w:color w:val="auto"/>
                <w:highlight w:val="none"/>
              </w:rPr>
              <w:t>2</w:t>
            </w:r>
          </w:p>
        </w:tc>
        <w:tc>
          <w:tcPr>
            <w:tcW w:w="1307" w:type="dxa"/>
            <w:vMerge w:val="restart"/>
            <w:tcBorders>
              <w:bottom w:val="nil"/>
            </w:tcBorders>
            <w:shd w:val="clear" w:color="auto" w:fill="auto"/>
            <w:vAlign w:val="center"/>
          </w:tcPr>
          <w:p w14:paraId="5CE5A149">
            <w:pPr>
              <w:jc w:val="center"/>
              <w:rPr>
                <w:color w:val="auto"/>
                <w:highlight w:val="none"/>
              </w:rPr>
            </w:pPr>
          </w:p>
        </w:tc>
        <w:tc>
          <w:tcPr>
            <w:tcW w:w="1044" w:type="dxa"/>
            <w:shd w:val="clear" w:color="auto" w:fill="auto"/>
            <w:vAlign w:val="center"/>
          </w:tcPr>
          <w:p w14:paraId="4072ABDB">
            <w:pPr>
              <w:jc w:val="center"/>
              <w:rPr>
                <w:color w:val="auto"/>
                <w:highlight w:val="none"/>
              </w:rPr>
            </w:pPr>
            <w:r>
              <w:rPr>
                <w:rFonts w:hint="eastAsia"/>
                <w:color w:val="auto"/>
                <w:highlight w:val="none"/>
              </w:rPr>
              <w:t>★</w:t>
            </w:r>
          </w:p>
        </w:tc>
        <w:tc>
          <w:tcPr>
            <w:tcW w:w="1239" w:type="dxa"/>
            <w:shd w:val="clear" w:color="auto" w:fill="auto"/>
            <w:vAlign w:val="center"/>
          </w:tcPr>
          <w:p w14:paraId="75105A72">
            <w:pPr>
              <w:jc w:val="center"/>
              <w:rPr>
                <w:color w:val="auto"/>
                <w:highlight w:val="none"/>
              </w:rPr>
            </w:pPr>
            <w:r>
              <w:rPr>
                <w:rFonts w:hint="eastAsia"/>
                <w:color w:val="auto"/>
                <w:highlight w:val="none"/>
              </w:rPr>
              <w:t>2.1…</w:t>
            </w:r>
          </w:p>
        </w:tc>
        <w:tc>
          <w:tcPr>
            <w:tcW w:w="2611" w:type="dxa"/>
            <w:shd w:val="clear" w:color="auto" w:fill="auto"/>
            <w:vAlign w:val="center"/>
          </w:tcPr>
          <w:p w14:paraId="234B9DDB">
            <w:pPr>
              <w:jc w:val="center"/>
              <w:rPr>
                <w:color w:val="auto"/>
                <w:highlight w:val="none"/>
              </w:rPr>
            </w:pPr>
          </w:p>
        </w:tc>
        <w:tc>
          <w:tcPr>
            <w:tcW w:w="1467" w:type="dxa"/>
            <w:shd w:val="clear" w:color="auto" w:fill="auto"/>
            <w:vAlign w:val="center"/>
          </w:tcPr>
          <w:p w14:paraId="2BC7A6BD">
            <w:pPr>
              <w:jc w:val="center"/>
              <w:rPr>
                <w:color w:val="auto"/>
                <w:highlight w:val="none"/>
              </w:rPr>
            </w:pPr>
          </w:p>
        </w:tc>
        <w:tc>
          <w:tcPr>
            <w:tcW w:w="934" w:type="dxa"/>
            <w:shd w:val="clear" w:color="auto" w:fill="auto"/>
            <w:vAlign w:val="center"/>
          </w:tcPr>
          <w:p w14:paraId="34E71593">
            <w:pPr>
              <w:jc w:val="center"/>
              <w:rPr>
                <w:color w:val="auto"/>
                <w:highlight w:val="none"/>
              </w:rPr>
            </w:pPr>
          </w:p>
        </w:tc>
      </w:tr>
      <w:tr w14:paraId="557E6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815" w:type="dxa"/>
            <w:vMerge w:val="continue"/>
            <w:tcBorders>
              <w:top w:val="nil"/>
              <w:bottom w:val="nil"/>
            </w:tcBorders>
            <w:shd w:val="clear" w:color="auto" w:fill="auto"/>
            <w:vAlign w:val="center"/>
          </w:tcPr>
          <w:p w14:paraId="2C86C41C">
            <w:pPr>
              <w:rPr>
                <w:color w:val="auto"/>
                <w:highlight w:val="none"/>
              </w:rPr>
            </w:pPr>
          </w:p>
        </w:tc>
        <w:tc>
          <w:tcPr>
            <w:tcW w:w="1307" w:type="dxa"/>
            <w:vMerge w:val="continue"/>
            <w:tcBorders>
              <w:top w:val="nil"/>
              <w:bottom w:val="nil"/>
            </w:tcBorders>
            <w:shd w:val="clear" w:color="auto" w:fill="auto"/>
            <w:vAlign w:val="center"/>
          </w:tcPr>
          <w:p w14:paraId="3C7C268A">
            <w:pPr>
              <w:rPr>
                <w:color w:val="auto"/>
                <w:highlight w:val="none"/>
              </w:rPr>
            </w:pPr>
          </w:p>
        </w:tc>
        <w:tc>
          <w:tcPr>
            <w:tcW w:w="1044" w:type="dxa"/>
            <w:shd w:val="clear" w:color="auto" w:fill="auto"/>
            <w:vAlign w:val="center"/>
          </w:tcPr>
          <w:p w14:paraId="4E4473E7">
            <w:pPr>
              <w:jc w:val="center"/>
              <w:rPr>
                <w:color w:val="auto"/>
                <w:highlight w:val="none"/>
              </w:rPr>
            </w:pPr>
          </w:p>
        </w:tc>
        <w:tc>
          <w:tcPr>
            <w:tcW w:w="1239" w:type="dxa"/>
            <w:shd w:val="clear" w:color="auto" w:fill="auto"/>
            <w:vAlign w:val="center"/>
          </w:tcPr>
          <w:p w14:paraId="5590EEB9">
            <w:pPr>
              <w:jc w:val="center"/>
              <w:rPr>
                <w:color w:val="auto"/>
                <w:highlight w:val="none"/>
              </w:rPr>
            </w:pPr>
            <w:r>
              <w:rPr>
                <w:rFonts w:hint="eastAsia"/>
                <w:color w:val="auto"/>
                <w:highlight w:val="none"/>
              </w:rPr>
              <w:t>2.2…</w:t>
            </w:r>
          </w:p>
        </w:tc>
        <w:tc>
          <w:tcPr>
            <w:tcW w:w="2611" w:type="dxa"/>
            <w:shd w:val="clear" w:color="auto" w:fill="auto"/>
            <w:vAlign w:val="center"/>
          </w:tcPr>
          <w:p w14:paraId="05DAE997">
            <w:pPr>
              <w:jc w:val="center"/>
              <w:rPr>
                <w:color w:val="auto"/>
                <w:highlight w:val="none"/>
              </w:rPr>
            </w:pPr>
          </w:p>
        </w:tc>
        <w:tc>
          <w:tcPr>
            <w:tcW w:w="1467" w:type="dxa"/>
            <w:shd w:val="clear" w:color="auto" w:fill="auto"/>
            <w:vAlign w:val="center"/>
          </w:tcPr>
          <w:p w14:paraId="603817B6">
            <w:pPr>
              <w:jc w:val="center"/>
              <w:rPr>
                <w:color w:val="auto"/>
                <w:highlight w:val="none"/>
              </w:rPr>
            </w:pPr>
          </w:p>
        </w:tc>
        <w:tc>
          <w:tcPr>
            <w:tcW w:w="934" w:type="dxa"/>
            <w:shd w:val="clear" w:color="auto" w:fill="auto"/>
            <w:vAlign w:val="center"/>
          </w:tcPr>
          <w:p w14:paraId="240293C1">
            <w:pPr>
              <w:jc w:val="center"/>
              <w:rPr>
                <w:color w:val="auto"/>
                <w:highlight w:val="none"/>
              </w:rPr>
            </w:pPr>
          </w:p>
        </w:tc>
      </w:tr>
      <w:tr w14:paraId="68335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815" w:type="dxa"/>
            <w:vMerge w:val="continue"/>
            <w:tcBorders>
              <w:top w:val="nil"/>
            </w:tcBorders>
            <w:shd w:val="clear" w:color="auto" w:fill="auto"/>
            <w:vAlign w:val="center"/>
          </w:tcPr>
          <w:p w14:paraId="74DCAFE4">
            <w:pPr>
              <w:rPr>
                <w:color w:val="auto"/>
                <w:highlight w:val="none"/>
              </w:rPr>
            </w:pPr>
          </w:p>
        </w:tc>
        <w:tc>
          <w:tcPr>
            <w:tcW w:w="1307" w:type="dxa"/>
            <w:vMerge w:val="continue"/>
            <w:tcBorders>
              <w:top w:val="nil"/>
            </w:tcBorders>
            <w:shd w:val="clear" w:color="auto" w:fill="auto"/>
            <w:vAlign w:val="center"/>
          </w:tcPr>
          <w:p w14:paraId="3F7A9F28">
            <w:pPr>
              <w:rPr>
                <w:color w:val="auto"/>
                <w:highlight w:val="none"/>
              </w:rPr>
            </w:pPr>
          </w:p>
        </w:tc>
        <w:tc>
          <w:tcPr>
            <w:tcW w:w="1044" w:type="dxa"/>
            <w:shd w:val="clear" w:color="auto" w:fill="auto"/>
            <w:vAlign w:val="center"/>
          </w:tcPr>
          <w:p w14:paraId="51D0C6CC">
            <w:pPr>
              <w:jc w:val="center"/>
              <w:rPr>
                <w:color w:val="auto"/>
                <w:highlight w:val="none"/>
              </w:rPr>
            </w:pPr>
          </w:p>
        </w:tc>
        <w:tc>
          <w:tcPr>
            <w:tcW w:w="1239" w:type="dxa"/>
            <w:shd w:val="clear" w:color="auto" w:fill="auto"/>
            <w:vAlign w:val="center"/>
          </w:tcPr>
          <w:p w14:paraId="1B601BDB">
            <w:pPr>
              <w:jc w:val="center"/>
              <w:rPr>
                <w:color w:val="auto"/>
                <w:highlight w:val="none"/>
              </w:rPr>
            </w:pPr>
            <w:r>
              <w:rPr>
                <w:rFonts w:hint="eastAsia"/>
                <w:color w:val="auto"/>
                <w:highlight w:val="none"/>
              </w:rPr>
              <w:t>…</w:t>
            </w:r>
          </w:p>
        </w:tc>
        <w:tc>
          <w:tcPr>
            <w:tcW w:w="2611" w:type="dxa"/>
            <w:shd w:val="clear" w:color="auto" w:fill="auto"/>
            <w:vAlign w:val="center"/>
          </w:tcPr>
          <w:p w14:paraId="5356EA1D">
            <w:pPr>
              <w:jc w:val="center"/>
              <w:rPr>
                <w:color w:val="auto"/>
                <w:highlight w:val="none"/>
              </w:rPr>
            </w:pPr>
          </w:p>
        </w:tc>
        <w:tc>
          <w:tcPr>
            <w:tcW w:w="1467" w:type="dxa"/>
            <w:shd w:val="clear" w:color="auto" w:fill="auto"/>
            <w:vAlign w:val="center"/>
          </w:tcPr>
          <w:p w14:paraId="2A10BF1A">
            <w:pPr>
              <w:jc w:val="center"/>
              <w:rPr>
                <w:color w:val="auto"/>
                <w:highlight w:val="none"/>
              </w:rPr>
            </w:pPr>
          </w:p>
        </w:tc>
        <w:tc>
          <w:tcPr>
            <w:tcW w:w="934" w:type="dxa"/>
            <w:shd w:val="clear" w:color="auto" w:fill="auto"/>
            <w:vAlign w:val="center"/>
          </w:tcPr>
          <w:p w14:paraId="2C14445B">
            <w:pPr>
              <w:jc w:val="center"/>
              <w:rPr>
                <w:color w:val="auto"/>
                <w:highlight w:val="none"/>
              </w:rPr>
            </w:pPr>
          </w:p>
        </w:tc>
      </w:tr>
      <w:tr w14:paraId="0BDD8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jc w:val="center"/>
        </w:trPr>
        <w:tc>
          <w:tcPr>
            <w:tcW w:w="815" w:type="dxa"/>
            <w:shd w:val="clear" w:color="auto" w:fill="auto"/>
            <w:vAlign w:val="center"/>
          </w:tcPr>
          <w:p w14:paraId="236A955C">
            <w:pPr>
              <w:jc w:val="center"/>
              <w:rPr>
                <w:color w:val="auto"/>
                <w:highlight w:val="none"/>
              </w:rPr>
            </w:pPr>
          </w:p>
        </w:tc>
        <w:tc>
          <w:tcPr>
            <w:tcW w:w="1307" w:type="dxa"/>
            <w:shd w:val="clear" w:color="auto" w:fill="auto"/>
            <w:vAlign w:val="center"/>
          </w:tcPr>
          <w:p w14:paraId="08814EC5">
            <w:pPr>
              <w:jc w:val="center"/>
              <w:rPr>
                <w:color w:val="auto"/>
                <w:highlight w:val="none"/>
              </w:rPr>
            </w:pPr>
          </w:p>
        </w:tc>
        <w:tc>
          <w:tcPr>
            <w:tcW w:w="1044" w:type="dxa"/>
            <w:shd w:val="clear" w:color="auto" w:fill="auto"/>
            <w:vAlign w:val="center"/>
          </w:tcPr>
          <w:p w14:paraId="60B2B858">
            <w:pPr>
              <w:jc w:val="center"/>
              <w:rPr>
                <w:color w:val="auto"/>
                <w:highlight w:val="none"/>
              </w:rPr>
            </w:pPr>
          </w:p>
        </w:tc>
        <w:tc>
          <w:tcPr>
            <w:tcW w:w="1239" w:type="dxa"/>
            <w:shd w:val="clear" w:color="auto" w:fill="auto"/>
            <w:vAlign w:val="center"/>
          </w:tcPr>
          <w:p w14:paraId="6733F908">
            <w:pPr>
              <w:jc w:val="center"/>
              <w:rPr>
                <w:color w:val="auto"/>
                <w:highlight w:val="none"/>
              </w:rPr>
            </w:pPr>
          </w:p>
        </w:tc>
        <w:tc>
          <w:tcPr>
            <w:tcW w:w="2611" w:type="dxa"/>
            <w:shd w:val="clear" w:color="auto" w:fill="auto"/>
            <w:vAlign w:val="center"/>
          </w:tcPr>
          <w:p w14:paraId="43C475FE">
            <w:pPr>
              <w:jc w:val="center"/>
              <w:rPr>
                <w:color w:val="auto"/>
                <w:highlight w:val="none"/>
              </w:rPr>
            </w:pPr>
          </w:p>
        </w:tc>
        <w:tc>
          <w:tcPr>
            <w:tcW w:w="1467" w:type="dxa"/>
            <w:shd w:val="clear" w:color="auto" w:fill="auto"/>
            <w:vAlign w:val="center"/>
          </w:tcPr>
          <w:p w14:paraId="0715D39C">
            <w:pPr>
              <w:jc w:val="center"/>
              <w:rPr>
                <w:color w:val="auto"/>
                <w:highlight w:val="none"/>
              </w:rPr>
            </w:pPr>
          </w:p>
        </w:tc>
        <w:tc>
          <w:tcPr>
            <w:tcW w:w="934" w:type="dxa"/>
            <w:shd w:val="clear" w:color="auto" w:fill="auto"/>
            <w:vAlign w:val="center"/>
          </w:tcPr>
          <w:p w14:paraId="62BFC22C">
            <w:pPr>
              <w:jc w:val="center"/>
              <w:rPr>
                <w:color w:val="auto"/>
                <w:highlight w:val="none"/>
              </w:rPr>
            </w:pPr>
          </w:p>
        </w:tc>
      </w:tr>
    </w:tbl>
    <w:p w14:paraId="40F423DB">
      <w:pPr>
        <w:kinsoku/>
        <w:spacing w:before="240" w:beforeLines="100" w:line="360" w:lineRule="auto"/>
        <w:ind w:firstLine="480" w:firstLineChars="200"/>
        <w:rPr>
          <w:rFonts w:ascii="宋体" w:eastAsia="宋体" w:cs="宋体"/>
          <w:color w:val="auto"/>
          <w:sz w:val="24"/>
          <w:szCs w:val="24"/>
          <w:highlight w:val="none"/>
        </w:rPr>
      </w:pPr>
      <w:r>
        <w:rPr>
          <w:rFonts w:hint="eastAsia" w:ascii="宋体" w:eastAsia="宋体" w:cs="宋体"/>
          <w:color w:val="auto"/>
          <w:sz w:val="24"/>
          <w:szCs w:val="24"/>
          <w:highlight w:val="none"/>
        </w:rPr>
        <w:t>说明：</w:t>
      </w:r>
    </w:p>
    <w:p w14:paraId="75653A42">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1.“技术要求”栏应详细列明磋商文件中的技术要求。</w:t>
      </w:r>
    </w:p>
    <w:p w14:paraId="4031A2AA">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2.“响应内容”栏填写供应商对磋商文件提出的技术要求作出的明确响应，并列明具体响应数值或内容，只注明符合、满足等无具体内容表述的，将视为未实质性满足磋商文件要求。</w:t>
      </w:r>
    </w:p>
    <w:p w14:paraId="0EACFDE7">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3.“偏离程度”栏填写满足、响应或正偏离、负偏离。</w:t>
      </w:r>
    </w:p>
    <w:p w14:paraId="55C46F8A">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4.“备注”栏填写偏离情况的具体说明。</w:t>
      </w:r>
    </w:p>
    <w:p w14:paraId="3CEB0D35">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5.本表填写内容与分项报价明细表不一致的，以分项报价明细表内容为准。</w:t>
      </w:r>
    </w:p>
    <w:p w14:paraId="3280C041">
      <w:pPr>
        <w:kinsoku/>
        <w:spacing w:line="360" w:lineRule="auto"/>
        <w:ind w:firstLine="480" w:firstLineChars="200"/>
        <w:rPr>
          <w:rFonts w:ascii="宋体" w:eastAsia="宋体" w:cs="宋体"/>
          <w:color w:val="auto"/>
          <w:sz w:val="24"/>
          <w:szCs w:val="24"/>
          <w:highlight w:val="none"/>
          <w:lang w:eastAsia="zh-CN"/>
        </w:rPr>
        <w:sectPr>
          <w:footerReference r:id="rId26" w:type="default"/>
          <w:pgSz w:w="11906" w:h="16838"/>
          <w:pgMar w:top="1440" w:right="1080" w:bottom="1440" w:left="1080" w:header="0" w:footer="850" w:gutter="0"/>
          <w:pgNumType w:fmt="decimal"/>
          <w:cols w:space="0" w:num="1"/>
          <w:rtlGutter w:val="0"/>
          <w:docGrid w:linePitch="312" w:charSpace="0"/>
        </w:sectPr>
      </w:pPr>
    </w:p>
    <w:p w14:paraId="29374A5D">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（以下格式文件由供应商根据需要选用）</w:t>
      </w:r>
    </w:p>
    <w:p w14:paraId="7D474F24">
      <w:pPr>
        <w:kinsoku/>
        <w:spacing w:line="360" w:lineRule="auto"/>
        <w:ind w:left="0" w:leftChars="0" w:right="0" w:rightChars="0" w:firstLine="0" w:firstLineChars="0"/>
        <w:jc w:val="center"/>
        <w:outlineLvl w:val="1"/>
        <w:rPr>
          <w:rFonts w:ascii="宋体" w:eastAsia="宋体" w:cs="宋体"/>
          <w:b/>
          <w:bCs/>
          <w:color w:val="auto"/>
          <w:sz w:val="28"/>
          <w:szCs w:val="28"/>
          <w:highlight w:val="none"/>
          <w:lang w:eastAsia="zh-CN"/>
        </w:rPr>
      </w:pPr>
      <w:bookmarkStart w:id="61" w:name="_Toc3454"/>
      <w:r>
        <w:rPr>
          <w:rFonts w:hint="eastAsia" w:ascii="宋体" w:eastAsia="宋体" w:cs="宋体"/>
          <w:b/>
          <w:bCs/>
          <w:color w:val="auto"/>
          <w:sz w:val="28"/>
          <w:szCs w:val="28"/>
          <w:highlight w:val="none"/>
          <w:lang w:eastAsia="zh-CN"/>
        </w:rPr>
        <w:t>十八、项目组成人员一览表</w:t>
      </w:r>
      <w:bookmarkEnd w:id="61"/>
    </w:p>
    <w:tbl>
      <w:tblPr>
        <w:tblStyle w:val="21"/>
        <w:tblW w:w="95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8"/>
        <w:gridCol w:w="1066"/>
        <w:gridCol w:w="2233"/>
        <w:gridCol w:w="765"/>
        <w:gridCol w:w="2061"/>
        <w:gridCol w:w="1256"/>
        <w:gridCol w:w="1258"/>
      </w:tblGrid>
      <w:tr w14:paraId="4B842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jc w:val="center"/>
        </w:trPr>
        <w:tc>
          <w:tcPr>
            <w:tcW w:w="918" w:type="dxa"/>
            <w:shd w:val="clear" w:color="auto" w:fill="auto"/>
            <w:vAlign w:val="center"/>
          </w:tcPr>
          <w:p w14:paraId="5EFF03E7">
            <w:pPr>
              <w:jc w:val="center"/>
              <w:rPr>
                <w:rFonts w:ascii="宋体" w:eastAsia="宋体" w:cs="宋体"/>
                <w:color w:val="auto"/>
                <w:sz w:val="24"/>
                <w:szCs w:val="24"/>
                <w:highlight w:val="none"/>
              </w:rPr>
            </w:pPr>
            <w:r>
              <w:rPr>
                <w:rFonts w:hint="eastAsia" w:ascii="宋体" w:eastAsia="宋体" w:cs="宋体"/>
                <w:color w:val="auto"/>
                <w:sz w:val="24"/>
                <w:szCs w:val="24"/>
                <w:highlight w:val="none"/>
              </w:rPr>
              <w:t>序号</w:t>
            </w:r>
          </w:p>
        </w:tc>
        <w:tc>
          <w:tcPr>
            <w:tcW w:w="1066" w:type="dxa"/>
            <w:shd w:val="clear" w:color="auto" w:fill="auto"/>
            <w:vAlign w:val="center"/>
          </w:tcPr>
          <w:p w14:paraId="4EB97B0D">
            <w:pPr>
              <w:jc w:val="center"/>
              <w:rPr>
                <w:rFonts w:ascii="宋体" w:eastAsia="宋体" w:cs="宋体"/>
                <w:color w:val="auto"/>
                <w:sz w:val="24"/>
                <w:szCs w:val="24"/>
                <w:highlight w:val="none"/>
              </w:rPr>
            </w:pPr>
            <w:r>
              <w:rPr>
                <w:rFonts w:hint="eastAsia" w:ascii="宋体" w:eastAsia="宋体" w:cs="宋体"/>
                <w:color w:val="auto"/>
                <w:sz w:val="24"/>
                <w:szCs w:val="24"/>
                <w:highlight w:val="none"/>
              </w:rPr>
              <w:t>姓名</w:t>
            </w:r>
          </w:p>
        </w:tc>
        <w:tc>
          <w:tcPr>
            <w:tcW w:w="2233" w:type="dxa"/>
            <w:shd w:val="clear" w:color="auto" w:fill="auto"/>
            <w:vAlign w:val="center"/>
          </w:tcPr>
          <w:p w14:paraId="3486A7F4">
            <w:pPr>
              <w:jc w:val="center"/>
              <w:rPr>
                <w:rFonts w:ascii="宋体" w:eastAsia="宋体" w:cs="宋体"/>
                <w:color w:val="auto"/>
                <w:sz w:val="24"/>
                <w:szCs w:val="24"/>
                <w:highlight w:val="none"/>
              </w:rPr>
            </w:pPr>
            <w:r>
              <w:rPr>
                <w:rFonts w:hint="eastAsia" w:ascii="宋体" w:eastAsia="宋体" w:cs="宋体"/>
                <w:color w:val="auto"/>
                <w:sz w:val="24"/>
                <w:szCs w:val="24"/>
                <w:highlight w:val="none"/>
              </w:rPr>
              <w:t>本项目拟任职务</w:t>
            </w:r>
          </w:p>
        </w:tc>
        <w:tc>
          <w:tcPr>
            <w:tcW w:w="765" w:type="dxa"/>
            <w:shd w:val="clear" w:color="auto" w:fill="auto"/>
            <w:vAlign w:val="center"/>
          </w:tcPr>
          <w:p w14:paraId="1962DAAA">
            <w:pPr>
              <w:jc w:val="center"/>
              <w:rPr>
                <w:rFonts w:ascii="宋体" w:eastAsia="宋体" w:cs="宋体"/>
                <w:color w:val="auto"/>
                <w:sz w:val="24"/>
                <w:szCs w:val="24"/>
                <w:highlight w:val="none"/>
              </w:rPr>
            </w:pPr>
            <w:r>
              <w:rPr>
                <w:rFonts w:hint="eastAsia" w:ascii="宋体" w:eastAsia="宋体" w:cs="宋体"/>
                <w:color w:val="auto"/>
                <w:sz w:val="24"/>
                <w:szCs w:val="24"/>
                <w:highlight w:val="none"/>
              </w:rPr>
              <w:t>学历</w:t>
            </w:r>
          </w:p>
        </w:tc>
        <w:tc>
          <w:tcPr>
            <w:tcW w:w="2061" w:type="dxa"/>
            <w:shd w:val="clear" w:color="auto" w:fill="auto"/>
            <w:vAlign w:val="center"/>
          </w:tcPr>
          <w:p w14:paraId="6FB2BA2E">
            <w:pPr>
              <w:jc w:val="center"/>
              <w:rPr>
                <w:rFonts w:ascii="宋体" w:eastAsia="宋体" w:cs="宋体"/>
                <w:color w:val="auto"/>
                <w:sz w:val="24"/>
                <w:szCs w:val="24"/>
                <w:highlight w:val="none"/>
              </w:rPr>
            </w:pPr>
            <w:r>
              <w:rPr>
                <w:rFonts w:hint="eastAsia" w:ascii="宋体" w:eastAsia="宋体" w:cs="宋体"/>
                <w:color w:val="auto"/>
                <w:sz w:val="24"/>
                <w:szCs w:val="24"/>
                <w:highlight w:val="none"/>
              </w:rPr>
              <w:t>职称或执业资格</w:t>
            </w:r>
          </w:p>
        </w:tc>
        <w:tc>
          <w:tcPr>
            <w:tcW w:w="1256" w:type="dxa"/>
            <w:shd w:val="clear" w:color="auto" w:fill="auto"/>
            <w:vAlign w:val="center"/>
          </w:tcPr>
          <w:p w14:paraId="423BC790">
            <w:pPr>
              <w:jc w:val="center"/>
              <w:rPr>
                <w:rFonts w:ascii="宋体" w:eastAsia="宋体" w:cs="宋体"/>
                <w:color w:val="auto"/>
                <w:sz w:val="24"/>
                <w:szCs w:val="24"/>
                <w:highlight w:val="none"/>
              </w:rPr>
            </w:pPr>
            <w:r>
              <w:rPr>
                <w:rFonts w:hint="eastAsia" w:ascii="宋体" w:eastAsia="宋体" w:cs="宋体"/>
                <w:color w:val="auto"/>
                <w:sz w:val="24"/>
                <w:szCs w:val="24"/>
                <w:highlight w:val="none"/>
              </w:rPr>
              <w:t>身份证号</w:t>
            </w:r>
          </w:p>
        </w:tc>
        <w:tc>
          <w:tcPr>
            <w:tcW w:w="1258" w:type="dxa"/>
            <w:shd w:val="clear" w:color="auto" w:fill="auto"/>
            <w:vAlign w:val="center"/>
          </w:tcPr>
          <w:p w14:paraId="1552CF6B">
            <w:pPr>
              <w:jc w:val="center"/>
              <w:rPr>
                <w:rFonts w:ascii="宋体" w:eastAsia="宋体" w:cs="宋体"/>
                <w:color w:val="auto"/>
                <w:sz w:val="24"/>
                <w:szCs w:val="24"/>
                <w:highlight w:val="none"/>
              </w:rPr>
            </w:pPr>
            <w:r>
              <w:rPr>
                <w:rFonts w:hint="eastAsia" w:ascii="宋体" w:eastAsia="宋体" w:cs="宋体"/>
                <w:color w:val="auto"/>
                <w:sz w:val="24"/>
                <w:szCs w:val="24"/>
                <w:highlight w:val="none"/>
              </w:rPr>
              <w:t>联系电话</w:t>
            </w:r>
          </w:p>
        </w:tc>
      </w:tr>
      <w:tr w14:paraId="366D4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918" w:type="dxa"/>
            <w:shd w:val="clear" w:color="auto" w:fill="auto"/>
            <w:vAlign w:val="center"/>
          </w:tcPr>
          <w:p w14:paraId="17C03DB9">
            <w:pPr>
              <w:jc w:val="center"/>
              <w:rPr>
                <w:rFonts w:ascii="宋体" w:eastAsia="宋体" w:cs="宋体"/>
                <w:color w:val="auto"/>
                <w:sz w:val="24"/>
                <w:szCs w:val="24"/>
                <w:highlight w:val="none"/>
              </w:rPr>
            </w:pPr>
            <w:r>
              <w:rPr>
                <w:rFonts w:hint="eastAsia" w:ascii="宋体" w:eastAsia="宋体" w:cs="宋体"/>
                <w:color w:val="auto"/>
                <w:sz w:val="24"/>
                <w:szCs w:val="24"/>
                <w:highlight w:val="none"/>
              </w:rPr>
              <w:t>1</w:t>
            </w:r>
          </w:p>
        </w:tc>
        <w:tc>
          <w:tcPr>
            <w:tcW w:w="1066" w:type="dxa"/>
            <w:shd w:val="clear" w:color="auto" w:fill="auto"/>
            <w:vAlign w:val="center"/>
          </w:tcPr>
          <w:p w14:paraId="12EC4B92">
            <w:pPr>
              <w:jc w:val="center"/>
              <w:rPr>
                <w:rFonts w:ascii="宋体" w:eastAsia="宋体" w:cs="宋体"/>
                <w:color w:val="auto"/>
                <w:sz w:val="24"/>
                <w:szCs w:val="24"/>
                <w:highlight w:val="none"/>
              </w:rPr>
            </w:pPr>
          </w:p>
        </w:tc>
        <w:tc>
          <w:tcPr>
            <w:tcW w:w="2233" w:type="dxa"/>
            <w:shd w:val="clear" w:color="auto" w:fill="auto"/>
            <w:vAlign w:val="center"/>
          </w:tcPr>
          <w:p w14:paraId="0B93A49E">
            <w:pPr>
              <w:jc w:val="center"/>
              <w:rPr>
                <w:rFonts w:ascii="宋体" w:eastAsia="宋体" w:cs="宋体"/>
                <w:color w:val="auto"/>
                <w:sz w:val="24"/>
                <w:szCs w:val="24"/>
                <w:highlight w:val="none"/>
              </w:rPr>
            </w:pPr>
          </w:p>
        </w:tc>
        <w:tc>
          <w:tcPr>
            <w:tcW w:w="765" w:type="dxa"/>
            <w:shd w:val="clear" w:color="auto" w:fill="auto"/>
            <w:vAlign w:val="center"/>
          </w:tcPr>
          <w:p w14:paraId="5E1A1DB2">
            <w:pPr>
              <w:jc w:val="center"/>
              <w:rPr>
                <w:rFonts w:ascii="宋体" w:eastAsia="宋体" w:cs="宋体"/>
                <w:color w:val="auto"/>
                <w:sz w:val="24"/>
                <w:szCs w:val="24"/>
                <w:highlight w:val="none"/>
              </w:rPr>
            </w:pPr>
          </w:p>
        </w:tc>
        <w:tc>
          <w:tcPr>
            <w:tcW w:w="2061" w:type="dxa"/>
            <w:shd w:val="clear" w:color="auto" w:fill="auto"/>
            <w:vAlign w:val="center"/>
          </w:tcPr>
          <w:p w14:paraId="77784C2D">
            <w:pPr>
              <w:jc w:val="center"/>
              <w:rPr>
                <w:rFonts w:ascii="宋体" w:eastAsia="宋体" w:cs="宋体"/>
                <w:color w:val="auto"/>
                <w:sz w:val="24"/>
                <w:szCs w:val="24"/>
                <w:highlight w:val="none"/>
              </w:rPr>
            </w:pPr>
          </w:p>
        </w:tc>
        <w:tc>
          <w:tcPr>
            <w:tcW w:w="1256" w:type="dxa"/>
            <w:shd w:val="clear" w:color="auto" w:fill="auto"/>
            <w:vAlign w:val="center"/>
          </w:tcPr>
          <w:p w14:paraId="26AD820E">
            <w:pPr>
              <w:jc w:val="center"/>
              <w:rPr>
                <w:rFonts w:ascii="宋体" w:eastAsia="宋体" w:cs="宋体"/>
                <w:color w:val="auto"/>
                <w:sz w:val="24"/>
                <w:szCs w:val="24"/>
                <w:highlight w:val="none"/>
              </w:rPr>
            </w:pPr>
          </w:p>
        </w:tc>
        <w:tc>
          <w:tcPr>
            <w:tcW w:w="1258" w:type="dxa"/>
            <w:shd w:val="clear" w:color="auto" w:fill="auto"/>
            <w:vAlign w:val="center"/>
          </w:tcPr>
          <w:p w14:paraId="2F0935F1">
            <w:pPr>
              <w:jc w:val="center"/>
              <w:rPr>
                <w:rFonts w:ascii="宋体" w:eastAsia="宋体" w:cs="宋体"/>
                <w:color w:val="auto"/>
                <w:sz w:val="24"/>
                <w:szCs w:val="24"/>
                <w:highlight w:val="none"/>
              </w:rPr>
            </w:pPr>
          </w:p>
        </w:tc>
      </w:tr>
      <w:tr w14:paraId="349B5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918" w:type="dxa"/>
            <w:shd w:val="clear" w:color="auto" w:fill="auto"/>
            <w:vAlign w:val="center"/>
          </w:tcPr>
          <w:p w14:paraId="324026A8">
            <w:pPr>
              <w:jc w:val="center"/>
              <w:rPr>
                <w:rFonts w:ascii="宋体" w:eastAsia="宋体" w:cs="宋体"/>
                <w:color w:val="auto"/>
                <w:sz w:val="24"/>
                <w:szCs w:val="24"/>
                <w:highlight w:val="none"/>
              </w:rPr>
            </w:pPr>
            <w:r>
              <w:rPr>
                <w:rFonts w:hint="eastAsia" w:ascii="宋体" w:eastAsia="宋体" w:cs="宋体"/>
                <w:color w:val="auto"/>
                <w:sz w:val="24"/>
                <w:szCs w:val="24"/>
                <w:highlight w:val="none"/>
              </w:rPr>
              <w:t>2</w:t>
            </w:r>
          </w:p>
        </w:tc>
        <w:tc>
          <w:tcPr>
            <w:tcW w:w="1066" w:type="dxa"/>
            <w:shd w:val="clear" w:color="auto" w:fill="auto"/>
            <w:vAlign w:val="center"/>
          </w:tcPr>
          <w:p w14:paraId="71C10A4D">
            <w:pPr>
              <w:jc w:val="center"/>
              <w:rPr>
                <w:rFonts w:ascii="宋体" w:eastAsia="宋体" w:cs="宋体"/>
                <w:color w:val="auto"/>
                <w:sz w:val="24"/>
                <w:szCs w:val="24"/>
                <w:highlight w:val="none"/>
              </w:rPr>
            </w:pPr>
          </w:p>
        </w:tc>
        <w:tc>
          <w:tcPr>
            <w:tcW w:w="2233" w:type="dxa"/>
            <w:shd w:val="clear" w:color="auto" w:fill="auto"/>
            <w:vAlign w:val="center"/>
          </w:tcPr>
          <w:p w14:paraId="2D609038">
            <w:pPr>
              <w:jc w:val="center"/>
              <w:rPr>
                <w:rFonts w:ascii="宋体" w:eastAsia="宋体" w:cs="宋体"/>
                <w:color w:val="auto"/>
                <w:sz w:val="24"/>
                <w:szCs w:val="24"/>
                <w:highlight w:val="none"/>
              </w:rPr>
            </w:pPr>
          </w:p>
        </w:tc>
        <w:tc>
          <w:tcPr>
            <w:tcW w:w="765" w:type="dxa"/>
            <w:shd w:val="clear" w:color="auto" w:fill="auto"/>
            <w:vAlign w:val="center"/>
          </w:tcPr>
          <w:p w14:paraId="14D156D2">
            <w:pPr>
              <w:jc w:val="center"/>
              <w:rPr>
                <w:rFonts w:ascii="宋体" w:eastAsia="宋体" w:cs="宋体"/>
                <w:color w:val="auto"/>
                <w:sz w:val="24"/>
                <w:szCs w:val="24"/>
                <w:highlight w:val="none"/>
              </w:rPr>
            </w:pPr>
          </w:p>
        </w:tc>
        <w:tc>
          <w:tcPr>
            <w:tcW w:w="2061" w:type="dxa"/>
            <w:shd w:val="clear" w:color="auto" w:fill="auto"/>
            <w:vAlign w:val="center"/>
          </w:tcPr>
          <w:p w14:paraId="13353DD0">
            <w:pPr>
              <w:jc w:val="center"/>
              <w:rPr>
                <w:rFonts w:ascii="宋体" w:eastAsia="宋体" w:cs="宋体"/>
                <w:color w:val="auto"/>
                <w:sz w:val="24"/>
                <w:szCs w:val="24"/>
                <w:highlight w:val="none"/>
              </w:rPr>
            </w:pPr>
          </w:p>
        </w:tc>
        <w:tc>
          <w:tcPr>
            <w:tcW w:w="1256" w:type="dxa"/>
            <w:shd w:val="clear" w:color="auto" w:fill="auto"/>
            <w:vAlign w:val="center"/>
          </w:tcPr>
          <w:p w14:paraId="29D87297">
            <w:pPr>
              <w:jc w:val="center"/>
              <w:rPr>
                <w:rFonts w:ascii="宋体" w:eastAsia="宋体" w:cs="宋体"/>
                <w:color w:val="auto"/>
                <w:sz w:val="24"/>
                <w:szCs w:val="24"/>
                <w:highlight w:val="none"/>
              </w:rPr>
            </w:pPr>
          </w:p>
        </w:tc>
        <w:tc>
          <w:tcPr>
            <w:tcW w:w="1258" w:type="dxa"/>
            <w:shd w:val="clear" w:color="auto" w:fill="auto"/>
            <w:vAlign w:val="center"/>
          </w:tcPr>
          <w:p w14:paraId="738A1B04">
            <w:pPr>
              <w:jc w:val="center"/>
              <w:rPr>
                <w:rFonts w:ascii="宋体" w:eastAsia="宋体" w:cs="宋体"/>
                <w:color w:val="auto"/>
                <w:sz w:val="24"/>
                <w:szCs w:val="24"/>
                <w:highlight w:val="none"/>
              </w:rPr>
            </w:pPr>
          </w:p>
        </w:tc>
      </w:tr>
      <w:tr w14:paraId="1A228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918" w:type="dxa"/>
            <w:shd w:val="clear" w:color="auto" w:fill="auto"/>
            <w:vAlign w:val="center"/>
          </w:tcPr>
          <w:p w14:paraId="1A558B03">
            <w:pPr>
              <w:jc w:val="center"/>
              <w:rPr>
                <w:rFonts w:ascii="宋体" w:eastAsia="宋体" w:cs="宋体"/>
                <w:color w:val="auto"/>
                <w:sz w:val="24"/>
                <w:szCs w:val="24"/>
                <w:highlight w:val="none"/>
              </w:rPr>
            </w:pPr>
            <w:r>
              <w:rPr>
                <w:rFonts w:hint="eastAsia" w:ascii="宋体" w:eastAsia="宋体" w:cs="宋体"/>
                <w:color w:val="auto"/>
                <w:sz w:val="24"/>
                <w:szCs w:val="24"/>
                <w:highlight w:val="none"/>
              </w:rPr>
              <w:t>3</w:t>
            </w:r>
          </w:p>
        </w:tc>
        <w:tc>
          <w:tcPr>
            <w:tcW w:w="1066" w:type="dxa"/>
            <w:shd w:val="clear" w:color="auto" w:fill="auto"/>
            <w:vAlign w:val="center"/>
          </w:tcPr>
          <w:p w14:paraId="5B742AF1">
            <w:pPr>
              <w:jc w:val="center"/>
              <w:rPr>
                <w:rFonts w:ascii="宋体" w:eastAsia="宋体" w:cs="宋体"/>
                <w:color w:val="auto"/>
                <w:sz w:val="24"/>
                <w:szCs w:val="24"/>
                <w:highlight w:val="none"/>
              </w:rPr>
            </w:pPr>
          </w:p>
        </w:tc>
        <w:tc>
          <w:tcPr>
            <w:tcW w:w="2233" w:type="dxa"/>
            <w:shd w:val="clear" w:color="auto" w:fill="auto"/>
            <w:vAlign w:val="center"/>
          </w:tcPr>
          <w:p w14:paraId="3537E06D">
            <w:pPr>
              <w:jc w:val="center"/>
              <w:rPr>
                <w:rFonts w:ascii="宋体" w:eastAsia="宋体" w:cs="宋体"/>
                <w:color w:val="auto"/>
                <w:sz w:val="24"/>
                <w:szCs w:val="24"/>
                <w:highlight w:val="none"/>
              </w:rPr>
            </w:pPr>
          </w:p>
        </w:tc>
        <w:tc>
          <w:tcPr>
            <w:tcW w:w="765" w:type="dxa"/>
            <w:shd w:val="clear" w:color="auto" w:fill="auto"/>
            <w:vAlign w:val="center"/>
          </w:tcPr>
          <w:p w14:paraId="2FB027A2">
            <w:pPr>
              <w:jc w:val="center"/>
              <w:rPr>
                <w:rFonts w:ascii="宋体" w:eastAsia="宋体" w:cs="宋体"/>
                <w:color w:val="auto"/>
                <w:sz w:val="24"/>
                <w:szCs w:val="24"/>
                <w:highlight w:val="none"/>
              </w:rPr>
            </w:pPr>
          </w:p>
        </w:tc>
        <w:tc>
          <w:tcPr>
            <w:tcW w:w="2061" w:type="dxa"/>
            <w:shd w:val="clear" w:color="auto" w:fill="auto"/>
            <w:vAlign w:val="center"/>
          </w:tcPr>
          <w:p w14:paraId="49F0503F">
            <w:pPr>
              <w:jc w:val="center"/>
              <w:rPr>
                <w:rFonts w:ascii="宋体" w:eastAsia="宋体" w:cs="宋体"/>
                <w:color w:val="auto"/>
                <w:sz w:val="24"/>
                <w:szCs w:val="24"/>
                <w:highlight w:val="none"/>
              </w:rPr>
            </w:pPr>
          </w:p>
        </w:tc>
        <w:tc>
          <w:tcPr>
            <w:tcW w:w="1256" w:type="dxa"/>
            <w:shd w:val="clear" w:color="auto" w:fill="auto"/>
            <w:vAlign w:val="center"/>
          </w:tcPr>
          <w:p w14:paraId="0277A7A3">
            <w:pPr>
              <w:jc w:val="center"/>
              <w:rPr>
                <w:rFonts w:ascii="宋体" w:eastAsia="宋体" w:cs="宋体"/>
                <w:color w:val="auto"/>
                <w:sz w:val="24"/>
                <w:szCs w:val="24"/>
                <w:highlight w:val="none"/>
              </w:rPr>
            </w:pPr>
          </w:p>
        </w:tc>
        <w:tc>
          <w:tcPr>
            <w:tcW w:w="1258" w:type="dxa"/>
            <w:shd w:val="clear" w:color="auto" w:fill="auto"/>
            <w:vAlign w:val="center"/>
          </w:tcPr>
          <w:p w14:paraId="1D0A9E60">
            <w:pPr>
              <w:jc w:val="center"/>
              <w:rPr>
                <w:rFonts w:ascii="宋体" w:eastAsia="宋体" w:cs="宋体"/>
                <w:color w:val="auto"/>
                <w:sz w:val="24"/>
                <w:szCs w:val="24"/>
                <w:highlight w:val="none"/>
              </w:rPr>
            </w:pPr>
          </w:p>
        </w:tc>
      </w:tr>
      <w:tr w14:paraId="21EC2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jc w:val="center"/>
        </w:trPr>
        <w:tc>
          <w:tcPr>
            <w:tcW w:w="918" w:type="dxa"/>
            <w:shd w:val="clear" w:color="auto" w:fill="auto"/>
            <w:vAlign w:val="center"/>
          </w:tcPr>
          <w:p w14:paraId="1B53F318">
            <w:pPr>
              <w:jc w:val="center"/>
              <w:rPr>
                <w:rFonts w:ascii="宋体" w:eastAsia="宋体" w:cs="宋体"/>
                <w:color w:val="auto"/>
                <w:sz w:val="24"/>
                <w:szCs w:val="24"/>
                <w:highlight w:val="none"/>
              </w:rPr>
            </w:pPr>
            <w:r>
              <w:rPr>
                <w:rFonts w:hint="eastAsia" w:ascii="宋体" w:eastAsia="宋体" w:cs="宋体"/>
                <w:color w:val="auto"/>
                <w:sz w:val="24"/>
                <w:szCs w:val="24"/>
                <w:highlight w:val="none"/>
              </w:rPr>
              <w:t>…</w:t>
            </w:r>
          </w:p>
        </w:tc>
        <w:tc>
          <w:tcPr>
            <w:tcW w:w="1066" w:type="dxa"/>
            <w:shd w:val="clear" w:color="auto" w:fill="auto"/>
            <w:vAlign w:val="center"/>
          </w:tcPr>
          <w:p w14:paraId="779663AA">
            <w:pPr>
              <w:jc w:val="center"/>
              <w:rPr>
                <w:rFonts w:ascii="宋体" w:eastAsia="宋体" w:cs="宋体"/>
                <w:color w:val="auto"/>
                <w:sz w:val="24"/>
                <w:szCs w:val="24"/>
                <w:highlight w:val="none"/>
              </w:rPr>
            </w:pPr>
          </w:p>
        </w:tc>
        <w:tc>
          <w:tcPr>
            <w:tcW w:w="2233" w:type="dxa"/>
            <w:shd w:val="clear" w:color="auto" w:fill="auto"/>
            <w:vAlign w:val="center"/>
          </w:tcPr>
          <w:p w14:paraId="411C6517">
            <w:pPr>
              <w:jc w:val="center"/>
              <w:rPr>
                <w:rFonts w:ascii="宋体" w:eastAsia="宋体" w:cs="宋体"/>
                <w:color w:val="auto"/>
                <w:sz w:val="24"/>
                <w:szCs w:val="24"/>
                <w:highlight w:val="none"/>
              </w:rPr>
            </w:pPr>
          </w:p>
        </w:tc>
        <w:tc>
          <w:tcPr>
            <w:tcW w:w="765" w:type="dxa"/>
            <w:shd w:val="clear" w:color="auto" w:fill="auto"/>
            <w:vAlign w:val="center"/>
          </w:tcPr>
          <w:p w14:paraId="28675A64">
            <w:pPr>
              <w:jc w:val="center"/>
              <w:rPr>
                <w:rFonts w:ascii="宋体" w:eastAsia="宋体" w:cs="宋体"/>
                <w:color w:val="auto"/>
                <w:sz w:val="24"/>
                <w:szCs w:val="24"/>
                <w:highlight w:val="none"/>
              </w:rPr>
            </w:pPr>
          </w:p>
        </w:tc>
        <w:tc>
          <w:tcPr>
            <w:tcW w:w="2061" w:type="dxa"/>
            <w:shd w:val="clear" w:color="auto" w:fill="auto"/>
            <w:vAlign w:val="center"/>
          </w:tcPr>
          <w:p w14:paraId="66B53183">
            <w:pPr>
              <w:jc w:val="center"/>
              <w:rPr>
                <w:rFonts w:ascii="宋体" w:eastAsia="宋体" w:cs="宋体"/>
                <w:color w:val="auto"/>
                <w:sz w:val="24"/>
                <w:szCs w:val="24"/>
                <w:highlight w:val="none"/>
              </w:rPr>
            </w:pPr>
          </w:p>
        </w:tc>
        <w:tc>
          <w:tcPr>
            <w:tcW w:w="1256" w:type="dxa"/>
            <w:shd w:val="clear" w:color="auto" w:fill="auto"/>
            <w:vAlign w:val="center"/>
          </w:tcPr>
          <w:p w14:paraId="1523F7B9">
            <w:pPr>
              <w:jc w:val="center"/>
              <w:rPr>
                <w:rFonts w:ascii="宋体" w:eastAsia="宋体" w:cs="宋体"/>
                <w:color w:val="auto"/>
                <w:sz w:val="24"/>
                <w:szCs w:val="24"/>
                <w:highlight w:val="none"/>
              </w:rPr>
            </w:pPr>
          </w:p>
        </w:tc>
        <w:tc>
          <w:tcPr>
            <w:tcW w:w="1258" w:type="dxa"/>
            <w:shd w:val="clear" w:color="auto" w:fill="auto"/>
            <w:vAlign w:val="center"/>
          </w:tcPr>
          <w:p w14:paraId="7E5FA126">
            <w:pPr>
              <w:jc w:val="center"/>
              <w:rPr>
                <w:rFonts w:ascii="宋体" w:eastAsia="宋体" w:cs="宋体"/>
                <w:color w:val="auto"/>
                <w:sz w:val="24"/>
                <w:szCs w:val="24"/>
                <w:highlight w:val="none"/>
              </w:rPr>
            </w:pPr>
          </w:p>
        </w:tc>
      </w:tr>
    </w:tbl>
    <w:p w14:paraId="674E0193">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根据上述人员情况及磋商文件要求在本表后附相关证明材料。</w:t>
      </w:r>
    </w:p>
    <w:p w14:paraId="247FC804">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说明：</w:t>
      </w:r>
    </w:p>
    <w:p w14:paraId="734BC801">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1.“本项目拟任职务”栏可包括：项目负责人、项目联系人、项目服务人员或技术人员等。</w:t>
      </w:r>
    </w:p>
    <w:p w14:paraId="34B4D4C5">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2.如供应商成交，须按本表项目组成人员操作，不得随意更换。</w:t>
      </w:r>
    </w:p>
    <w:p w14:paraId="16C24558">
      <w:pPr>
        <w:kinsoku/>
        <w:spacing w:line="360" w:lineRule="auto"/>
        <w:ind w:firstLine="480" w:firstLineChars="200"/>
        <w:rPr>
          <w:rFonts w:ascii="宋体" w:eastAsia="宋体" w:cs="宋体"/>
          <w:color w:val="auto"/>
          <w:sz w:val="24"/>
          <w:szCs w:val="24"/>
          <w:highlight w:val="none"/>
          <w:lang w:eastAsia="zh-CN"/>
        </w:rPr>
        <w:sectPr>
          <w:footerReference r:id="rId27" w:type="default"/>
          <w:pgSz w:w="11906" w:h="16838"/>
          <w:pgMar w:top="1440" w:right="1080" w:bottom="1440" w:left="1080" w:header="0" w:footer="850" w:gutter="0"/>
          <w:pgNumType w:fmt="decimal"/>
          <w:cols w:space="0" w:num="1"/>
          <w:rtlGutter w:val="0"/>
          <w:docGrid w:linePitch="312" w:charSpace="0"/>
        </w:sectPr>
      </w:pPr>
    </w:p>
    <w:p w14:paraId="4ABBBE84">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（以下格式文件由供应商根据需要选用）</w:t>
      </w:r>
    </w:p>
    <w:p w14:paraId="3178AB9A">
      <w:pPr>
        <w:kinsoku/>
        <w:spacing w:line="360" w:lineRule="auto"/>
        <w:ind w:left="0" w:leftChars="0" w:right="0" w:rightChars="0" w:firstLine="0" w:firstLineChars="0"/>
        <w:jc w:val="center"/>
        <w:outlineLvl w:val="1"/>
        <w:rPr>
          <w:rFonts w:ascii="宋体" w:eastAsia="宋体" w:cs="宋体"/>
          <w:color w:val="auto"/>
          <w:sz w:val="24"/>
          <w:szCs w:val="24"/>
          <w:highlight w:val="none"/>
          <w:lang w:eastAsia="zh-CN"/>
        </w:rPr>
      </w:pPr>
      <w:bookmarkStart w:id="62" w:name="_Toc7484"/>
      <w:r>
        <w:rPr>
          <w:rFonts w:hint="eastAsia" w:ascii="宋体" w:eastAsia="宋体" w:cs="宋体"/>
          <w:b/>
          <w:bCs/>
          <w:color w:val="auto"/>
          <w:sz w:val="28"/>
          <w:szCs w:val="28"/>
          <w:highlight w:val="none"/>
          <w:lang w:eastAsia="zh-CN"/>
        </w:rPr>
        <w:t>十九、项目实施方案、质量保证及售后服务承诺等</w:t>
      </w:r>
      <w:bookmarkEnd w:id="62"/>
    </w:p>
    <w:p w14:paraId="477EADAA">
      <w:pPr>
        <w:kinsoku/>
        <w:spacing w:line="360" w:lineRule="auto"/>
        <w:jc w:val="center"/>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（内容和格式自拟）</w:t>
      </w:r>
    </w:p>
    <w:p w14:paraId="0863B376">
      <w:pPr>
        <w:kinsoku/>
        <w:spacing w:line="360" w:lineRule="auto"/>
        <w:ind w:firstLine="480" w:firstLineChars="200"/>
        <w:rPr>
          <w:rFonts w:ascii="宋体" w:eastAsia="宋体" w:cs="宋体"/>
          <w:color w:val="auto"/>
          <w:sz w:val="24"/>
          <w:szCs w:val="24"/>
          <w:highlight w:val="none"/>
          <w:lang w:eastAsia="zh-CN"/>
        </w:rPr>
        <w:sectPr>
          <w:footerReference r:id="rId28" w:type="default"/>
          <w:pgSz w:w="11906" w:h="16838"/>
          <w:pgMar w:top="1440" w:right="1080" w:bottom="1440" w:left="1080" w:header="0" w:footer="850" w:gutter="0"/>
          <w:pgNumType w:fmt="decimal"/>
          <w:cols w:space="0" w:num="1"/>
          <w:rtlGutter w:val="0"/>
          <w:docGrid w:linePitch="312" w:charSpace="0"/>
        </w:sectPr>
      </w:pPr>
    </w:p>
    <w:p w14:paraId="75D75698">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（以下格式文件由供应商根据需要选用）</w:t>
      </w:r>
    </w:p>
    <w:p w14:paraId="4317FDB5">
      <w:pPr>
        <w:kinsoku/>
        <w:spacing w:line="360" w:lineRule="auto"/>
        <w:ind w:left="0" w:leftChars="0" w:right="0" w:rightChars="0" w:firstLine="0" w:firstLineChars="0"/>
        <w:jc w:val="center"/>
        <w:outlineLvl w:val="1"/>
        <w:rPr>
          <w:rFonts w:ascii="宋体" w:eastAsia="宋体" w:cs="宋体"/>
          <w:color w:val="auto"/>
          <w:sz w:val="24"/>
          <w:szCs w:val="24"/>
          <w:highlight w:val="none"/>
          <w:lang w:eastAsia="zh-CN"/>
        </w:rPr>
      </w:pPr>
      <w:bookmarkStart w:id="63" w:name="_Toc27268"/>
      <w:r>
        <w:rPr>
          <w:rFonts w:hint="eastAsia" w:ascii="宋体" w:eastAsia="宋体" w:cs="宋体"/>
          <w:b/>
          <w:bCs/>
          <w:color w:val="auto"/>
          <w:sz w:val="28"/>
          <w:szCs w:val="28"/>
          <w:highlight w:val="none"/>
          <w:lang w:eastAsia="zh-CN"/>
        </w:rPr>
        <w:t>二十、供应商业绩情况表</w:t>
      </w:r>
      <w:bookmarkEnd w:id="63"/>
    </w:p>
    <w:tbl>
      <w:tblPr>
        <w:tblStyle w:val="21"/>
        <w:tblW w:w="92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8"/>
        <w:gridCol w:w="1941"/>
        <w:gridCol w:w="1941"/>
        <w:gridCol w:w="1941"/>
        <w:gridCol w:w="1948"/>
      </w:tblGrid>
      <w:tr w14:paraId="0D83E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1528" w:type="dxa"/>
            <w:shd w:val="clear" w:color="auto" w:fill="auto"/>
            <w:vAlign w:val="center"/>
          </w:tcPr>
          <w:p w14:paraId="1FF3CFF0">
            <w:pPr>
              <w:jc w:val="center"/>
              <w:rPr>
                <w:rFonts w:ascii="宋体" w:eastAsia="宋体" w:cs="宋体"/>
                <w:color w:val="auto"/>
                <w:sz w:val="24"/>
                <w:szCs w:val="24"/>
                <w:highlight w:val="none"/>
              </w:rPr>
            </w:pPr>
            <w:r>
              <w:rPr>
                <w:rFonts w:hint="eastAsia" w:ascii="宋体" w:eastAsia="宋体" w:cs="宋体"/>
                <w:color w:val="auto"/>
                <w:sz w:val="24"/>
                <w:szCs w:val="24"/>
                <w:highlight w:val="none"/>
              </w:rPr>
              <w:t>序号</w:t>
            </w:r>
          </w:p>
        </w:tc>
        <w:tc>
          <w:tcPr>
            <w:tcW w:w="1941" w:type="dxa"/>
            <w:shd w:val="clear" w:color="auto" w:fill="auto"/>
            <w:vAlign w:val="center"/>
          </w:tcPr>
          <w:p w14:paraId="192F69B9">
            <w:pPr>
              <w:jc w:val="center"/>
              <w:rPr>
                <w:rFonts w:ascii="宋体" w:eastAsia="宋体" w:cs="宋体"/>
                <w:color w:val="auto"/>
                <w:sz w:val="24"/>
                <w:szCs w:val="24"/>
                <w:highlight w:val="none"/>
              </w:rPr>
            </w:pPr>
            <w:r>
              <w:rPr>
                <w:rFonts w:hint="eastAsia" w:ascii="宋体" w:eastAsia="宋体" w:cs="宋体"/>
                <w:color w:val="auto"/>
                <w:sz w:val="24"/>
                <w:szCs w:val="24"/>
                <w:highlight w:val="none"/>
              </w:rPr>
              <w:t>使用单位</w:t>
            </w:r>
          </w:p>
        </w:tc>
        <w:tc>
          <w:tcPr>
            <w:tcW w:w="1941" w:type="dxa"/>
            <w:shd w:val="clear" w:color="auto" w:fill="auto"/>
            <w:vAlign w:val="center"/>
          </w:tcPr>
          <w:p w14:paraId="34D660D3">
            <w:pPr>
              <w:jc w:val="center"/>
              <w:rPr>
                <w:rFonts w:ascii="宋体" w:eastAsia="宋体" w:cs="宋体"/>
                <w:color w:val="auto"/>
                <w:sz w:val="24"/>
                <w:szCs w:val="24"/>
                <w:highlight w:val="none"/>
              </w:rPr>
            </w:pPr>
            <w:r>
              <w:rPr>
                <w:rFonts w:hint="eastAsia" w:ascii="宋体" w:eastAsia="宋体" w:cs="宋体"/>
                <w:color w:val="auto"/>
                <w:sz w:val="24"/>
                <w:szCs w:val="24"/>
                <w:highlight w:val="none"/>
              </w:rPr>
              <w:t>业绩名称</w:t>
            </w:r>
          </w:p>
        </w:tc>
        <w:tc>
          <w:tcPr>
            <w:tcW w:w="1941" w:type="dxa"/>
            <w:shd w:val="clear" w:color="auto" w:fill="auto"/>
            <w:vAlign w:val="center"/>
          </w:tcPr>
          <w:p w14:paraId="6941B2C1">
            <w:pPr>
              <w:jc w:val="center"/>
              <w:rPr>
                <w:rFonts w:ascii="宋体" w:eastAsia="宋体" w:cs="宋体"/>
                <w:color w:val="auto"/>
                <w:sz w:val="24"/>
                <w:szCs w:val="24"/>
                <w:highlight w:val="none"/>
              </w:rPr>
            </w:pPr>
            <w:r>
              <w:rPr>
                <w:rFonts w:hint="eastAsia" w:ascii="宋体" w:eastAsia="宋体" w:cs="宋体"/>
                <w:color w:val="auto"/>
                <w:sz w:val="24"/>
                <w:szCs w:val="24"/>
                <w:highlight w:val="none"/>
              </w:rPr>
              <w:t>合同总价</w:t>
            </w:r>
          </w:p>
        </w:tc>
        <w:tc>
          <w:tcPr>
            <w:tcW w:w="1948" w:type="dxa"/>
            <w:shd w:val="clear" w:color="auto" w:fill="auto"/>
            <w:vAlign w:val="center"/>
          </w:tcPr>
          <w:p w14:paraId="6A61E48F">
            <w:pPr>
              <w:jc w:val="center"/>
              <w:rPr>
                <w:rFonts w:ascii="宋体" w:eastAsia="宋体" w:cs="宋体"/>
                <w:color w:val="auto"/>
                <w:sz w:val="24"/>
                <w:szCs w:val="24"/>
                <w:highlight w:val="none"/>
              </w:rPr>
            </w:pPr>
            <w:r>
              <w:rPr>
                <w:rFonts w:hint="eastAsia" w:ascii="宋体" w:eastAsia="宋体" w:cs="宋体"/>
                <w:color w:val="auto"/>
                <w:sz w:val="24"/>
                <w:szCs w:val="24"/>
                <w:highlight w:val="none"/>
              </w:rPr>
              <w:t>签订时间</w:t>
            </w:r>
          </w:p>
        </w:tc>
      </w:tr>
      <w:tr w14:paraId="19A86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1528" w:type="dxa"/>
            <w:shd w:val="clear" w:color="auto" w:fill="auto"/>
            <w:vAlign w:val="center"/>
          </w:tcPr>
          <w:p w14:paraId="3FD6D7FA">
            <w:pPr>
              <w:jc w:val="center"/>
              <w:rPr>
                <w:rFonts w:ascii="宋体" w:eastAsia="宋体" w:cs="宋体"/>
                <w:color w:val="auto"/>
                <w:sz w:val="24"/>
                <w:szCs w:val="24"/>
                <w:highlight w:val="none"/>
              </w:rPr>
            </w:pPr>
            <w:r>
              <w:rPr>
                <w:rFonts w:hint="eastAsia" w:ascii="宋体" w:eastAsia="宋体" w:cs="宋体"/>
                <w:color w:val="auto"/>
                <w:sz w:val="24"/>
                <w:szCs w:val="24"/>
                <w:highlight w:val="none"/>
              </w:rPr>
              <w:t>1</w:t>
            </w:r>
          </w:p>
        </w:tc>
        <w:tc>
          <w:tcPr>
            <w:tcW w:w="1941" w:type="dxa"/>
            <w:shd w:val="clear" w:color="auto" w:fill="auto"/>
            <w:vAlign w:val="center"/>
          </w:tcPr>
          <w:p w14:paraId="2A493046">
            <w:pPr>
              <w:jc w:val="center"/>
              <w:rPr>
                <w:rFonts w:ascii="宋体" w:eastAsia="宋体" w:cs="宋体"/>
                <w:color w:val="auto"/>
                <w:sz w:val="24"/>
                <w:szCs w:val="24"/>
                <w:highlight w:val="none"/>
              </w:rPr>
            </w:pPr>
          </w:p>
        </w:tc>
        <w:tc>
          <w:tcPr>
            <w:tcW w:w="1941" w:type="dxa"/>
            <w:shd w:val="clear" w:color="auto" w:fill="auto"/>
            <w:vAlign w:val="center"/>
          </w:tcPr>
          <w:p w14:paraId="1E532DD3">
            <w:pPr>
              <w:jc w:val="center"/>
              <w:rPr>
                <w:rFonts w:ascii="宋体" w:eastAsia="宋体" w:cs="宋体"/>
                <w:color w:val="auto"/>
                <w:sz w:val="24"/>
                <w:szCs w:val="24"/>
                <w:highlight w:val="none"/>
              </w:rPr>
            </w:pPr>
          </w:p>
        </w:tc>
        <w:tc>
          <w:tcPr>
            <w:tcW w:w="1941" w:type="dxa"/>
            <w:shd w:val="clear" w:color="auto" w:fill="auto"/>
            <w:vAlign w:val="center"/>
          </w:tcPr>
          <w:p w14:paraId="1CCBF577">
            <w:pPr>
              <w:jc w:val="center"/>
              <w:rPr>
                <w:rFonts w:ascii="宋体" w:eastAsia="宋体" w:cs="宋体"/>
                <w:color w:val="auto"/>
                <w:sz w:val="24"/>
                <w:szCs w:val="24"/>
                <w:highlight w:val="none"/>
              </w:rPr>
            </w:pPr>
          </w:p>
        </w:tc>
        <w:tc>
          <w:tcPr>
            <w:tcW w:w="1948" w:type="dxa"/>
            <w:shd w:val="clear" w:color="auto" w:fill="auto"/>
            <w:vAlign w:val="center"/>
          </w:tcPr>
          <w:p w14:paraId="2DE50B0B">
            <w:pPr>
              <w:jc w:val="center"/>
              <w:rPr>
                <w:rFonts w:ascii="宋体" w:eastAsia="宋体" w:cs="宋体"/>
                <w:color w:val="auto"/>
                <w:sz w:val="24"/>
                <w:szCs w:val="24"/>
                <w:highlight w:val="none"/>
              </w:rPr>
            </w:pPr>
          </w:p>
        </w:tc>
      </w:tr>
      <w:tr w14:paraId="239A5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1528" w:type="dxa"/>
            <w:shd w:val="clear" w:color="auto" w:fill="auto"/>
            <w:vAlign w:val="center"/>
          </w:tcPr>
          <w:p w14:paraId="22F5BE31">
            <w:pPr>
              <w:jc w:val="center"/>
              <w:rPr>
                <w:rFonts w:ascii="宋体" w:eastAsia="宋体" w:cs="宋体"/>
                <w:color w:val="auto"/>
                <w:sz w:val="24"/>
                <w:szCs w:val="24"/>
                <w:highlight w:val="none"/>
              </w:rPr>
            </w:pPr>
            <w:r>
              <w:rPr>
                <w:rFonts w:hint="eastAsia" w:ascii="宋体" w:eastAsia="宋体" w:cs="宋体"/>
                <w:color w:val="auto"/>
                <w:sz w:val="24"/>
                <w:szCs w:val="24"/>
                <w:highlight w:val="none"/>
              </w:rPr>
              <w:t>2</w:t>
            </w:r>
          </w:p>
        </w:tc>
        <w:tc>
          <w:tcPr>
            <w:tcW w:w="1941" w:type="dxa"/>
            <w:shd w:val="clear" w:color="auto" w:fill="auto"/>
            <w:vAlign w:val="center"/>
          </w:tcPr>
          <w:p w14:paraId="75D0F3E8">
            <w:pPr>
              <w:jc w:val="center"/>
              <w:rPr>
                <w:rFonts w:ascii="宋体" w:eastAsia="宋体" w:cs="宋体"/>
                <w:color w:val="auto"/>
                <w:sz w:val="24"/>
                <w:szCs w:val="24"/>
                <w:highlight w:val="none"/>
              </w:rPr>
            </w:pPr>
          </w:p>
        </w:tc>
        <w:tc>
          <w:tcPr>
            <w:tcW w:w="1941" w:type="dxa"/>
            <w:shd w:val="clear" w:color="auto" w:fill="auto"/>
            <w:vAlign w:val="center"/>
          </w:tcPr>
          <w:p w14:paraId="5076FB97">
            <w:pPr>
              <w:jc w:val="center"/>
              <w:rPr>
                <w:rFonts w:ascii="宋体" w:eastAsia="宋体" w:cs="宋体"/>
                <w:color w:val="auto"/>
                <w:sz w:val="24"/>
                <w:szCs w:val="24"/>
                <w:highlight w:val="none"/>
              </w:rPr>
            </w:pPr>
          </w:p>
        </w:tc>
        <w:tc>
          <w:tcPr>
            <w:tcW w:w="1941" w:type="dxa"/>
            <w:shd w:val="clear" w:color="auto" w:fill="auto"/>
            <w:vAlign w:val="center"/>
          </w:tcPr>
          <w:p w14:paraId="62C14C27">
            <w:pPr>
              <w:jc w:val="center"/>
              <w:rPr>
                <w:rFonts w:ascii="宋体" w:eastAsia="宋体" w:cs="宋体"/>
                <w:color w:val="auto"/>
                <w:sz w:val="24"/>
                <w:szCs w:val="24"/>
                <w:highlight w:val="none"/>
              </w:rPr>
            </w:pPr>
          </w:p>
        </w:tc>
        <w:tc>
          <w:tcPr>
            <w:tcW w:w="1948" w:type="dxa"/>
            <w:shd w:val="clear" w:color="auto" w:fill="auto"/>
            <w:vAlign w:val="center"/>
          </w:tcPr>
          <w:p w14:paraId="62F592E1">
            <w:pPr>
              <w:jc w:val="center"/>
              <w:rPr>
                <w:rFonts w:ascii="宋体" w:eastAsia="宋体" w:cs="宋体"/>
                <w:color w:val="auto"/>
                <w:sz w:val="24"/>
                <w:szCs w:val="24"/>
                <w:highlight w:val="none"/>
              </w:rPr>
            </w:pPr>
          </w:p>
        </w:tc>
      </w:tr>
      <w:tr w14:paraId="14DAE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1528" w:type="dxa"/>
            <w:shd w:val="clear" w:color="auto" w:fill="auto"/>
            <w:vAlign w:val="center"/>
          </w:tcPr>
          <w:p w14:paraId="3A07B5C3">
            <w:pPr>
              <w:jc w:val="center"/>
              <w:rPr>
                <w:rFonts w:ascii="宋体" w:eastAsia="宋体" w:cs="宋体"/>
                <w:color w:val="auto"/>
                <w:sz w:val="24"/>
                <w:szCs w:val="24"/>
                <w:highlight w:val="none"/>
              </w:rPr>
            </w:pPr>
            <w:r>
              <w:rPr>
                <w:rFonts w:hint="eastAsia" w:ascii="宋体" w:eastAsia="宋体" w:cs="宋体"/>
                <w:color w:val="auto"/>
                <w:sz w:val="24"/>
                <w:szCs w:val="24"/>
                <w:highlight w:val="none"/>
              </w:rPr>
              <w:t>3</w:t>
            </w:r>
          </w:p>
        </w:tc>
        <w:tc>
          <w:tcPr>
            <w:tcW w:w="1941" w:type="dxa"/>
            <w:shd w:val="clear" w:color="auto" w:fill="auto"/>
            <w:vAlign w:val="center"/>
          </w:tcPr>
          <w:p w14:paraId="59F1AFE5">
            <w:pPr>
              <w:jc w:val="center"/>
              <w:rPr>
                <w:rFonts w:ascii="宋体" w:eastAsia="宋体" w:cs="宋体"/>
                <w:color w:val="auto"/>
                <w:sz w:val="24"/>
                <w:szCs w:val="24"/>
                <w:highlight w:val="none"/>
              </w:rPr>
            </w:pPr>
          </w:p>
        </w:tc>
        <w:tc>
          <w:tcPr>
            <w:tcW w:w="1941" w:type="dxa"/>
            <w:shd w:val="clear" w:color="auto" w:fill="auto"/>
            <w:vAlign w:val="center"/>
          </w:tcPr>
          <w:p w14:paraId="0AFC5184">
            <w:pPr>
              <w:jc w:val="center"/>
              <w:rPr>
                <w:rFonts w:ascii="宋体" w:eastAsia="宋体" w:cs="宋体"/>
                <w:color w:val="auto"/>
                <w:sz w:val="24"/>
                <w:szCs w:val="24"/>
                <w:highlight w:val="none"/>
              </w:rPr>
            </w:pPr>
          </w:p>
        </w:tc>
        <w:tc>
          <w:tcPr>
            <w:tcW w:w="1941" w:type="dxa"/>
            <w:shd w:val="clear" w:color="auto" w:fill="auto"/>
            <w:vAlign w:val="center"/>
          </w:tcPr>
          <w:p w14:paraId="57753F1A">
            <w:pPr>
              <w:jc w:val="center"/>
              <w:rPr>
                <w:rFonts w:ascii="宋体" w:eastAsia="宋体" w:cs="宋体"/>
                <w:color w:val="auto"/>
                <w:sz w:val="24"/>
                <w:szCs w:val="24"/>
                <w:highlight w:val="none"/>
              </w:rPr>
            </w:pPr>
          </w:p>
        </w:tc>
        <w:tc>
          <w:tcPr>
            <w:tcW w:w="1948" w:type="dxa"/>
            <w:shd w:val="clear" w:color="auto" w:fill="auto"/>
            <w:vAlign w:val="center"/>
          </w:tcPr>
          <w:p w14:paraId="0E435CD2">
            <w:pPr>
              <w:jc w:val="center"/>
              <w:rPr>
                <w:rFonts w:ascii="宋体" w:eastAsia="宋体" w:cs="宋体"/>
                <w:color w:val="auto"/>
                <w:sz w:val="24"/>
                <w:szCs w:val="24"/>
                <w:highlight w:val="none"/>
              </w:rPr>
            </w:pPr>
          </w:p>
        </w:tc>
      </w:tr>
      <w:tr w14:paraId="68C8A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1528" w:type="dxa"/>
            <w:shd w:val="clear" w:color="auto" w:fill="auto"/>
            <w:vAlign w:val="center"/>
          </w:tcPr>
          <w:p w14:paraId="3D1B6E1F">
            <w:pPr>
              <w:jc w:val="center"/>
              <w:rPr>
                <w:rFonts w:ascii="宋体" w:eastAsia="宋体" w:cs="宋体"/>
                <w:color w:val="auto"/>
                <w:sz w:val="24"/>
                <w:szCs w:val="24"/>
                <w:highlight w:val="none"/>
              </w:rPr>
            </w:pPr>
            <w:r>
              <w:rPr>
                <w:rFonts w:hint="eastAsia" w:ascii="宋体" w:eastAsia="宋体" w:cs="宋体"/>
                <w:color w:val="auto"/>
                <w:sz w:val="24"/>
                <w:szCs w:val="24"/>
                <w:highlight w:val="none"/>
              </w:rPr>
              <w:t>4</w:t>
            </w:r>
          </w:p>
        </w:tc>
        <w:tc>
          <w:tcPr>
            <w:tcW w:w="1941" w:type="dxa"/>
            <w:shd w:val="clear" w:color="auto" w:fill="auto"/>
            <w:vAlign w:val="center"/>
          </w:tcPr>
          <w:p w14:paraId="77A236D0">
            <w:pPr>
              <w:jc w:val="center"/>
              <w:rPr>
                <w:rFonts w:ascii="宋体" w:eastAsia="宋体" w:cs="宋体"/>
                <w:color w:val="auto"/>
                <w:sz w:val="24"/>
                <w:szCs w:val="24"/>
                <w:highlight w:val="none"/>
              </w:rPr>
            </w:pPr>
          </w:p>
        </w:tc>
        <w:tc>
          <w:tcPr>
            <w:tcW w:w="1941" w:type="dxa"/>
            <w:shd w:val="clear" w:color="auto" w:fill="auto"/>
            <w:vAlign w:val="center"/>
          </w:tcPr>
          <w:p w14:paraId="72B8EEE5">
            <w:pPr>
              <w:jc w:val="center"/>
              <w:rPr>
                <w:rFonts w:ascii="宋体" w:eastAsia="宋体" w:cs="宋体"/>
                <w:color w:val="auto"/>
                <w:sz w:val="24"/>
                <w:szCs w:val="24"/>
                <w:highlight w:val="none"/>
              </w:rPr>
            </w:pPr>
          </w:p>
        </w:tc>
        <w:tc>
          <w:tcPr>
            <w:tcW w:w="1941" w:type="dxa"/>
            <w:shd w:val="clear" w:color="auto" w:fill="auto"/>
            <w:vAlign w:val="center"/>
          </w:tcPr>
          <w:p w14:paraId="0686E5B0">
            <w:pPr>
              <w:jc w:val="center"/>
              <w:rPr>
                <w:rFonts w:ascii="宋体" w:eastAsia="宋体" w:cs="宋体"/>
                <w:color w:val="auto"/>
                <w:sz w:val="24"/>
                <w:szCs w:val="24"/>
                <w:highlight w:val="none"/>
              </w:rPr>
            </w:pPr>
          </w:p>
        </w:tc>
        <w:tc>
          <w:tcPr>
            <w:tcW w:w="1948" w:type="dxa"/>
            <w:shd w:val="clear" w:color="auto" w:fill="auto"/>
            <w:vAlign w:val="center"/>
          </w:tcPr>
          <w:p w14:paraId="746049AB">
            <w:pPr>
              <w:jc w:val="center"/>
              <w:rPr>
                <w:rFonts w:ascii="宋体" w:eastAsia="宋体" w:cs="宋体"/>
                <w:color w:val="auto"/>
                <w:sz w:val="24"/>
                <w:szCs w:val="24"/>
                <w:highlight w:val="none"/>
              </w:rPr>
            </w:pPr>
          </w:p>
        </w:tc>
      </w:tr>
      <w:tr w14:paraId="52FFD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jc w:val="center"/>
        </w:trPr>
        <w:tc>
          <w:tcPr>
            <w:tcW w:w="1528" w:type="dxa"/>
            <w:shd w:val="clear" w:color="auto" w:fill="auto"/>
            <w:vAlign w:val="center"/>
          </w:tcPr>
          <w:p w14:paraId="2625EB48">
            <w:pPr>
              <w:jc w:val="center"/>
              <w:rPr>
                <w:rFonts w:ascii="宋体" w:eastAsia="宋体" w:cs="宋体"/>
                <w:color w:val="auto"/>
                <w:sz w:val="24"/>
                <w:szCs w:val="24"/>
                <w:highlight w:val="none"/>
              </w:rPr>
            </w:pPr>
            <w:r>
              <w:rPr>
                <w:rFonts w:hint="eastAsia" w:ascii="宋体" w:eastAsia="宋体" w:cs="宋体"/>
                <w:color w:val="auto"/>
                <w:sz w:val="24"/>
                <w:szCs w:val="24"/>
                <w:highlight w:val="none"/>
              </w:rPr>
              <w:t>…</w:t>
            </w:r>
          </w:p>
        </w:tc>
        <w:tc>
          <w:tcPr>
            <w:tcW w:w="1941" w:type="dxa"/>
            <w:shd w:val="clear" w:color="auto" w:fill="auto"/>
            <w:vAlign w:val="center"/>
          </w:tcPr>
          <w:p w14:paraId="4A66F81D">
            <w:pPr>
              <w:jc w:val="center"/>
              <w:rPr>
                <w:rFonts w:ascii="宋体" w:eastAsia="宋体" w:cs="宋体"/>
                <w:color w:val="auto"/>
                <w:sz w:val="24"/>
                <w:szCs w:val="24"/>
                <w:highlight w:val="none"/>
              </w:rPr>
            </w:pPr>
          </w:p>
        </w:tc>
        <w:tc>
          <w:tcPr>
            <w:tcW w:w="1941" w:type="dxa"/>
            <w:shd w:val="clear" w:color="auto" w:fill="auto"/>
            <w:vAlign w:val="center"/>
          </w:tcPr>
          <w:p w14:paraId="7E2C79BF">
            <w:pPr>
              <w:jc w:val="center"/>
              <w:rPr>
                <w:rFonts w:ascii="宋体" w:eastAsia="宋体" w:cs="宋体"/>
                <w:color w:val="auto"/>
                <w:sz w:val="24"/>
                <w:szCs w:val="24"/>
                <w:highlight w:val="none"/>
              </w:rPr>
            </w:pPr>
          </w:p>
        </w:tc>
        <w:tc>
          <w:tcPr>
            <w:tcW w:w="1941" w:type="dxa"/>
            <w:shd w:val="clear" w:color="auto" w:fill="auto"/>
            <w:vAlign w:val="center"/>
          </w:tcPr>
          <w:p w14:paraId="794E610C">
            <w:pPr>
              <w:jc w:val="center"/>
              <w:rPr>
                <w:rFonts w:ascii="宋体" w:eastAsia="宋体" w:cs="宋体"/>
                <w:color w:val="auto"/>
                <w:sz w:val="24"/>
                <w:szCs w:val="24"/>
                <w:highlight w:val="none"/>
              </w:rPr>
            </w:pPr>
          </w:p>
        </w:tc>
        <w:tc>
          <w:tcPr>
            <w:tcW w:w="1948" w:type="dxa"/>
            <w:shd w:val="clear" w:color="auto" w:fill="auto"/>
            <w:vAlign w:val="center"/>
          </w:tcPr>
          <w:p w14:paraId="30DF9676">
            <w:pPr>
              <w:jc w:val="center"/>
              <w:rPr>
                <w:rFonts w:ascii="宋体" w:eastAsia="宋体" w:cs="宋体"/>
                <w:color w:val="auto"/>
                <w:sz w:val="24"/>
                <w:szCs w:val="24"/>
                <w:highlight w:val="none"/>
              </w:rPr>
            </w:pPr>
          </w:p>
        </w:tc>
      </w:tr>
    </w:tbl>
    <w:p w14:paraId="5DC88D50">
      <w:pPr>
        <w:keepNext w:val="0"/>
        <w:keepLines w:val="0"/>
        <w:pageBreakBefore w:val="0"/>
        <w:widowControl/>
        <w:kinsoku/>
        <w:wordWrap/>
        <w:overflowPunct/>
        <w:topLinePunct w:val="0"/>
        <w:autoSpaceDE w:val="0"/>
        <w:autoSpaceDN w:val="0"/>
        <w:bidi w:val="0"/>
        <w:adjustRightInd w:val="0"/>
        <w:snapToGrid w:val="0"/>
        <w:spacing w:before="313" w:beforeLines="100"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供应商根据上述业绩情况及磋商文件要求后附相关证明材料。</w:t>
      </w:r>
    </w:p>
    <w:p w14:paraId="1B183BF7">
      <w:pPr>
        <w:kinsoku/>
        <w:spacing w:line="360" w:lineRule="auto"/>
        <w:ind w:firstLine="480" w:firstLineChars="200"/>
        <w:rPr>
          <w:rFonts w:ascii="宋体" w:eastAsia="宋体" w:cs="宋体"/>
          <w:color w:val="auto"/>
          <w:sz w:val="24"/>
          <w:szCs w:val="24"/>
          <w:highlight w:val="none"/>
          <w:lang w:eastAsia="zh-CN"/>
        </w:rPr>
        <w:sectPr>
          <w:footerReference r:id="rId29" w:type="default"/>
          <w:pgSz w:w="11906" w:h="16838"/>
          <w:pgMar w:top="1440" w:right="1080" w:bottom="1440" w:left="1080" w:header="0" w:footer="850" w:gutter="0"/>
          <w:pgNumType w:fmt="decimal"/>
          <w:cols w:space="0" w:num="1"/>
          <w:rtlGutter w:val="0"/>
          <w:docGrid w:linePitch="312" w:charSpace="0"/>
        </w:sectPr>
      </w:pPr>
    </w:p>
    <w:p w14:paraId="04AA1391">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（以下格式文件由供应商根据需要选用）</w:t>
      </w:r>
    </w:p>
    <w:p w14:paraId="000DBC35">
      <w:pPr>
        <w:kinsoku/>
        <w:spacing w:line="360" w:lineRule="auto"/>
        <w:ind w:left="0" w:leftChars="0" w:right="0" w:rightChars="0" w:firstLine="0" w:firstLineChars="0"/>
        <w:jc w:val="center"/>
        <w:outlineLvl w:val="1"/>
        <w:rPr>
          <w:rFonts w:ascii="宋体" w:eastAsia="宋体" w:cs="宋体"/>
          <w:color w:val="auto"/>
          <w:sz w:val="24"/>
          <w:szCs w:val="24"/>
          <w:highlight w:val="none"/>
          <w:lang w:eastAsia="zh-CN"/>
        </w:rPr>
      </w:pPr>
      <w:bookmarkStart w:id="64" w:name="_Toc26135"/>
      <w:r>
        <w:rPr>
          <w:rFonts w:hint="eastAsia" w:ascii="宋体" w:eastAsia="宋体" w:cs="宋体"/>
          <w:b/>
          <w:bCs/>
          <w:color w:val="auto"/>
          <w:sz w:val="28"/>
          <w:szCs w:val="28"/>
          <w:highlight w:val="none"/>
          <w:lang w:eastAsia="zh-CN"/>
        </w:rPr>
        <w:t>二十一、其他证明材料</w:t>
      </w:r>
      <w:bookmarkEnd w:id="64"/>
    </w:p>
    <w:p w14:paraId="6AEBE71E">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1.磋商文件要求提供的其他资料。</w:t>
      </w:r>
    </w:p>
    <w:p w14:paraId="50ACC0EB">
      <w:pPr>
        <w:kinsoku/>
        <w:spacing w:line="360" w:lineRule="auto"/>
        <w:ind w:firstLine="480" w:firstLineChars="200"/>
        <w:rPr>
          <w:rFonts w:ascii="宋体" w:eastAsia="宋体" w:cs="宋体"/>
          <w:color w:val="auto"/>
          <w:sz w:val="24"/>
          <w:szCs w:val="24"/>
          <w:highlight w:val="none"/>
          <w:lang w:eastAsia="zh-CN"/>
        </w:rPr>
      </w:pPr>
      <w:r>
        <w:rPr>
          <w:rFonts w:hint="eastAsia" w:ascii="宋体" w:eastAsia="宋体" w:cs="宋体"/>
          <w:color w:val="auto"/>
          <w:sz w:val="24"/>
          <w:szCs w:val="24"/>
          <w:highlight w:val="none"/>
          <w:lang w:eastAsia="zh-CN"/>
        </w:rPr>
        <w:t>2.供应商认为需提供的其他资料。</w:t>
      </w:r>
    </w:p>
    <w:sectPr>
      <w:footerReference r:id="rId30" w:type="default"/>
      <w:pgSz w:w="11906" w:h="16838"/>
      <w:pgMar w:top="1440" w:right="1080" w:bottom="1440" w:left="1080" w:header="0" w:footer="850"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2010600030101010101"/>
    <w:charset w:val="88"/>
    <w:family w:val="modern"/>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Luxi Sans">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86"/>
    <w:family w:val="swiss"/>
    <w:pitch w:val="default"/>
    <w:sig w:usb0="00000000" w:usb1="00000000" w:usb2="0000003F" w:usb3="00000000" w:csb0="603F01FF" w:csb1="FFFF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CF40D">
    <w:pPr>
      <w:pStyle w:val="1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B24E0">
    <w:pPr>
      <w:pStyle w:val="1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DC7484">
                          <w:pPr>
                            <w:pStyle w:val="12"/>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3CDC7484">
                    <w:pPr>
                      <w:pStyle w:val="12"/>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7D0EC">
    <w:pPr>
      <w:pStyle w:val="12"/>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AACA6C">
                          <w:pPr>
                            <w:pStyle w:val="12"/>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5CAACA6C">
                    <w:pPr>
                      <w:pStyle w:val="12"/>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25ADB">
    <w:pPr>
      <w:pStyle w:val="12"/>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BF09D8">
                          <w:pPr>
                            <w:pStyle w:val="12"/>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38BF09D8">
                    <w:pPr>
                      <w:pStyle w:val="12"/>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9A8F5">
    <w:pPr>
      <w:pStyle w:val="12"/>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7A965">
                          <w:pPr>
                            <w:pStyle w:val="12"/>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51B7A965">
                    <w:pPr>
                      <w:pStyle w:val="12"/>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FA71A">
    <w:pPr>
      <w:pStyle w:val="12"/>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61E181">
                          <w:pPr>
                            <w:pStyle w:val="12"/>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0561E181">
                    <w:pPr>
                      <w:pStyle w:val="12"/>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F7628">
    <w:pPr>
      <w:pStyle w:val="12"/>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7B7070">
                          <w:pPr>
                            <w:pStyle w:val="12"/>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237B7070">
                    <w:pPr>
                      <w:pStyle w:val="12"/>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2A9F9">
    <w:pPr>
      <w:pStyle w:val="12"/>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A55B11">
                          <w:pPr>
                            <w:pStyle w:val="12"/>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59A55B11">
                    <w:pPr>
                      <w:pStyle w:val="12"/>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C094A">
    <w:pPr>
      <w:pStyle w:val="12"/>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2D30ED">
                          <w:pPr>
                            <w:pStyle w:val="12"/>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382D30ED">
                    <w:pPr>
                      <w:pStyle w:val="12"/>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A32E5">
    <w:pPr>
      <w:pStyle w:val="12"/>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F0DF2">
                          <w:pPr>
                            <w:pStyle w:val="12"/>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4ABF0DF2">
                    <w:pPr>
                      <w:pStyle w:val="12"/>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356E0">
    <w:pPr>
      <w:pStyle w:val="12"/>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D918C">
                          <w:pPr>
                            <w:pStyle w:val="12"/>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10AD918C">
                    <w:pPr>
                      <w:pStyle w:val="1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15CF5">
    <w:pPr>
      <w:pStyle w:val="12"/>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F61FED">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65F61FED">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BD38F">
    <w:pPr>
      <w:tabs>
        <w:tab w:val="center" w:pos="4153"/>
        <w:tab w:val="right" w:pos="8306"/>
      </w:tabs>
      <w:kinsoku w:val="0"/>
      <w:autoSpaceDE w:val="0"/>
      <w:autoSpaceDN w:val="0"/>
      <w:adjustRightInd w:val="0"/>
      <w:snapToGrid w:val="0"/>
      <w:spacing w:line="240" w:lineRule="auto"/>
      <w:jc w:val="left"/>
      <w:rPr>
        <w:rFonts w:ascii="Arial" w:hAnsi="Arial" w:eastAsia="Arial" w:cs="Arial"/>
        <w:color w:val="000000"/>
        <w:kern w:val="0"/>
        <w:sz w:val="18"/>
        <w:szCs w:val="21"/>
        <w:lang w:val="en-US" w:eastAsia="en-US" w:bidi="ar-SA"/>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D1F3B">
                          <w:pPr>
                            <w:pStyle w:val="12"/>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38ED1F3B">
                    <w:pPr>
                      <w:pStyle w:val="12"/>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71173">
    <w:pPr>
      <w:pStyle w:val="12"/>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BFF32">
                          <w:pPr>
                            <w:pStyle w:val="12"/>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6ECBFF32">
                    <w:pPr>
                      <w:pStyle w:val="12"/>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AC9C7">
    <w:pPr>
      <w:pStyle w:val="12"/>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58FC05">
                          <w:pPr>
                            <w:pStyle w:val="12"/>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7658FC05">
                    <w:pPr>
                      <w:pStyle w:val="12"/>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F21C4">
    <w:pPr>
      <w:pStyle w:val="12"/>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D3FAB1">
                          <w:pPr>
                            <w:pStyle w:val="12"/>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43D3FAB1">
                    <w:pPr>
                      <w:pStyle w:val="12"/>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F09D9">
    <w:pPr>
      <w:pStyle w:val="12"/>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D0DC61">
                          <w:pPr>
                            <w:pStyle w:val="12"/>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62D0DC61">
                    <w:pPr>
                      <w:pStyle w:val="12"/>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B0E15">
    <w:pPr>
      <w:pStyle w:val="12"/>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2B5C45">
                          <w:pPr>
                            <w:pStyle w:val="12"/>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7D2B5C45">
                    <w:pPr>
                      <w:pStyle w:val="12"/>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8772D">
    <w:pPr>
      <w:pStyle w:val="12"/>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FA432B">
                          <w:pPr>
                            <w:pStyle w:val="12"/>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5CFA432B">
                    <w:pPr>
                      <w:pStyle w:val="12"/>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D1C4C">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1EB9B">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53D1EB9B">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6DD4E">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0953EC">
                          <w:pPr>
                            <w:pStyle w:val="1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180953EC">
                    <w:pPr>
                      <w:pStyle w:val="1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BE978">
    <w:pPr>
      <w:widowControl w:val="0"/>
      <w:tabs>
        <w:tab w:val="center" w:pos="4153"/>
        <w:tab w:val="right" w:pos="8306"/>
      </w:tabs>
      <w:snapToGrid w:val="0"/>
      <w:jc w:val="left"/>
      <w:rPr>
        <w:rFonts w:ascii="Calibri" w:hAnsi="Calibri" w:eastAsia="等线" w:cs="Arial"/>
        <w:kern w:val="0"/>
        <w:sz w:val="18"/>
        <w:szCs w:val="18"/>
        <w:lang w:val="en-US" w:eastAsia="zh-CN" w:bidi="ar-SA"/>
      </w:rPr>
    </w:pPr>
    <w:r>
      <w:rPr>
        <w:rFonts w:ascii="Calibri" w:hAnsi="Calibri" w:eastAsia="等线" w:cs="Arial"/>
        <w:kern w:val="0"/>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6"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5889DA3B">
                          <w:pPr>
                            <w:widowControl w:val="0"/>
                            <w:tabs>
                              <w:tab w:val="center" w:pos="4153"/>
                              <w:tab w:val="right" w:pos="8306"/>
                            </w:tabs>
                            <w:snapToGrid w:val="0"/>
                            <w:jc w:val="left"/>
                            <w:rPr>
                              <w:rFonts w:ascii="Calibri" w:hAnsi="Calibri" w:eastAsia="等线" w:cs="Arial"/>
                              <w:kern w:val="0"/>
                              <w:sz w:val="18"/>
                              <w:szCs w:val="18"/>
                              <w:lang w:val="en-US" w:eastAsia="zh-CN" w:bidi="ar-SA"/>
                            </w:rPr>
                          </w:pPr>
                          <w:r>
                            <w:rPr>
                              <w:rFonts w:ascii="Calibri" w:hAnsi="Calibri" w:eastAsia="等线" w:cs="Arial"/>
                              <w:kern w:val="0"/>
                              <w:sz w:val="18"/>
                              <w:szCs w:val="18"/>
                              <w:lang w:val="en-US" w:eastAsia="zh-CN" w:bidi="ar-SA"/>
                            </w:rPr>
                            <w:fldChar w:fldCharType="begin"/>
                          </w:r>
                          <w:r>
                            <w:rPr>
                              <w:rFonts w:ascii="Calibri" w:hAnsi="Calibri" w:eastAsia="等线" w:cs="Arial"/>
                              <w:kern w:val="0"/>
                              <w:sz w:val="18"/>
                              <w:szCs w:val="18"/>
                              <w:lang w:val="en-US" w:eastAsia="zh-CN" w:bidi="ar-SA"/>
                            </w:rPr>
                            <w:instrText xml:space="preserve"> PAGE  \* MERGEFORMAT </w:instrText>
                          </w:r>
                          <w:r>
                            <w:rPr>
                              <w:rFonts w:ascii="Calibri" w:hAnsi="Calibri" w:eastAsia="等线" w:cs="Arial"/>
                              <w:kern w:val="0"/>
                              <w:sz w:val="18"/>
                              <w:szCs w:val="18"/>
                              <w:lang w:val="en-US" w:eastAsia="zh-CN" w:bidi="ar-SA"/>
                            </w:rPr>
                            <w:fldChar w:fldCharType="separate"/>
                          </w:r>
                          <w:r>
                            <w:rPr>
                              <w:rFonts w:ascii="Calibri" w:hAnsi="Calibri" w:eastAsia="等线" w:cs="Arial"/>
                              <w:kern w:val="0"/>
                              <w:sz w:val="18"/>
                              <w:szCs w:val="18"/>
                              <w:lang w:val="en-US" w:eastAsia="zh-CN" w:bidi="ar-SA"/>
                            </w:rPr>
                            <w:t>4</w:t>
                          </w:r>
                          <w:r>
                            <w:rPr>
                              <w:rFonts w:ascii="Calibri" w:hAnsi="Calibri" w:eastAsia="等线" w:cs="Arial"/>
                              <w:kern w:val="0"/>
                              <w:sz w:val="18"/>
                              <w:szCs w:val="18"/>
                              <w:lang w:val="en-US" w:eastAsia="zh-CN" w:bidi="ar-SA"/>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1u5d9AAAAACAQAADwAAAAAAAAABACAAAAAiAAAAZHJzL2Rv&#10;d25yZXYueG1sUEsBAhQAFAAAAAgAh07iQIrFSLAJAgAAAgQAAA4AAAAAAAAAAQAgAAAAHwEAAGRy&#10;cy9lMm9Eb2MueG1sUEsFBgAAAAAGAAYAWQEAAJoFAAAAAA==&#10;">
              <v:fill on="f" focussize="0,0"/>
              <v:stroke on="f"/>
              <v:imagedata o:title=""/>
              <o:lock v:ext="edit" aspectratio="f"/>
              <v:textbox inset="0mm,0mm,0mm,0mm" style="mso-fit-shape-to-text:t;">
                <w:txbxContent>
                  <w:p w14:paraId="5889DA3B">
                    <w:pPr>
                      <w:widowControl w:val="0"/>
                      <w:tabs>
                        <w:tab w:val="center" w:pos="4153"/>
                        <w:tab w:val="right" w:pos="8306"/>
                      </w:tabs>
                      <w:snapToGrid w:val="0"/>
                      <w:jc w:val="left"/>
                      <w:rPr>
                        <w:rFonts w:ascii="Calibri" w:hAnsi="Calibri" w:eastAsia="等线" w:cs="Arial"/>
                        <w:kern w:val="0"/>
                        <w:sz w:val="18"/>
                        <w:szCs w:val="18"/>
                        <w:lang w:val="en-US" w:eastAsia="zh-CN" w:bidi="ar-SA"/>
                      </w:rPr>
                    </w:pPr>
                    <w:r>
                      <w:rPr>
                        <w:rFonts w:ascii="Calibri" w:hAnsi="Calibri" w:eastAsia="等线" w:cs="Arial"/>
                        <w:kern w:val="0"/>
                        <w:sz w:val="18"/>
                        <w:szCs w:val="18"/>
                        <w:lang w:val="en-US" w:eastAsia="zh-CN" w:bidi="ar-SA"/>
                      </w:rPr>
                      <w:fldChar w:fldCharType="begin"/>
                    </w:r>
                    <w:r>
                      <w:rPr>
                        <w:rFonts w:ascii="Calibri" w:hAnsi="Calibri" w:eastAsia="等线" w:cs="Arial"/>
                        <w:kern w:val="0"/>
                        <w:sz w:val="18"/>
                        <w:szCs w:val="18"/>
                        <w:lang w:val="en-US" w:eastAsia="zh-CN" w:bidi="ar-SA"/>
                      </w:rPr>
                      <w:instrText xml:space="preserve"> PAGE  \* MERGEFORMAT </w:instrText>
                    </w:r>
                    <w:r>
                      <w:rPr>
                        <w:rFonts w:ascii="Calibri" w:hAnsi="Calibri" w:eastAsia="等线" w:cs="Arial"/>
                        <w:kern w:val="0"/>
                        <w:sz w:val="18"/>
                        <w:szCs w:val="18"/>
                        <w:lang w:val="en-US" w:eastAsia="zh-CN" w:bidi="ar-SA"/>
                      </w:rPr>
                      <w:fldChar w:fldCharType="separate"/>
                    </w:r>
                    <w:r>
                      <w:rPr>
                        <w:rFonts w:ascii="Calibri" w:hAnsi="Calibri" w:eastAsia="等线" w:cs="Arial"/>
                        <w:kern w:val="0"/>
                        <w:sz w:val="18"/>
                        <w:szCs w:val="18"/>
                        <w:lang w:val="en-US" w:eastAsia="zh-CN" w:bidi="ar-SA"/>
                      </w:rPr>
                      <w:t>4</w:t>
                    </w:r>
                    <w:r>
                      <w:rPr>
                        <w:rFonts w:ascii="Calibri" w:hAnsi="Calibri" w:eastAsia="等线" w:cs="Arial"/>
                        <w:kern w:val="0"/>
                        <w:sz w:val="18"/>
                        <w:szCs w:val="18"/>
                        <w:lang w:val="en-US" w:eastAsia="zh-CN" w:bidi="ar-S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AD006">
    <w:pPr>
      <w:widowControl w:val="0"/>
      <w:tabs>
        <w:tab w:val="center" w:pos="4153"/>
        <w:tab w:val="right" w:pos="8306"/>
      </w:tabs>
      <w:snapToGrid w:val="0"/>
      <w:jc w:val="left"/>
      <w:rPr>
        <w:rFonts w:ascii="Calibri" w:hAnsi="Calibri" w:eastAsia="等线" w:cs="Arial"/>
        <w:kern w:val="0"/>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858ECB">
                          <w:pPr>
                            <w:pStyle w:val="12"/>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B858ECB">
                    <w:pPr>
                      <w:pStyle w:val="12"/>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2584B">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24CAC8">
                          <w:pPr>
                            <w:pStyle w:val="12"/>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7824CAC8">
                    <w:pPr>
                      <w:pStyle w:val="12"/>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70009">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46FA34">
                          <w:pPr>
                            <w:pStyle w:val="12"/>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346FA34">
                    <w:pPr>
                      <w:pStyle w:val="12"/>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C4D97">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5A2215">
                          <w:pPr>
                            <w:pStyle w:val="12"/>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315A2215">
                    <w:pPr>
                      <w:pStyle w:val="12"/>
                    </w:pPr>
                    <w:r>
                      <w:fldChar w:fldCharType="begin"/>
                    </w:r>
                    <w:r>
                      <w:instrText xml:space="preserve"> PAGE  \* MERGEFORMAT </w:instrText>
                    </w:r>
                    <w:r>
                      <w:fldChar w:fldCharType="separate"/>
                    </w:r>
                    <w:r>
                      <w:t>37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3647C">
    <w:pPr>
      <w:pStyle w:val="8"/>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6841D">
    <w:pPr>
      <w:pStyle w:val="8"/>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210"/>
  <w:drawingGridVerticalSpacing w:val="99999992"/>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dlZTdkNzQzNmI2ZWQ5Yzk0MmQzY2E2ZDJjNDE2M2QifQ=="/>
  </w:docVars>
  <w:rsids>
    <w:rsidRoot w:val="003D23E5"/>
    <w:rsid w:val="000D3562"/>
    <w:rsid w:val="00142906"/>
    <w:rsid w:val="003D23E5"/>
    <w:rsid w:val="003F23CE"/>
    <w:rsid w:val="00496CED"/>
    <w:rsid w:val="00617680"/>
    <w:rsid w:val="00645638"/>
    <w:rsid w:val="007D6E3B"/>
    <w:rsid w:val="00805919"/>
    <w:rsid w:val="00B97271"/>
    <w:rsid w:val="00BA1A55"/>
    <w:rsid w:val="00BE7797"/>
    <w:rsid w:val="00CF5DEC"/>
    <w:rsid w:val="00DF405D"/>
    <w:rsid w:val="010A6538"/>
    <w:rsid w:val="01213882"/>
    <w:rsid w:val="013637D1"/>
    <w:rsid w:val="01572697"/>
    <w:rsid w:val="016D00D2"/>
    <w:rsid w:val="01C118EA"/>
    <w:rsid w:val="01CC7C92"/>
    <w:rsid w:val="01E449DA"/>
    <w:rsid w:val="01F06E98"/>
    <w:rsid w:val="020B07BA"/>
    <w:rsid w:val="020B4F68"/>
    <w:rsid w:val="02762337"/>
    <w:rsid w:val="027D71DE"/>
    <w:rsid w:val="0282055C"/>
    <w:rsid w:val="02891DD2"/>
    <w:rsid w:val="02902A6D"/>
    <w:rsid w:val="029C3B08"/>
    <w:rsid w:val="029C7664"/>
    <w:rsid w:val="02B153F0"/>
    <w:rsid w:val="02BB22C4"/>
    <w:rsid w:val="02C80459"/>
    <w:rsid w:val="02C92423"/>
    <w:rsid w:val="02E132C9"/>
    <w:rsid w:val="02EB4148"/>
    <w:rsid w:val="03060F81"/>
    <w:rsid w:val="0316553E"/>
    <w:rsid w:val="0321587C"/>
    <w:rsid w:val="034F48ED"/>
    <w:rsid w:val="0352759D"/>
    <w:rsid w:val="03667EB4"/>
    <w:rsid w:val="036C7E22"/>
    <w:rsid w:val="03790EAE"/>
    <w:rsid w:val="038325D2"/>
    <w:rsid w:val="03875EC9"/>
    <w:rsid w:val="03A013D6"/>
    <w:rsid w:val="03A11C8C"/>
    <w:rsid w:val="03AC4D56"/>
    <w:rsid w:val="03B13165"/>
    <w:rsid w:val="03E548A5"/>
    <w:rsid w:val="040372EE"/>
    <w:rsid w:val="040E6340"/>
    <w:rsid w:val="041A3F82"/>
    <w:rsid w:val="041B0E47"/>
    <w:rsid w:val="047C599F"/>
    <w:rsid w:val="047F32B1"/>
    <w:rsid w:val="048760F2"/>
    <w:rsid w:val="04886557"/>
    <w:rsid w:val="048B3E34"/>
    <w:rsid w:val="048F7C19"/>
    <w:rsid w:val="04936845"/>
    <w:rsid w:val="04A41BC5"/>
    <w:rsid w:val="04F7427E"/>
    <w:rsid w:val="050249EE"/>
    <w:rsid w:val="0518285B"/>
    <w:rsid w:val="052027CE"/>
    <w:rsid w:val="054339CB"/>
    <w:rsid w:val="05575AC4"/>
    <w:rsid w:val="05A625A8"/>
    <w:rsid w:val="05AF12EB"/>
    <w:rsid w:val="05B05E96"/>
    <w:rsid w:val="05D03C38"/>
    <w:rsid w:val="05E57574"/>
    <w:rsid w:val="0624009C"/>
    <w:rsid w:val="063A78C0"/>
    <w:rsid w:val="06615071"/>
    <w:rsid w:val="069B010A"/>
    <w:rsid w:val="06A75898"/>
    <w:rsid w:val="06BF0E31"/>
    <w:rsid w:val="06C31610"/>
    <w:rsid w:val="06EF57A4"/>
    <w:rsid w:val="0733656D"/>
    <w:rsid w:val="07570716"/>
    <w:rsid w:val="07720CB2"/>
    <w:rsid w:val="077B21C7"/>
    <w:rsid w:val="079A71A9"/>
    <w:rsid w:val="079E5C2C"/>
    <w:rsid w:val="079F3753"/>
    <w:rsid w:val="07B76CEE"/>
    <w:rsid w:val="07C37441"/>
    <w:rsid w:val="07F07584"/>
    <w:rsid w:val="080628D5"/>
    <w:rsid w:val="080737D2"/>
    <w:rsid w:val="082B32A2"/>
    <w:rsid w:val="083E11BD"/>
    <w:rsid w:val="08512C9F"/>
    <w:rsid w:val="085E716A"/>
    <w:rsid w:val="08732C15"/>
    <w:rsid w:val="087F2519"/>
    <w:rsid w:val="08891FDF"/>
    <w:rsid w:val="088A61B1"/>
    <w:rsid w:val="08986B20"/>
    <w:rsid w:val="08F24482"/>
    <w:rsid w:val="08F8378C"/>
    <w:rsid w:val="0935594C"/>
    <w:rsid w:val="093A3733"/>
    <w:rsid w:val="09473C1D"/>
    <w:rsid w:val="094C3466"/>
    <w:rsid w:val="094E0A7E"/>
    <w:rsid w:val="097E472B"/>
    <w:rsid w:val="099202DD"/>
    <w:rsid w:val="09C83435"/>
    <w:rsid w:val="09D41DD9"/>
    <w:rsid w:val="09DD72C1"/>
    <w:rsid w:val="09F2400E"/>
    <w:rsid w:val="0A03446D"/>
    <w:rsid w:val="0A0B6E5E"/>
    <w:rsid w:val="0A0F6089"/>
    <w:rsid w:val="0A3679BF"/>
    <w:rsid w:val="0A424F95"/>
    <w:rsid w:val="0AD025A1"/>
    <w:rsid w:val="0ADA51CD"/>
    <w:rsid w:val="0ADD081A"/>
    <w:rsid w:val="0AEF64DF"/>
    <w:rsid w:val="0AF10769"/>
    <w:rsid w:val="0B04224A"/>
    <w:rsid w:val="0B2C17A1"/>
    <w:rsid w:val="0B2C354F"/>
    <w:rsid w:val="0B50723E"/>
    <w:rsid w:val="0B5F3925"/>
    <w:rsid w:val="0B602C60"/>
    <w:rsid w:val="0B6422B6"/>
    <w:rsid w:val="0B6B051B"/>
    <w:rsid w:val="0B6D3320"/>
    <w:rsid w:val="0B893870"/>
    <w:rsid w:val="0BB84DE3"/>
    <w:rsid w:val="0BB97AC8"/>
    <w:rsid w:val="0BED2CDE"/>
    <w:rsid w:val="0BF2140F"/>
    <w:rsid w:val="0C021626"/>
    <w:rsid w:val="0C0A140B"/>
    <w:rsid w:val="0C4D7C21"/>
    <w:rsid w:val="0C567D0B"/>
    <w:rsid w:val="0C627A39"/>
    <w:rsid w:val="0C746EAB"/>
    <w:rsid w:val="0C935806"/>
    <w:rsid w:val="0C942A80"/>
    <w:rsid w:val="0C945A00"/>
    <w:rsid w:val="0CA65052"/>
    <w:rsid w:val="0CAC51AC"/>
    <w:rsid w:val="0CC021A1"/>
    <w:rsid w:val="0CF511D5"/>
    <w:rsid w:val="0CF73F0B"/>
    <w:rsid w:val="0D020A0B"/>
    <w:rsid w:val="0D0504FC"/>
    <w:rsid w:val="0D2D3F6A"/>
    <w:rsid w:val="0D3E4136"/>
    <w:rsid w:val="0D3F756A"/>
    <w:rsid w:val="0D490DFB"/>
    <w:rsid w:val="0D4D28BF"/>
    <w:rsid w:val="0D584ACF"/>
    <w:rsid w:val="0D7511DD"/>
    <w:rsid w:val="0D7C3293"/>
    <w:rsid w:val="0D9011DC"/>
    <w:rsid w:val="0D906017"/>
    <w:rsid w:val="0DA27AF9"/>
    <w:rsid w:val="0DA87805"/>
    <w:rsid w:val="0DB22432"/>
    <w:rsid w:val="0DC42165"/>
    <w:rsid w:val="0DCA72A3"/>
    <w:rsid w:val="0DF806B8"/>
    <w:rsid w:val="0E212997"/>
    <w:rsid w:val="0E4017EB"/>
    <w:rsid w:val="0E7479E9"/>
    <w:rsid w:val="0E77572D"/>
    <w:rsid w:val="0EE02A09"/>
    <w:rsid w:val="0EE24651"/>
    <w:rsid w:val="0EFD148A"/>
    <w:rsid w:val="0F0F5662"/>
    <w:rsid w:val="0F202AFE"/>
    <w:rsid w:val="0F264E85"/>
    <w:rsid w:val="0F2C4152"/>
    <w:rsid w:val="0F334EAC"/>
    <w:rsid w:val="0F574CA3"/>
    <w:rsid w:val="0F8751F8"/>
    <w:rsid w:val="0FA7589A"/>
    <w:rsid w:val="0FB74D7B"/>
    <w:rsid w:val="0FC67F13"/>
    <w:rsid w:val="0FD0094D"/>
    <w:rsid w:val="0FE1702F"/>
    <w:rsid w:val="0FE73EE9"/>
    <w:rsid w:val="0FE8038D"/>
    <w:rsid w:val="0FF004AA"/>
    <w:rsid w:val="10066A65"/>
    <w:rsid w:val="101D790A"/>
    <w:rsid w:val="102021A1"/>
    <w:rsid w:val="10277FDE"/>
    <w:rsid w:val="103B2673"/>
    <w:rsid w:val="108F67BB"/>
    <w:rsid w:val="10A2678D"/>
    <w:rsid w:val="10A342B4"/>
    <w:rsid w:val="10B06929"/>
    <w:rsid w:val="10BA4BD5"/>
    <w:rsid w:val="10CA0971"/>
    <w:rsid w:val="10D12BCF"/>
    <w:rsid w:val="10EF7769"/>
    <w:rsid w:val="10F36FE9"/>
    <w:rsid w:val="11026F78"/>
    <w:rsid w:val="110519DE"/>
    <w:rsid w:val="110A7E8F"/>
    <w:rsid w:val="111E24A0"/>
    <w:rsid w:val="112406FA"/>
    <w:rsid w:val="11346F8C"/>
    <w:rsid w:val="1141166B"/>
    <w:rsid w:val="116F4F22"/>
    <w:rsid w:val="11755C50"/>
    <w:rsid w:val="11791639"/>
    <w:rsid w:val="11845E93"/>
    <w:rsid w:val="118F7275"/>
    <w:rsid w:val="1192349F"/>
    <w:rsid w:val="1198193E"/>
    <w:rsid w:val="11A71B81"/>
    <w:rsid w:val="12386C7D"/>
    <w:rsid w:val="124949E7"/>
    <w:rsid w:val="124A2EBE"/>
    <w:rsid w:val="126F18CA"/>
    <w:rsid w:val="127000BF"/>
    <w:rsid w:val="128F3AF7"/>
    <w:rsid w:val="1298160C"/>
    <w:rsid w:val="12AA1929"/>
    <w:rsid w:val="12BB442E"/>
    <w:rsid w:val="12BB6A51"/>
    <w:rsid w:val="12F157AA"/>
    <w:rsid w:val="13085987"/>
    <w:rsid w:val="13223BB5"/>
    <w:rsid w:val="132F1E2E"/>
    <w:rsid w:val="1344242A"/>
    <w:rsid w:val="134A0A16"/>
    <w:rsid w:val="13712447"/>
    <w:rsid w:val="138E124B"/>
    <w:rsid w:val="13A57D35"/>
    <w:rsid w:val="13A740BB"/>
    <w:rsid w:val="13D91E69"/>
    <w:rsid w:val="14045069"/>
    <w:rsid w:val="14343DF9"/>
    <w:rsid w:val="143E4A1F"/>
    <w:rsid w:val="14593607"/>
    <w:rsid w:val="146F6F38"/>
    <w:rsid w:val="14885C1E"/>
    <w:rsid w:val="148E0DD7"/>
    <w:rsid w:val="14D96BDD"/>
    <w:rsid w:val="14FE41AE"/>
    <w:rsid w:val="152009F8"/>
    <w:rsid w:val="1525101E"/>
    <w:rsid w:val="154C4F1A"/>
    <w:rsid w:val="155913E5"/>
    <w:rsid w:val="15604521"/>
    <w:rsid w:val="15727625"/>
    <w:rsid w:val="158C299F"/>
    <w:rsid w:val="15A5287C"/>
    <w:rsid w:val="15C2342E"/>
    <w:rsid w:val="15C70A44"/>
    <w:rsid w:val="15D53161"/>
    <w:rsid w:val="15E2762C"/>
    <w:rsid w:val="15E74C42"/>
    <w:rsid w:val="15F5735F"/>
    <w:rsid w:val="16197E6B"/>
    <w:rsid w:val="16257519"/>
    <w:rsid w:val="166B734E"/>
    <w:rsid w:val="16783E10"/>
    <w:rsid w:val="168242D0"/>
    <w:rsid w:val="168E3310"/>
    <w:rsid w:val="168F3833"/>
    <w:rsid w:val="16B873C6"/>
    <w:rsid w:val="16CC2691"/>
    <w:rsid w:val="16D52CED"/>
    <w:rsid w:val="17051824"/>
    <w:rsid w:val="17070303"/>
    <w:rsid w:val="172779EC"/>
    <w:rsid w:val="172942A5"/>
    <w:rsid w:val="17562080"/>
    <w:rsid w:val="176A505F"/>
    <w:rsid w:val="178F5592"/>
    <w:rsid w:val="17AA5F28"/>
    <w:rsid w:val="17B64B4E"/>
    <w:rsid w:val="17C43DD0"/>
    <w:rsid w:val="17D03229"/>
    <w:rsid w:val="17F04282"/>
    <w:rsid w:val="17F17FFA"/>
    <w:rsid w:val="18055854"/>
    <w:rsid w:val="18107B4F"/>
    <w:rsid w:val="18613F4D"/>
    <w:rsid w:val="186B3909"/>
    <w:rsid w:val="18787DD4"/>
    <w:rsid w:val="18C66D91"/>
    <w:rsid w:val="18D019BE"/>
    <w:rsid w:val="18FC0A05"/>
    <w:rsid w:val="193E6C8C"/>
    <w:rsid w:val="19595AAF"/>
    <w:rsid w:val="19722343"/>
    <w:rsid w:val="197B0BEB"/>
    <w:rsid w:val="19834C82"/>
    <w:rsid w:val="19906C5A"/>
    <w:rsid w:val="1A0C09AF"/>
    <w:rsid w:val="1A29497D"/>
    <w:rsid w:val="1A2975D8"/>
    <w:rsid w:val="1A366198"/>
    <w:rsid w:val="1A404921"/>
    <w:rsid w:val="1A462F97"/>
    <w:rsid w:val="1A506BEA"/>
    <w:rsid w:val="1A512291"/>
    <w:rsid w:val="1A650743"/>
    <w:rsid w:val="1A693E78"/>
    <w:rsid w:val="1A7647E7"/>
    <w:rsid w:val="1A7A42B2"/>
    <w:rsid w:val="1A7D0EE8"/>
    <w:rsid w:val="1A9845E5"/>
    <w:rsid w:val="1A9D63A4"/>
    <w:rsid w:val="1A9F657E"/>
    <w:rsid w:val="1AA7647A"/>
    <w:rsid w:val="1ABC4D24"/>
    <w:rsid w:val="1B034424"/>
    <w:rsid w:val="1B097409"/>
    <w:rsid w:val="1B1069E9"/>
    <w:rsid w:val="1B1262BE"/>
    <w:rsid w:val="1B24533D"/>
    <w:rsid w:val="1B305120"/>
    <w:rsid w:val="1B7D4190"/>
    <w:rsid w:val="1B8D003A"/>
    <w:rsid w:val="1BA675CC"/>
    <w:rsid w:val="1BB72BDE"/>
    <w:rsid w:val="1BD27C70"/>
    <w:rsid w:val="1BF14125"/>
    <w:rsid w:val="1C013A85"/>
    <w:rsid w:val="1C0C7CC4"/>
    <w:rsid w:val="1C185B56"/>
    <w:rsid w:val="1C3855A4"/>
    <w:rsid w:val="1C4921B3"/>
    <w:rsid w:val="1C4A1A87"/>
    <w:rsid w:val="1C552F3C"/>
    <w:rsid w:val="1C5618C8"/>
    <w:rsid w:val="1C5648D0"/>
    <w:rsid w:val="1C654B13"/>
    <w:rsid w:val="1C8B5015"/>
    <w:rsid w:val="1C8C02F2"/>
    <w:rsid w:val="1C8E5E18"/>
    <w:rsid w:val="1C98798D"/>
    <w:rsid w:val="1CD22C12"/>
    <w:rsid w:val="1CD32A5C"/>
    <w:rsid w:val="1CD5442F"/>
    <w:rsid w:val="1CE54004"/>
    <w:rsid w:val="1CEC6CD0"/>
    <w:rsid w:val="1D003B60"/>
    <w:rsid w:val="1D06604B"/>
    <w:rsid w:val="1D135739"/>
    <w:rsid w:val="1D2B7B0B"/>
    <w:rsid w:val="1D444728"/>
    <w:rsid w:val="1D4B1610"/>
    <w:rsid w:val="1D6E79F7"/>
    <w:rsid w:val="1D81336E"/>
    <w:rsid w:val="1DAF4298"/>
    <w:rsid w:val="1DC82DEF"/>
    <w:rsid w:val="1DF46E42"/>
    <w:rsid w:val="1DFD6618"/>
    <w:rsid w:val="1E0A4259"/>
    <w:rsid w:val="1E220F0E"/>
    <w:rsid w:val="1E2F7187"/>
    <w:rsid w:val="1E4470D6"/>
    <w:rsid w:val="1E4E1C67"/>
    <w:rsid w:val="1E5F5DFB"/>
    <w:rsid w:val="1E64796A"/>
    <w:rsid w:val="1E71779F"/>
    <w:rsid w:val="1E8F5E77"/>
    <w:rsid w:val="1E982F7E"/>
    <w:rsid w:val="1E9E1A62"/>
    <w:rsid w:val="1EB21CEB"/>
    <w:rsid w:val="1EE61F3B"/>
    <w:rsid w:val="1F022AED"/>
    <w:rsid w:val="1F176598"/>
    <w:rsid w:val="1F3C7DAD"/>
    <w:rsid w:val="1F3F2038"/>
    <w:rsid w:val="1F4E5D32"/>
    <w:rsid w:val="1F5570C1"/>
    <w:rsid w:val="1F703EFB"/>
    <w:rsid w:val="1F76742A"/>
    <w:rsid w:val="1F8258B0"/>
    <w:rsid w:val="1FAC4C3D"/>
    <w:rsid w:val="1FBC147E"/>
    <w:rsid w:val="1FC54F55"/>
    <w:rsid w:val="1FCC0A47"/>
    <w:rsid w:val="1FEE75D9"/>
    <w:rsid w:val="2010356D"/>
    <w:rsid w:val="20253C29"/>
    <w:rsid w:val="20280FE1"/>
    <w:rsid w:val="20557672"/>
    <w:rsid w:val="2056004D"/>
    <w:rsid w:val="20601D7D"/>
    <w:rsid w:val="206155F1"/>
    <w:rsid w:val="206375BB"/>
    <w:rsid w:val="20825C93"/>
    <w:rsid w:val="20987265"/>
    <w:rsid w:val="20AC0F62"/>
    <w:rsid w:val="20BA367F"/>
    <w:rsid w:val="20D61B3B"/>
    <w:rsid w:val="20EA55E7"/>
    <w:rsid w:val="20F45776"/>
    <w:rsid w:val="210E78A5"/>
    <w:rsid w:val="211D3C0E"/>
    <w:rsid w:val="214C257C"/>
    <w:rsid w:val="2180377B"/>
    <w:rsid w:val="2180399D"/>
    <w:rsid w:val="21B66AE8"/>
    <w:rsid w:val="21F030D1"/>
    <w:rsid w:val="220A75A6"/>
    <w:rsid w:val="22600256"/>
    <w:rsid w:val="2274264E"/>
    <w:rsid w:val="22B12860"/>
    <w:rsid w:val="22CB7258"/>
    <w:rsid w:val="23156613"/>
    <w:rsid w:val="231E370F"/>
    <w:rsid w:val="234E4553"/>
    <w:rsid w:val="23741495"/>
    <w:rsid w:val="238008AB"/>
    <w:rsid w:val="23DC4779"/>
    <w:rsid w:val="23E6478B"/>
    <w:rsid w:val="23EC5421"/>
    <w:rsid w:val="23FA0464"/>
    <w:rsid w:val="241C63FF"/>
    <w:rsid w:val="2423386F"/>
    <w:rsid w:val="243F3E9B"/>
    <w:rsid w:val="24421EE4"/>
    <w:rsid w:val="2443398C"/>
    <w:rsid w:val="24566EAF"/>
    <w:rsid w:val="245A2A83"/>
    <w:rsid w:val="245E2574"/>
    <w:rsid w:val="24676B48"/>
    <w:rsid w:val="24755AC5"/>
    <w:rsid w:val="247E78C9"/>
    <w:rsid w:val="2491699B"/>
    <w:rsid w:val="249661B1"/>
    <w:rsid w:val="24A51F50"/>
    <w:rsid w:val="24C04FDC"/>
    <w:rsid w:val="24C90335"/>
    <w:rsid w:val="24CF6FCD"/>
    <w:rsid w:val="24D046C0"/>
    <w:rsid w:val="24D31AD6"/>
    <w:rsid w:val="24D32F62"/>
    <w:rsid w:val="24D77167"/>
    <w:rsid w:val="24E23186"/>
    <w:rsid w:val="251946ED"/>
    <w:rsid w:val="2526015E"/>
    <w:rsid w:val="25383E1B"/>
    <w:rsid w:val="253F322D"/>
    <w:rsid w:val="254A5CCC"/>
    <w:rsid w:val="25A466AC"/>
    <w:rsid w:val="25BC39F6"/>
    <w:rsid w:val="25CE3729"/>
    <w:rsid w:val="25D95944"/>
    <w:rsid w:val="25DC6087"/>
    <w:rsid w:val="25F767DC"/>
    <w:rsid w:val="25FF1B34"/>
    <w:rsid w:val="262D7EE2"/>
    <w:rsid w:val="2644571B"/>
    <w:rsid w:val="265637FF"/>
    <w:rsid w:val="26655897"/>
    <w:rsid w:val="26C30562"/>
    <w:rsid w:val="26C41A57"/>
    <w:rsid w:val="26CE1B16"/>
    <w:rsid w:val="26E054C2"/>
    <w:rsid w:val="270D699A"/>
    <w:rsid w:val="27247AA4"/>
    <w:rsid w:val="27373C76"/>
    <w:rsid w:val="273A290F"/>
    <w:rsid w:val="274D0493"/>
    <w:rsid w:val="276212D4"/>
    <w:rsid w:val="276C4CBC"/>
    <w:rsid w:val="277F227A"/>
    <w:rsid w:val="278E13C2"/>
    <w:rsid w:val="279302CF"/>
    <w:rsid w:val="27A400FB"/>
    <w:rsid w:val="27B07189"/>
    <w:rsid w:val="27BB0F5E"/>
    <w:rsid w:val="27D33A7D"/>
    <w:rsid w:val="27F43060"/>
    <w:rsid w:val="28133675"/>
    <w:rsid w:val="28461C9C"/>
    <w:rsid w:val="285E6FE6"/>
    <w:rsid w:val="286A7DAB"/>
    <w:rsid w:val="286E6AFD"/>
    <w:rsid w:val="2870379F"/>
    <w:rsid w:val="28735EF7"/>
    <w:rsid w:val="2896777B"/>
    <w:rsid w:val="28A46D6B"/>
    <w:rsid w:val="28B673C2"/>
    <w:rsid w:val="28C8445F"/>
    <w:rsid w:val="28F066CA"/>
    <w:rsid w:val="28F93369"/>
    <w:rsid w:val="291B0A33"/>
    <w:rsid w:val="291C47AB"/>
    <w:rsid w:val="291D29FD"/>
    <w:rsid w:val="291E6775"/>
    <w:rsid w:val="29235B3A"/>
    <w:rsid w:val="292B7768"/>
    <w:rsid w:val="294D5BB5"/>
    <w:rsid w:val="294F2DD3"/>
    <w:rsid w:val="29507C42"/>
    <w:rsid w:val="29532AE3"/>
    <w:rsid w:val="29586F2B"/>
    <w:rsid w:val="295A1365"/>
    <w:rsid w:val="298D21FE"/>
    <w:rsid w:val="299407E6"/>
    <w:rsid w:val="29C70AA4"/>
    <w:rsid w:val="29CE3CF8"/>
    <w:rsid w:val="2A187669"/>
    <w:rsid w:val="2A251687"/>
    <w:rsid w:val="2A297180"/>
    <w:rsid w:val="2A452073"/>
    <w:rsid w:val="2A461AE0"/>
    <w:rsid w:val="2A693A20"/>
    <w:rsid w:val="2AD92315"/>
    <w:rsid w:val="2AF163C6"/>
    <w:rsid w:val="2AFC6642"/>
    <w:rsid w:val="2AFE7D7F"/>
    <w:rsid w:val="2B096D7F"/>
    <w:rsid w:val="2B1E2A5D"/>
    <w:rsid w:val="2B285A09"/>
    <w:rsid w:val="2B3C3502"/>
    <w:rsid w:val="2B717030"/>
    <w:rsid w:val="2B7A5EA3"/>
    <w:rsid w:val="2B966A97"/>
    <w:rsid w:val="2B9E10A7"/>
    <w:rsid w:val="2BA50A88"/>
    <w:rsid w:val="2BAA5F79"/>
    <w:rsid w:val="2BC857E0"/>
    <w:rsid w:val="2BCF1FA9"/>
    <w:rsid w:val="2BDF3682"/>
    <w:rsid w:val="2BEB2E89"/>
    <w:rsid w:val="2BED20FC"/>
    <w:rsid w:val="2C205AD9"/>
    <w:rsid w:val="2C361F6B"/>
    <w:rsid w:val="2C426380"/>
    <w:rsid w:val="2C7A59DB"/>
    <w:rsid w:val="2CA17633"/>
    <w:rsid w:val="2CB05185"/>
    <w:rsid w:val="2CB30491"/>
    <w:rsid w:val="2CC118F2"/>
    <w:rsid w:val="2CCB09C2"/>
    <w:rsid w:val="2CE96994"/>
    <w:rsid w:val="2CFE4891"/>
    <w:rsid w:val="2D02347E"/>
    <w:rsid w:val="2D1F3041"/>
    <w:rsid w:val="2D46460C"/>
    <w:rsid w:val="2D4D07A5"/>
    <w:rsid w:val="2D511673"/>
    <w:rsid w:val="2D590226"/>
    <w:rsid w:val="2D621DCA"/>
    <w:rsid w:val="2D830611"/>
    <w:rsid w:val="2D9E60D7"/>
    <w:rsid w:val="2DAC4350"/>
    <w:rsid w:val="2DDF6B09"/>
    <w:rsid w:val="2DFB0E33"/>
    <w:rsid w:val="2E221CCA"/>
    <w:rsid w:val="2E23315A"/>
    <w:rsid w:val="2E304F81"/>
    <w:rsid w:val="2E344345"/>
    <w:rsid w:val="2E3F4FA6"/>
    <w:rsid w:val="2E7330BF"/>
    <w:rsid w:val="2E854930"/>
    <w:rsid w:val="2EA84FA5"/>
    <w:rsid w:val="2EB37826"/>
    <w:rsid w:val="2EC845D4"/>
    <w:rsid w:val="2ED753FC"/>
    <w:rsid w:val="2EDC2A13"/>
    <w:rsid w:val="2EE31A67"/>
    <w:rsid w:val="2EEA15D4"/>
    <w:rsid w:val="2F0E4E31"/>
    <w:rsid w:val="2F192FE1"/>
    <w:rsid w:val="2F252203"/>
    <w:rsid w:val="2F3C7955"/>
    <w:rsid w:val="2F4326D1"/>
    <w:rsid w:val="2F464E8D"/>
    <w:rsid w:val="2F866E22"/>
    <w:rsid w:val="2F8D7364"/>
    <w:rsid w:val="2FAA0D63"/>
    <w:rsid w:val="2FC64215"/>
    <w:rsid w:val="2FD23E16"/>
    <w:rsid w:val="2FDD171B"/>
    <w:rsid w:val="300F506A"/>
    <w:rsid w:val="301B756B"/>
    <w:rsid w:val="30305A40"/>
    <w:rsid w:val="30576230"/>
    <w:rsid w:val="30766201"/>
    <w:rsid w:val="30A909AA"/>
    <w:rsid w:val="30B30514"/>
    <w:rsid w:val="30CE14CF"/>
    <w:rsid w:val="30D077C5"/>
    <w:rsid w:val="31000688"/>
    <w:rsid w:val="31146DD0"/>
    <w:rsid w:val="31152803"/>
    <w:rsid w:val="318555E4"/>
    <w:rsid w:val="318D07DA"/>
    <w:rsid w:val="319C0B7F"/>
    <w:rsid w:val="319F714E"/>
    <w:rsid w:val="323112C7"/>
    <w:rsid w:val="324E1E79"/>
    <w:rsid w:val="32534AFB"/>
    <w:rsid w:val="326C67A3"/>
    <w:rsid w:val="327B3DBE"/>
    <w:rsid w:val="32A8039A"/>
    <w:rsid w:val="32D57EA5"/>
    <w:rsid w:val="33137A65"/>
    <w:rsid w:val="331A1D5C"/>
    <w:rsid w:val="33205E2B"/>
    <w:rsid w:val="33555EBD"/>
    <w:rsid w:val="335A5CA1"/>
    <w:rsid w:val="336B6A5B"/>
    <w:rsid w:val="33813BF9"/>
    <w:rsid w:val="33A21975"/>
    <w:rsid w:val="33A36B60"/>
    <w:rsid w:val="33CC2BAF"/>
    <w:rsid w:val="33CF0157"/>
    <w:rsid w:val="346516FC"/>
    <w:rsid w:val="348051F1"/>
    <w:rsid w:val="34842CBB"/>
    <w:rsid w:val="348778C5"/>
    <w:rsid w:val="34C75D1D"/>
    <w:rsid w:val="34E02B31"/>
    <w:rsid w:val="350607E9"/>
    <w:rsid w:val="35382109"/>
    <w:rsid w:val="35434130"/>
    <w:rsid w:val="355778BB"/>
    <w:rsid w:val="35675000"/>
    <w:rsid w:val="35833D31"/>
    <w:rsid w:val="358C6C4C"/>
    <w:rsid w:val="3599165E"/>
    <w:rsid w:val="35BF1F03"/>
    <w:rsid w:val="35CF1987"/>
    <w:rsid w:val="35DC59EE"/>
    <w:rsid w:val="35DC5FA2"/>
    <w:rsid w:val="35FA4F9F"/>
    <w:rsid w:val="35FD0996"/>
    <w:rsid w:val="360705A5"/>
    <w:rsid w:val="360A255B"/>
    <w:rsid w:val="360E2C5A"/>
    <w:rsid w:val="36267CB5"/>
    <w:rsid w:val="367762AE"/>
    <w:rsid w:val="36864FB9"/>
    <w:rsid w:val="36956196"/>
    <w:rsid w:val="36A209E6"/>
    <w:rsid w:val="36C4095C"/>
    <w:rsid w:val="36C43710"/>
    <w:rsid w:val="36F15ED0"/>
    <w:rsid w:val="36F26843"/>
    <w:rsid w:val="37453C40"/>
    <w:rsid w:val="37542097"/>
    <w:rsid w:val="3766401B"/>
    <w:rsid w:val="37737C8C"/>
    <w:rsid w:val="377834F5"/>
    <w:rsid w:val="378325C5"/>
    <w:rsid w:val="378B76CC"/>
    <w:rsid w:val="37AB38CA"/>
    <w:rsid w:val="37C83786"/>
    <w:rsid w:val="37C87FD8"/>
    <w:rsid w:val="38441C7C"/>
    <w:rsid w:val="389425B0"/>
    <w:rsid w:val="38AD71CE"/>
    <w:rsid w:val="38C118E6"/>
    <w:rsid w:val="38CE5CE6"/>
    <w:rsid w:val="38D26C34"/>
    <w:rsid w:val="39040459"/>
    <w:rsid w:val="39113C01"/>
    <w:rsid w:val="39141B89"/>
    <w:rsid w:val="39161217"/>
    <w:rsid w:val="39692168"/>
    <w:rsid w:val="3970274A"/>
    <w:rsid w:val="398D0970"/>
    <w:rsid w:val="399F745E"/>
    <w:rsid w:val="39CA4C1F"/>
    <w:rsid w:val="39D81ED7"/>
    <w:rsid w:val="39DE1D35"/>
    <w:rsid w:val="3A00614F"/>
    <w:rsid w:val="3A2D6818"/>
    <w:rsid w:val="3A31121C"/>
    <w:rsid w:val="3A3F1EB2"/>
    <w:rsid w:val="3A4E2C7C"/>
    <w:rsid w:val="3A5E1C16"/>
    <w:rsid w:val="3A696CD3"/>
    <w:rsid w:val="3AC42054"/>
    <w:rsid w:val="3AD1189A"/>
    <w:rsid w:val="3ADD0854"/>
    <w:rsid w:val="3AF065EC"/>
    <w:rsid w:val="3AFD44E9"/>
    <w:rsid w:val="3B073DC2"/>
    <w:rsid w:val="3B137FF8"/>
    <w:rsid w:val="3B395FEA"/>
    <w:rsid w:val="3B536111"/>
    <w:rsid w:val="3B9D63DC"/>
    <w:rsid w:val="3B9D69F0"/>
    <w:rsid w:val="3BAE1209"/>
    <w:rsid w:val="3BAE3989"/>
    <w:rsid w:val="3BBA0580"/>
    <w:rsid w:val="3BD7212D"/>
    <w:rsid w:val="3BD74C8E"/>
    <w:rsid w:val="3BFA097C"/>
    <w:rsid w:val="3BFD3F4B"/>
    <w:rsid w:val="3C1119BE"/>
    <w:rsid w:val="3C325F6A"/>
    <w:rsid w:val="3C860462"/>
    <w:rsid w:val="3C8A2C04"/>
    <w:rsid w:val="3CA32DC2"/>
    <w:rsid w:val="3CA75B1E"/>
    <w:rsid w:val="3CAA5311"/>
    <w:rsid w:val="3CB62557"/>
    <w:rsid w:val="3CD4741F"/>
    <w:rsid w:val="3CD62999"/>
    <w:rsid w:val="3CFC3141"/>
    <w:rsid w:val="3CFD6976"/>
    <w:rsid w:val="3D1B32A0"/>
    <w:rsid w:val="3D211F38"/>
    <w:rsid w:val="3D3B2FFA"/>
    <w:rsid w:val="3D524B13"/>
    <w:rsid w:val="3DAB63D2"/>
    <w:rsid w:val="3DB3271D"/>
    <w:rsid w:val="3DD50037"/>
    <w:rsid w:val="3E291B84"/>
    <w:rsid w:val="3E292905"/>
    <w:rsid w:val="3E507B57"/>
    <w:rsid w:val="3E595E2E"/>
    <w:rsid w:val="3E61781D"/>
    <w:rsid w:val="3E7A2248"/>
    <w:rsid w:val="3E7C1B1C"/>
    <w:rsid w:val="3E816406"/>
    <w:rsid w:val="3E981CE8"/>
    <w:rsid w:val="3EC43D05"/>
    <w:rsid w:val="3EDC080D"/>
    <w:rsid w:val="3EE020AB"/>
    <w:rsid w:val="3EE8492E"/>
    <w:rsid w:val="3EED5823"/>
    <w:rsid w:val="3EF17F10"/>
    <w:rsid w:val="3F1735F3"/>
    <w:rsid w:val="3F240F03"/>
    <w:rsid w:val="3F287AAC"/>
    <w:rsid w:val="3F312907"/>
    <w:rsid w:val="3F447019"/>
    <w:rsid w:val="3F830C89"/>
    <w:rsid w:val="3F91350E"/>
    <w:rsid w:val="3FD0283B"/>
    <w:rsid w:val="40016053"/>
    <w:rsid w:val="40263C01"/>
    <w:rsid w:val="40321FEF"/>
    <w:rsid w:val="40387CC5"/>
    <w:rsid w:val="40534AFF"/>
    <w:rsid w:val="40580367"/>
    <w:rsid w:val="407B61A9"/>
    <w:rsid w:val="409018AF"/>
    <w:rsid w:val="40A846C6"/>
    <w:rsid w:val="40A84E4B"/>
    <w:rsid w:val="40C35C84"/>
    <w:rsid w:val="40C56FE7"/>
    <w:rsid w:val="40CA2A93"/>
    <w:rsid w:val="40D21EC7"/>
    <w:rsid w:val="40D914A8"/>
    <w:rsid w:val="40F57964"/>
    <w:rsid w:val="412F0F7D"/>
    <w:rsid w:val="41391F47"/>
    <w:rsid w:val="418164BE"/>
    <w:rsid w:val="41865FB5"/>
    <w:rsid w:val="41B35639"/>
    <w:rsid w:val="41BE79EC"/>
    <w:rsid w:val="41C1797D"/>
    <w:rsid w:val="41E8145E"/>
    <w:rsid w:val="41E974C9"/>
    <w:rsid w:val="422E0127"/>
    <w:rsid w:val="422E312E"/>
    <w:rsid w:val="42310866"/>
    <w:rsid w:val="423E1C25"/>
    <w:rsid w:val="425A3900"/>
    <w:rsid w:val="427B3E29"/>
    <w:rsid w:val="42905B96"/>
    <w:rsid w:val="4298130E"/>
    <w:rsid w:val="42AE426E"/>
    <w:rsid w:val="42D41C59"/>
    <w:rsid w:val="42F8373B"/>
    <w:rsid w:val="43387D84"/>
    <w:rsid w:val="436F0017"/>
    <w:rsid w:val="43761536"/>
    <w:rsid w:val="438230E1"/>
    <w:rsid w:val="43840DFB"/>
    <w:rsid w:val="438E2857"/>
    <w:rsid w:val="4396542E"/>
    <w:rsid w:val="43A87863"/>
    <w:rsid w:val="43CF26EE"/>
    <w:rsid w:val="43D23954"/>
    <w:rsid w:val="43E27BB0"/>
    <w:rsid w:val="43EF4BA7"/>
    <w:rsid w:val="43FA35F7"/>
    <w:rsid w:val="43FF1225"/>
    <w:rsid w:val="440A7BCA"/>
    <w:rsid w:val="44112D07"/>
    <w:rsid w:val="444F7820"/>
    <w:rsid w:val="44562E10"/>
    <w:rsid w:val="44581EC4"/>
    <w:rsid w:val="448A73E4"/>
    <w:rsid w:val="44B91EC5"/>
    <w:rsid w:val="44D50DCD"/>
    <w:rsid w:val="44E67CEF"/>
    <w:rsid w:val="44E73A68"/>
    <w:rsid w:val="44F01836"/>
    <w:rsid w:val="452D5742"/>
    <w:rsid w:val="454A2974"/>
    <w:rsid w:val="45533F2D"/>
    <w:rsid w:val="455523D4"/>
    <w:rsid w:val="45563C52"/>
    <w:rsid w:val="455B692F"/>
    <w:rsid w:val="456D21BF"/>
    <w:rsid w:val="45AD6A5F"/>
    <w:rsid w:val="45B47DEE"/>
    <w:rsid w:val="45CF6DB3"/>
    <w:rsid w:val="461865CE"/>
    <w:rsid w:val="463B22BD"/>
    <w:rsid w:val="46492C2C"/>
    <w:rsid w:val="4653381F"/>
    <w:rsid w:val="46734DDC"/>
    <w:rsid w:val="46780E1B"/>
    <w:rsid w:val="469A0956"/>
    <w:rsid w:val="46AC5946"/>
    <w:rsid w:val="46B34549"/>
    <w:rsid w:val="46BE2367"/>
    <w:rsid w:val="46E01323"/>
    <w:rsid w:val="46E249A6"/>
    <w:rsid w:val="474B29D4"/>
    <w:rsid w:val="475353E4"/>
    <w:rsid w:val="47685334"/>
    <w:rsid w:val="479052F0"/>
    <w:rsid w:val="4799373F"/>
    <w:rsid w:val="479B006A"/>
    <w:rsid w:val="47A143A2"/>
    <w:rsid w:val="47A455D1"/>
    <w:rsid w:val="47B448F0"/>
    <w:rsid w:val="47D12ED9"/>
    <w:rsid w:val="47D604EF"/>
    <w:rsid w:val="47DE188B"/>
    <w:rsid w:val="47ED7D50"/>
    <w:rsid w:val="47FB5C11"/>
    <w:rsid w:val="48135632"/>
    <w:rsid w:val="48253225"/>
    <w:rsid w:val="482F3186"/>
    <w:rsid w:val="48455675"/>
    <w:rsid w:val="48592ECE"/>
    <w:rsid w:val="48602451"/>
    <w:rsid w:val="487D4E0F"/>
    <w:rsid w:val="48AC74A2"/>
    <w:rsid w:val="48DB38E3"/>
    <w:rsid w:val="48F0738F"/>
    <w:rsid w:val="48FD1AAC"/>
    <w:rsid w:val="4900334A"/>
    <w:rsid w:val="49592CF7"/>
    <w:rsid w:val="496120EC"/>
    <w:rsid w:val="499557A4"/>
    <w:rsid w:val="49AB1913"/>
    <w:rsid w:val="49B6503F"/>
    <w:rsid w:val="49BD484D"/>
    <w:rsid w:val="49EC6155"/>
    <w:rsid w:val="49F32068"/>
    <w:rsid w:val="4A115CF3"/>
    <w:rsid w:val="4A1D2914"/>
    <w:rsid w:val="4A235542"/>
    <w:rsid w:val="4A58343D"/>
    <w:rsid w:val="4A735595"/>
    <w:rsid w:val="4A7A23FB"/>
    <w:rsid w:val="4AB03279"/>
    <w:rsid w:val="4AB83EDC"/>
    <w:rsid w:val="4AC72B94"/>
    <w:rsid w:val="4AD319B0"/>
    <w:rsid w:val="4AFD5D93"/>
    <w:rsid w:val="4B182BCD"/>
    <w:rsid w:val="4B362C2A"/>
    <w:rsid w:val="4B4734DA"/>
    <w:rsid w:val="4B5F25AA"/>
    <w:rsid w:val="4B8D7117"/>
    <w:rsid w:val="4B9E1324"/>
    <w:rsid w:val="4BB24DCF"/>
    <w:rsid w:val="4BE07B8E"/>
    <w:rsid w:val="4BED5E07"/>
    <w:rsid w:val="4BF26204"/>
    <w:rsid w:val="4C043151"/>
    <w:rsid w:val="4C196AA6"/>
    <w:rsid w:val="4C4F6197"/>
    <w:rsid w:val="4C5B0FC3"/>
    <w:rsid w:val="4C601B1D"/>
    <w:rsid w:val="4C7A2B00"/>
    <w:rsid w:val="4C856040"/>
    <w:rsid w:val="4C96209D"/>
    <w:rsid w:val="4CAF47D4"/>
    <w:rsid w:val="4CC96874"/>
    <w:rsid w:val="4CE76CFB"/>
    <w:rsid w:val="4D070B60"/>
    <w:rsid w:val="4D0B7AA1"/>
    <w:rsid w:val="4D151722"/>
    <w:rsid w:val="4D4A231F"/>
    <w:rsid w:val="4D536BA4"/>
    <w:rsid w:val="4D5D0D6B"/>
    <w:rsid w:val="4D6D5452"/>
    <w:rsid w:val="4D866514"/>
    <w:rsid w:val="4D8F03FC"/>
    <w:rsid w:val="4DAF2A89"/>
    <w:rsid w:val="4DC4703C"/>
    <w:rsid w:val="4E07242C"/>
    <w:rsid w:val="4E0F0B9A"/>
    <w:rsid w:val="4E163BB7"/>
    <w:rsid w:val="4E2E3285"/>
    <w:rsid w:val="4E323135"/>
    <w:rsid w:val="4E686513"/>
    <w:rsid w:val="4E6C5868"/>
    <w:rsid w:val="4E74636C"/>
    <w:rsid w:val="4E796078"/>
    <w:rsid w:val="4E832A53"/>
    <w:rsid w:val="4E850579"/>
    <w:rsid w:val="4EC72940"/>
    <w:rsid w:val="4ED9236E"/>
    <w:rsid w:val="4EE055EC"/>
    <w:rsid w:val="4F1C3380"/>
    <w:rsid w:val="4F1E452A"/>
    <w:rsid w:val="4F1F1E6B"/>
    <w:rsid w:val="4F4F7445"/>
    <w:rsid w:val="4F501671"/>
    <w:rsid w:val="4F5A32CC"/>
    <w:rsid w:val="4F8E345D"/>
    <w:rsid w:val="4FD56E81"/>
    <w:rsid w:val="4FD65542"/>
    <w:rsid w:val="4FEE214E"/>
    <w:rsid w:val="501F67AB"/>
    <w:rsid w:val="502A28FA"/>
    <w:rsid w:val="5043765F"/>
    <w:rsid w:val="50575F45"/>
    <w:rsid w:val="505E62E4"/>
    <w:rsid w:val="507E1724"/>
    <w:rsid w:val="50A5310D"/>
    <w:rsid w:val="50AA12A8"/>
    <w:rsid w:val="50AC44E3"/>
    <w:rsid w:val="50B320FA"/>
    <w:rsid w:val="50BE6DE7"/>
    <w:rsid w:val="50C3541E"/>
    <w:rsid w:val="50CC3BD1"/>
    <w:rsid w:val="50CD4459"/>
    <w:rsid w:val="50EF617E"/>
    <w:rsid w:val="51394C2E"/>
    <w:rsid w:val="514A5AAA"/>
    <w:rsid w:val="51656440"/>
    <w:rsid w:val="518E5997"/>
    <w:rsid w:val="51DA6E2E"/>
    <w:rsid w:val="51DF4444"/>
    <w:rsid w:val="51E952C3"/>
    <w:rsid w:val="51E95631"/>
    <w:rsid w:val="51EA0B55"/>
    <w:rsid w:val="51FD2B1C"/>
    <w:rsid w:val="520619D1"/>
    <w:rsid w:val="521074C0"/>
    <w:rsid w:val="525210BA"/>
    <w:rsid w:val="525F47FF"/>
    <w:rsid w:val="52854FEC"/>
    <w:rsid w:val="528D20F2"/>
    <w:rsid w:val="52A26081"/>
    <w:rsid w:val="52BE77B3"/>
    <w:rsid w:val="52D12F4A"/>
    <w:rsid w:val="52E77A54"/>
    <w:rsid w:val="52FC2DD4"/>
    <w:rsid w:val="532760A3"/>
    <w:rsid w:val="5354268C"/>
    <w:rsid w:val="53566867"/>
    <w:rsid w:val="536F71D7"/>
    <w:rsid w:val="5373753A"/>
    <w:rsid w:val="538B4884"/>
    <w:rsid w:val="53914C04"/>
    <w:rsid w:val="53954974"/>
    <w:rsid w:val="53BA6F17"/>
    <w:rsid w:val="53BF3ED7"/>
    <w:rsid w:val="53C42C87"/>
    <w:rsid w:val="53E81058"/>
    <w:rsid w:val="540D6463"/>
    <w:rsid w:val="5416474D"/>
    <w:rsid w:val="54273E81"/>
    <w:rsid w:val="543E1F56"/>
    <w:rsid w:val="54830B19"/>
    <w:rsid w:val="5488491F"/>
    <w:rsid w:val="54942937"/>
    <w:rsid w:val="549A0ADA"/>
    <w:rsid w:val="549A0AF6"/>
    <w:rsid w:val="54A43723"/>
    <w:rsid w:val="54B7390F"/>
    <w:rsid w:val="54CB6F02"/>
    <w:rsid w:val="54EF499E"/>
    <w:rsid w:val="54F204FA"/>
    <w:rsid w:val="55132319"/>
    <w:rsid w:val="553625CD"/>
    <w:rsid w:val="5539030F"/>
    <w:rsid w:val="555A031F"/>
    <w:rsid w:val="55621614"/>
    <w:rsid w:val="55806E31"/>
    <w:rsid w:val="558363DF"/>
    <w:rsid w:val="55915A7C"/>
    <w:rsid w:val="5594755F"/>
    <w:rsid w:val="55AE2AAB"/>
    <w:rsid w:val="55BF150D"/>
    <w:rsid w:val="55CB0003"/>
    <w:rsid w:val="55EE2EA8"/>
    <w:rsid w:val="55F028DC"/>
    <w:rsid w:val="55FD30EB"/>
    <w:rsid w:val="561A1EEF"/>
    <w:rsid w:val="56582A17"/>
    <w:rsid w:val="5687388E"/>
    <w:rsid w:val="569972B8"/>
    <w:rsid w:val="569A4B00"/>
    <w:rsid w:val="56AC41D2"/>
    <w:rsid w:val="56AD6028"/>
    <w:rsid w:val="56C1680E"/>
    <w:rsid w:val="56E2065A"/>
    <w:rsid w:val="56E338D3"/>
    <w:rsid w:val="56F97D56"/>
    <w:rsid w:val="56FD47C7"/>
    <w:rsid w:val="572F5526"/>
    <w:rsid w:val="57450C2F"/>
    <w:rsid w:val="575C2093"/>
    <w:rsid w:val="576308DB"/>
    <w:rsid w:val="57636530"/>
    <w:rsid w:val="57666D80"/>
    <w:rsid w:val="579E5E04"/>
    <w:rsid w:val="579F66F9"/>
    <w:rsid w:val="57AA6773"/>
    <w:rsid w:val="57B516F0"/>
    <w:rsid w:val="57BC0474"/>
    <w:rsid w:val="57C974C9"/>
    <w:rsid w:val="57DA78C0"/>
    <w:rsid w:val="57E275E3"/>
    <w:rsid w:val="57E47724"/>
    <w:rsid w:val="57F02454"/>
    <w:rsid w:val="581666E6"/>
    <w:rsid w:val="58226E39"/>
    <w:rsid w:val="58316012"/>
    <w:rsid w:val="583354EA"/>
    <w:rsid w:val="586E5608"/>
    <w:rsid w:val="58840BF6"/>
    <w:rsid w:val="588A75BA"/>
    <w:rsid w:val="58AA44E6"/>
    <w:rsid w:val="59255664"/>
    <w:rsid w:val="59292E82"/>
    <w:rsid w:val="595219A0"/>
    <w:rsid w:val="59701E26"/>
    <w:rsid w:val="598B6C60"/>
    <w:rsid w:val="5991320A"/>
    <w:rsid w:val="59A3044D"/>
    <w:rsid w:val="59ED3476"/>
    <w:rsid w:val="5A0805BE"/>
    <w:rsid w:val="5A2E5F69"/>
    <w:rsid w:val="5A360913"/>
    <w:rsid w:val="5A5C2788"/>
    <w:rsid w:val="5A821E11"/>
    <w:rsid w:val="5A9102A6"/>
    <w:rsid w:val="5ABA1C31"/>
    <w:rsid w:val="5AC153A5"/>
    <w:rsid w:val="5AC95C92"/>
    <w:rsid w:val="5ACE5819"/>
    <w:rsid w:val="5AEB5C08"/>
    <w:rsid w:val="5AF076C2"/>
    <w:rsid w:val="5AFA409D"/>
    <w:rsid w:val="5B0B62AA"/>
    <w:rsid w:val="5B1A64ED"/>
    <w:rsid w:val="5B2A7729"/>
    <w:rsid w:val="5B3FA5B5"/>
    <w:rsid w:val="5B535D1A"/>
    <w:rsid w:val="5B8F0C89"/>
    <w:rsid w:val="5B935C4E"/>
    <w:rsid w:val="5BA313DA"/>
    <w:rsid w:val="5BA65FD3"/>
    <w:rsid w:val="5BAA0324"/>
    <w:rsid w:val="5BC16969"/>
    <w:rsid w:val="5BD3501A"/>
    <w:rsid w:val="5C211DEF"/>
    <w:rsid w:val="5C260EE4"/>
    <w:rsid w:val="5C3B3596"/>
    <w:rsid w:val="5C3D63E1"/>
    <w:rsid w:val="5C3E7FB9"/>
    <w:rsid w:val="5C470A30"/>
    <w:rsid w:val="5C546655"/>
    <w:rsid w:val="5C793511"/>
    <w:rsid w:val="5C82259C"/>
    <w:rsid w:val="5C82434A"/>
    <w:rsid w:val="5C84127D"/>
    <w:rsid w:val="5C89392A"/>
    <w:rsid w:val="5CA442C0"/>
    <w:rsid w:val="5CC26E3C"/>
    <w:rsid w:val="5CD32B1A"/>
    <w:rsid w:val="5CDA5F34"/>
    <w:rsid w:val="5CDF179C"/>
    <w:rsid w:val="5CE65C3D"/>
    <w:rsid w:val="5D125FB6"/>
    <w:rsid w:val="5D36061C"/>
    <w:rsid w:val="5D4355F8"/>
    <w:rsid w:val="5D50269A"/>
    <w:rsid w:val="5D8F6D1E"/>
    <w:rsid w:val="5D9A5C7C"/>
    <w:rsid w:val="5DA402F0"/>
    <w:rsid w:val="5DA84284"/>
    <w:rsid w:val="5DB9279F"/>
    <w:rsid w:val="5DD3710F"/>
    <w:rsid w:val="5DF52F95"/>
    <w:rsid w:val="5DF54CD0"/>
    <w:rsid w:val="5E20206C"/>
    <w:rsid w:val="5E2A6A47"/>
    <w:rsid w:val="5E367223"/>
    <w:rsid w:val="5E596C50"/>
    <w:rsid w:val="5E6737F7"/>
    <w:rsid w:val="5E6A138B"/>
    <w:rsid w:val="5E6A549D"/>
    <w:rsid w:val="5E924C9F"/>
    <w:rsid w:val="5EBC6ECA"/>
    <w:rsid w:val="5ED15115"/>
    <w:rsid w:val="5EDE78C5"/>
    <w:rsid w:val="5EED6B4B"/>
    <w:rsid w:val="5EF61933"/>
    <w:rsid w:val="5EFA466C"/>
    <w:rsid w:val="5EFA6EC3"/>
    <w:rsid w:val="5EFC3FDE"/>
    <w:rsid w:val="5EFF5519"/>
    <w:rsid w:val="5F025C16"/>
    <w:rsid w:val="5F2359E1"/>
    <w:rsid w:val="5F2416E8"/>
    <w:rsid w:val="5F50072F"/>
    <w:rsid w:val="5F517C97"/>
    <w:rsid w:val="5F6847A5"/>
    <w:rsid w:val="5F724B4A"/>
    <w:rsid w:val="5FAF3B40"/>
    <w:rsid w:val="5FBFD2C2"/>
    <w:rsid w:val="5FD9037C"/>
    <w:rsid w:val="5FF74A0F"/>
    <w:rsid w:val="60017C7C"/>
    <w:rsid w:val="60104F22"/>
    <w:rsid w:val="60116111"/>
    <w:rsid w:val="601B4E22"/>
    <w:rsid w:val="601D2BBB"/>
    <w:rsid w:val="60235E44"/>
    <w:rsid w:val="60251BBC"/>
    <w:rsid w:val="60292CCF"/>
    <w:rsid w:val="604858AA"/>
    <w:rsid w:val="605D7F9C"/>
    <w:rsid w:val="607C320C"/>
    <w:rsid w:val="60981E16"/>
    <w:rsid w:val="60A725D1"/>
    <w:rsid w:val="60B50B1F"/>
    <w:rsid w:val="60D07D7A"/>
    <w:rsid w:val="60D64C64"/>
    <w:rsid w:val="6110461A"/>
    <w:rsid w:val="6138147B"/>
    <w:rsid w:val="61393D48"/>
    <w:rsid w:val="61497B2C"/>
    <w:rsid w:val="614D57CA"/>
    <w:rsid w:val="614E6EF1"/>
    <w:rsid w:val="615362B5"/>
    <w:rsid w:val="616C7377"/>
    <w:rsid w:val="617464F3"/>
    <w:rsid w:val="61840B64"/>
    <w:rsid w:val="618648DC"/>
    <w:rsid w:val="61C17622"/>
    <w:rsid w:val="61CA2A1B"/>
    <w:rsid w:val="61E433B1"/>
    <w:rsid w:val="61EF4230"/>
    <w:rsid w:val="61F45B79"/>
    <w:rsid w:val="61F47A98"/>
    <w:rsid w:val="622B7CCC"/>
    <w:rsid w:val="622C46F4"/>
    <w:rsid w:val="62381C48"/>
    <w:rsid w:val="623F15C0"/>
    <w:rsid w:val="628D3A49"/>
    <w:rsid w:val="629D1EDE"/>
    <w:rsid w:val="629E17B2"/>
    <w:rsid w:val="62BB6808"/>
    <w:rsid w:val="62E55633"/>
    <w:rsid w:val="62EC4C13"/>
    <w:rsid w:val="62FF77F3"/>
    <w:rsid w:val="63021D41"/>
    <w:rsid w:val="630C0E11"/>
    <w:rsid w:val="634964C9"/>
    <w:rsid w:val="635754D0"/>
    <w:rsid w:val="63703357"/>
    <w:rsid w:val="63A1155A"/>
    <w:rsid w:val="63BA086D"/>
    <w:rsid w:val="64050D4F"/>
    <w:rsid w:val="64063AB3"/>
    <w:rsid w:val="64122457"/>
    <w:rsid w:val="641A254C"/>
    <w:rsid w:val="645B6376"/>
    <w:rsid w:val="646434D8"/>
    <w:rsid w:val="646D6E0F"/>
    <w:rsid w:val="64750C69"/>
    <w:rsid w:val="64801AB7"/>
    <w:rsid w:val="64CA0F84"/>
    <w:rsid w:val="64CF20F6"/>
    <w:rsid w:val="64E5191A"/>
    <w:rsid w:val="64E93BEF"/>
    <w:rsid w:val="64EC4A56"/>
    <w:rsid w:val="64F642EB"/>
    <w:rsid w:val="65062EC3"/>
    <w:rsid w:val="6518154A"/>
    <w:rsid w:val="651D4188"/>
    <w:rsid w:val="65493C57"/>
    <w:rsid w:val="654D7CEA"/>
    <w:rsid w:val="657B6143"/>
    <w:rsid w:val="657E45EB"/>
    <w:rsid w:val="65962C14"/>
    <w:rsid w:val="65A97955"/>
    <w:rsid w:val="65AE61B0"/>
    <w:rsid w:val="65F71DB5"/>
    <w:rsid w:val="66150BC3"/>
    <w:rsid w:val="662F3849"/>
    <w:rsid w:val="6635242D"/>
    <w:rsid w:val="665A1E94"/>
    <w:rsid w:val="667C62AE"/>
    <w:rsid w:val="667D0FD4"/>
    <w:rsid w:val="669E7BD0"/>
    <w:rsid w:val="66AF0431"/>
    <w:rsid w:val="66BC2B4E"/>
    <w:rsid w:val="66CA3A4C"/>
    <w:rsid w:val="66D659BE"/>
    <w:rsid w:val="66EC51E2"/>
    <w:rsid w:val="66FE5F6A"/>
    <w:rsid w:val="671D13A0"/>
    <w:rsid w:val="672524A2"/>
    <w:rsid w:val="67630A8D"/>
    <w:rsid w:val="67631FF9"/>
    <w:rsid w:val="67957627"/>
    <w:rsid w:val="67966EFB"/>
    <w:rsid w:val="67A8710C"/>
    <w:rsid w:val="67F92022"/>
    <w:rsid w:val="680D7442"/>
    <w:rsid w:val="681349F0"/>
    <w:rsid w:val="682409AB"/>
    <w:rsid w:val="68953657"/>
    <w:rsid w:val="689D535F"/>
    <w:rsid w:val="68A125DD"/>
    <w:rsid w:val="68C06926"/>
    <w:rsid w:val="68D45F2D"/>
    <w:rsid w:val="691B3B5C"/>
    <w:rsid w:val="69290B91"/>
    <w:rsid w:val="692D1AE1"/>
    <w:rsid w:val="695E1C9B"/>
    <w:rsid w:val="696D1EDE"/>
    <w:rsid w:val="69766FE4"/>
    <w:rsid w:val="69791C16"/>
    <w:rsid w:val="699D0A15"/>
    <w:rsid w:val="69AA3132"/>
    <w:rsid w:val="69AA4B49"/>
    <w:rsid w:val="69BD5B76"/>
    <w:rsid w:val="69C266CE"/>
    <w:rsid w:val="69DA217A"/>
    <w:rsid w:val="69E4426C"/>
    <w:rsid w:val="69F36887"/>
    <w:rsid w:val="69FC1E0A"/>
    <w:rsid w:val="6A03057B"/>
    <w:rsid w:val="6A164324"/>
    <w:rsid w:val="6A372C18"/>
    <w:rsid w:val="6A4946F9"/>
    <w:rsid w:val="6A530054"/>
    <w:rsid w:val="6A5946B7"/>
    <w:rsid w:val="6A661B5C"/>
    <w:rsid w:val="6A783D65"/>
    <w:rsid w:val="6A964B0D"/>
    <w:rsid w:val="6AAA163C"/>
    <w:rsid w:val="6AAA7D24"/>
    <w:rsid w:val="6AF64E23"/>
    <w:rsid w:val="6AFC5C0F"/>
    <w:rsid w:val="6B267B8C"/>
    <w:rsid w:val="6B303BD2"/>
    <w:rsid w:val="6B3D6E76"/>
    <w:rsid w:val="6B471B43"/>
    <w:rsid w:val="6B533A81"/>
    <w:rsid w:val="6B657FAD"/>
    <w:rsid w:val="6B6A4927"/>
    <w:rsid w:val="6B846399"/>
    <w:rsid w:val="6BA936A1"/>
    <w:rsid w:val="6BD76A04"/>
    <w:rsid w:val="6BD85602"/>
    <w:rsid w:val="6BDD0871"/>
    <w:rsid w:val="6BE741CA"/>
    <w:rsid w:val="6C0472D8"/>
    <w:rsid w:val="6C103720"/>
    <w:rsid w:val="6C315445"/>
    <w:rsid w:val="6C406B00"/>
    <w:rsid w:val="6C4C5D63"/>
    <w:rsid w:val="6C605FED"/>
    <w:rsid w:val="6C697A79"/>
    <w:rsid w:val="6C7A503E"/>
    <w:rsid w:val="6C9C4FB4"/>
    <w:rsid w:val="6CA02C98"/>
    <w:rsid w:val="6CF74C85"/>
    <w:rsid w:val="6D194857"/>
    <w:rsid w:val="6D3F3B91"/>
    <w:rsid w:val="6D401DE3"/>
    <w:rsid w:val="6D463172"/>
    <w:rsid w:val="6DB23417"/>
    <w:rsid w:val="6DB327B5"/>
    <w:rsid w:val="6DB79443"/>
    <w:rsid w:val="6DD16EDF"/>
    <w:rsid w:val="6DD43CBA"/>
    <w:rsid w:val="6DDA24CA"/>
    <w:rsid w:val="6E1F7C4B"/>
    <w:rsid w:val="6E364F94"/>
    <w:rsid w:val="6E8937A9"/>
    <w:rsid w:val="6ECE17D3"/>
    <w:rsid w:val="6ED70525"/>
    <w:rsid w:val="6EE844E0"/>
    <w:rsid w:val="6F1C3334"/>
    <w:rsid w:val="6F2B6AC3"/>
    <w:rsid w:val="6F4436E1"/>
    <w:rsid w:val="6F5A4F08"/>
    <w:rsid w:val="6F6E3402"/>
    <w:rsid w:val="6F9C5C9C"/>
    <w:rsid w:val="6FCC3C6E"/>
    <w:rsid w:val="6FDB2297"/>
    <w:rsid w:val="6FE0340A"/>
    <w:rsid w:val="6FF869A5"/>
    <w:rsid w:val="700A3C33"/>
    <w:rsid w:val="700F0311"/>
    <w:rsid w:val="70201246"/>
    <w:rsid w:val="70320200"/>
    <w:rsid w:val="704020FA"/>
    <w:rsid w:val="70710506"/>
    <w:rsid w:val="707133B5"/>
    <w:rsid w:val="7080196A"/>
    <w:rsid w:val="709A7A5C"/>
    <w:rsid w:val="70AC7718"/>
    <w:rsid w:val="70B1066E"/>
    <w:rsid w:val="70DC1E23"/>
    <w:rsid w:val="70DF5DB7"/>
    <w:rsid w:val="71042289"/>
    <w:rsid w:val="71091A03"/>
    <w:rsid w:val="71206BA2"/>
    <w:rsid w:val="713B244B"/>
    <w:rsid w:val="714479C8"/>
    <w:rsid w:val="717007BD"/>
    <w:rsid w:val="71A10E2B"/>
    <w:rsid w:val="71A92189"/>
    <w:rsid w:val="71D451F0"/>
    <w:rsid w:val="71D473EF"/>
    <w:rsid w:val="71E82A49"/>
    <w:rsid w:val="71ED62B2"/>
    <w:rsid w:val="71F31B1A"/>
    <w:rsid w:val="71FD4747"/>
    <w:rsid w:val="71FD5C00"/>
    <w:rsid w:val="721101F2"/>
    <w:rsid w:val="722F68CA"/>
    <w:rsid w:val="724C4072"/>
    <w:rsid w:val="726A345E"/>
    <w:rsid w:val="726C71D7"/>
    <w:rsid w:val="7281019A"/>
    <w:rsid w:val="728F1117"/>
    <w:rsid w:val="72953091"/>
    <w:rsid w:val="72BF19FC"/>
    <w:rsid w:val="72DF5BFA"/>
    <w:rsid w:val="72E31F50"/>
    <w:rsid w:val="72E84901"/>
    <w:rsid w:val="72F21F81"/>
    <w:rsid w:val="72F35B4A"/>
    <w:rsid w:val="72F7510E"/>
    <w:rsid w:val="73060316"/>
    <w:rsid w:val="73116800"/>
    <w:rsid w:val="7325578F"/>
    <w:rsid w:val="73705D98"/>
    <w:rsid w:val="7370719A"/>
    <w:rsid w:val="738A0B87"/>
    <w:rsid w:val="73A330CC"/>
    <w:rsid w:val="73B057E9"/>
    <w:rsid w:val="73B548E7"/>
    <w:rsid w:val="73CE1987"/>
    <w:rsid w:val="740B04E1"/>
    <w:rsid w:val="74100F6E"/>
    <w:rsid w:val="742064CB"/>
    <w:rsid w:val="74264E1B"/>
    <w:rsid w:val="742A559B"/>
    <w:rsid w:val="743704F7"/>
    <w:rsid w:val="74384AB6"/>
    <w:rsid w:val="744523D5"/>
    <w:rsid w:val="744C3CB9"/>
    <w:rsid w:val="745002BA"/>
    <w:rsid w:val="7476433D"/>
    <w:rsid w:val="748F1ECD"/>
    <w:rsid w:val="74D15A17"/>
    <w:rsid w:val="74D177C5"/>
    <w:rsid w:val="74E6183A"/>
    <w:rsid w:val="74FF2348"/>
    <w:rsid w:val="751604C9"/>
    <w:rsid w:val="75165D7D"/>
    <w:rsid w:val="75220020"/>
    <w:rsid w:val="75416D1D"/>
    <w:rsid w:val="75426573"/>
    <w:rsid w:val="754E7067"/>
    <w:rsid w:val="7564688B"/>
    <w:rsid w:val="75907968"/>
    <w:rsid w:val="75A760AB"/>
    <w:rsid w:val="75C8506C"/>
    <w:rsid w:val="75CB690A"/>
    <w:rsid w:val="75D716AE"/>
    <w:rsid w:val="75DB0F68"/>
    <w:rsid w:val="75DC127C"/>
    <w:rsid w:val="75E136B5"/>
    <w:rsid w:val="75E33C54"/>
    <w:rsid w:val="762A1A08"/>
    <w:rsid w:val="762A44F2"/>
    <w:rsid w:val="76484031"/>
    <w:rsid w:val="76686AC8"/>
    <w:rsid w:val="76764AC8"/>
    <w:rsid w:val="767A688A"/>
    <w:rsid w:val="76880357"/>
    <w:rsid w:val="768C4209"/>
    <w:rsid w:val="76AC1737"/>
    <w:rsid w:val="76B146D8"/>
    <w:rsid w:val="76B45779"/>
    <w:rsid w:val="76C70E7F"/>
    <w:rsid w:val="76E15749"/>
    <w:rsid w:val="76E67B05"/>
    <w:rsid w:val="771E3409"/>
    <w:rsid w:val="774676CF"/>
    <w:rsid w:val="774C5829"/>
    <w:rsid w:val="77524C79"/>
    <w:rsid w:val="77562203"/>
    <w:rsid w:val="7757693D"/>
    <w:rsid w:val="776209F2"/>
    <w:rsid w:val="779D4BE0"/>
    <w:rsid w:val="77A318EC"/>
    <w:rsid w:val="77B21B30"/>
    <w:rsid w:val="77BDCFDB"/>
    <w:rsid w:val="77BF05BB"/>
    <w:rsid w:val="77C27899"/>
    <w:rsid w:val="77FCD46A"/>
    <w:rsid w:val="77FED87B"/>
    <w:rsid w:val="78596547"/>
    <w:rsid w:val="78743289"/>
    <w:rsid w:val="7879089F"/>
    <w:rsid w:val="789C633C"/>
    <w:rsid w:val="78B24F5D"/>
    <w:rsid w:val="78D12489"/>
    <w:rsid w:val="78D464FE"/>
    <w:rsid w:val="78E3111F"/>
    <w:rsid w:val="79167E9C"/>
    <w:rsid w:val="79200C4B"/>
    <w:rsid w:val="797955D3"/>
    <w:rsid w:val="79854D63"/>
    <w:rsid w:val="798D4602"/>
    <w:rsid w:val="79A61220"/>
    <w:rsid w:val="79BE1CAB"/>
    <w:rsid w:val="79C13788"/>
    <w:rsid w:val="79C45B4A"/>
    <w:rsid w:val="79D57D57"/>
    <w:rsid w:val="79DC10E6"/>
    <w:rsid w:val="79FE105C"/>
    <w:rsid w:val="7A3A405E"/>
    <w:rsid w:val="7A3F0262"/>
    <w:rsid w:val="7A5A0EA5"/>
    <w:rsid w:val="7A5B776F"/>
    <w:rsid w:val="7A6F1F5A"/>
    <w:rsid w:val="7A811C8D"/>
    <w:rsid w:val="7A9609AA"/>
    <w:rsid w:val="7AB21E46"/>
    <w:rsid w:val="7AD87AFF"/>
    <w:rsid w:val="7B1E128A"/>
    <w:rsid w:val="7B322A32"/>
    <w:rsid w:val="7B385484"/>
    <w:rsid w:val="7B3B2540"/>
    <w:rsid w:val="7B484745"/>
    <w:rsid w:val="7B5F3D7C"/>
    <w:rsid w:val="7B63258C"/>
    <w:rsid w:val="7B6770D5"/>
    <w:rsid w:val="7B7B1B66"/>
    <w:rsid w:val="7B8F585A"/>
    <w:rsid w:val="7BB120FE"/>
    <w:rsid w:val="7BC2430B"/>
    <w:rsid w:val="7BE82394"/>
    <w:rsid w:val="7C001F2C"/>
    <w:rsid w:val="7C071EA8"/>
    <w:rsid w:val="7C1136B0"/>
    <w:rsid w:val="7C1F350C"/>
    <w:rsid w:val="7C4D6A81"/>
    <w:rsid w:val="7C5807CC"/>
    <w:rsid w:val="7C5C02BC"/>
    <w:rsid w:val="7C623C46"/>
    <w:rsid w:val="7C727ADF"/>
    <w:rsid w:val="7C772BB5"/>
    <w:rsid w:val="7C8A4997"/>
    <w:rsid w:val="7CA23FCB"/>
    <w:rsid w:val="7CAA1027"/>
    <w:rsid w:val="7CF11B3F"/>
    <w:rsid w:val="7D0B583E"/>
    <w:rsid w:val="7D1312C2"/>
    <w:rsid w:val="7D251FB8"/>
    <w:rsid w:val="7D456FA2"/>
    <w:rsid w:val="7D6733BC"/>
    <w:rsid w:val="7D6D05B7"/>
    <w:rsid w:val="7D741635"/>
    <w:rsid w:val="7D87580C"/>
    <w:rsid w:val="7D9056B7"/>
    <w:rsid w:val="7D9D6DDE"/>
    <w:rsid w:val="7DA912DF"/>
    <w:rsid w:val="7DD83ADC"/>
    <w:rsid w:val="7DDD6497"/>
    <w:rsid w:val="7DFA0FA7"/>
    <w:rsid w:val="7E252C7E"/>
    <w:rsid w:val="7E3C2A2D"/>
    <w:rsid w:val="7E3D5A87"/>
    <w:rsid w:val="7E3E1B66"/>
    <w:rsid w:val="7E5E656D"/>
    <w:rsid w:val="7E71385C"/>
    <w:rsid w:val="7E891C46"/>
    <w:rsid w:val="7EA33149"/>
    <w:rsid w:val="7EC73A39"/>
    <w:rsid w:val="7ECC2AE8"/>
    <w:rsid w:val="7ECD1590"/>
    <w:rsid w:val="7EFF4CA9"/>
    <w:rsid w:val="7F0C5FC9"/>
    <w:rsid w:val="7F3B6D7B"/>
    <w:rsid w:val="7F465091"/>
    <w:rsid w:val="7F506F1B"/>
    <w:rsid w:val="7F587460"/>
    <w:rsid w:val="7F7D04DF"/>
    <w:rsid w:val="7F995383"/>
    <w:rsid w:val="7FBD5515"/>
    <w:rsid w:val="7FBF128D"/>
    <w:rsid w:val="7FCB5E84"/>
    <w:rsid w:val="7FFC4290"/>
    <w:rsid w:val="9DFE1B09"/>
    <w:rsid w:val="B5E42736"/>
    <w:rsid w:val="BEDFBE2C"/>
    <w:rsid w:val="BFDF76B0"/>
    <w:rsid w:val="DFAE2976"/>
    <w:rsid w:val="E7BFE03E"/>
    <w:rsid w:val="FE0FBFC1"/>
    <w:rsid w:val="FFCBF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0" w:semiHidden="0" w:name="toc 1"/>
    <w:lsdException w:qFormat="1" w:unhideWhenUsed="0" w:uiPriority="39" w:semiHidden="0"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unhideWhenUsed="0" w:uiPriority="99"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pPr>
    <w:rPr>
      <w:rFonts w:ascii="Arial" w:hAnsi="Arial" w:eastAsia="Arial" w:cs="Arial"/>
      <w:color w:val="000000"/>
      <w:sz w:val="21"/>
      <w:szCs w:val="21"/>
      <w:lang w:val="en-US" w:eastAsia="en-US" w:bidi="ar-SA"/>
    </w:rPr>
  </w:style>
  <w:style w:type="paragraph" w:styleId="2">
    <w:name w:val="heading 1"/>
    <w:basedOn w:val="1"/>
    <w:next w:val="1"/>
    <w:qFormat/>
    <w:uiPriority w:val="9"/>
    <w:pPr>
      <w:keepNext/>
      <w:keepLines/>
      <w:spacing w:before="340" w:after="330" w:line="578" w:lineRule="auto"/>
      <w:outlineLvl w:val="0"/>
    </w:pPr>
    <w:rPr>
      <w:b/>
      <w:bCs/>
      <w:kern w:val="44"/>
      <w:sz w:val="44"/>
    </w:rPr>
  </w:style>
  <w:style w:type="paragraph" w:styleId="3">
    <w:name w:val="heading 2"/>
    <w:basedOn w:val="1"/>
    <w:next w:val="1"/>
    <w:semiHidden/>
    <w:unhideWhenUsed/>
    <w:qFormat/>
    <w:uiPriority w:val="9"/>
    <w:pPr>
      <w:keepNext/>
      <w:keepLines/>
      <w:spacing w:before="260" w:after="260" w:line="415" w:lineRule="auto"/>
      <w:outlineLvl w:val="1"/>
    </w:pPr>
    <w:rPr>
      <w:rFonts w:ascii="Luxi Sans" w:hAnsi="Luxi Sans" w:eastAsia="黑体"/>
      <w:b/>
      <w:sz w:val="32"/>
    </w:rPr>
  </w:style>
  <w:style w:type="paragraph" w:styleId="4">
    <w:name w:val="heading 3"/>
    <w:basedOn w:val="1"/>
    <w:next w:val="1"/>
    <w:semiHidden/>
    <w:unhideWhenUsed/>
    <w:qFormat/>
    <w:uiPriority w:val="9"/>
    <w:pPr>
      <w:keepNext/>
      <w:keepLines/>
      <w:spacing w:before="260" w:after="260" w:line="415" w:lineRule="auto"/>
      <w:outlineLvl w:val="2"/>
    </w:pPr>
    <w:rPr>
      <w:b/>
      <w:sz w:val="32"/>
    </w:rPr>
  </w:style>
  <w:style w:type="paragraph" w:styleId="5">
    <w:name w:val="heading 4"/>
    <w:basedOn w:val="1"/>
    <w:next w:val="1"/>
    <w:semiHidden/>
    <w:unhideWhenUsed/>
    <w:qFormat/>
    <w:uiPriority w:val="9"/>
    <w:pPr>
      <w:keepNext/>
      <w:spacing w:line="440" w:lineRule="exact"/>
      <w:jc w:val="center"/>
      <w:outlineLvl w:val="3"/>
    </w:pPr>
    <w:rPr>
      <w:rFonts w:ascii="仿宋_GB2312" w:eastAsia="仿宋_GB2312"/>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qFormat/>
    <w:uiPriority w:val="0"/>
    <w:pPr>
      <w:ind w:left="1400" w:leftChars="1400"/>
    </w:pPr>
  </w:style>
  <w:style w:type="paragraph" w:styleId="7">
    <w:name w:val="Normal Indent"/>
    <w:basedOn w:val="1"/>
    <w:qFormat/>
    <w:uiPriority w:val="0"/>
    <w:pPr>
      <w:ind w:firstLine="200" w:firstLineChars="200"/>
    </w:pPr>
  </w:style>
  <w:style w:type="paragraph" w:styleId="8">
    <w:name w:val="Body Text"/>
    <w:basedOn w:val="1"/>
    <w:next w:val="1"/>
    <w:qFormat/>
    <w:uiPriority w:val="0"/>
  </w:style>
  <w:style w:type="paragraph" w:styleId="9">
    <w:name w:val="Body Text Indent"/>
    <w:basedOn w:val="1"/>
    <w:next w:val="1"/>
    <w:qFormat/>
    <w:uiPriority w:val="0"/>
    <w:pPr>
      <w:spacing w:after="120"/>
      <w:ind w:left="200" w:leftChars="200"/>
    </w:pPr>
  </w:style>
  <w:style w:type="paragraph" w:styleId="10">
    <w:name w:val="Plain Text"/>
    <w:basedOn w:val="1"/>
    <w:qFormat/>
    <w:uiPriority w:val="0"/>
    <w:rPr>
      <w:rFonts w:ascii="宋体" w:hAnsi="Courier New" w:cs="Courier New"/>
      <w:szCs w:val="21"/>
    </w:rPr>
  </w:style>
  <w:style w:type="paragraph" w:styleId="11">
    <w:name w:val="Body Text Indent 2"/>
    <w:basedOn w:val="1"/>
    <w:qFormat/>
    <w:uiPriority w:val="0"/>
    <w:pPr>
      <w:tabs>
        <w:tab w:val="left" w:pos="1140"/>
      </w:tabs>
      <w:ind w:firstLine="200" w:firstLineChars="200"/>
    </w:pPr>
    <w:rPr>
      <w:sz w:val="28"/>
      <w:szCs w:val="20"/>
    </w:rPr>
  </w:style>
  <w:style w:type="paragraph" w:styleId="12">
    <w:name w:val="footer"/>
    <w:basedOn w:val="1"/>
    <w:qFormat/>
    <w:uiPriority w:val="0"/>
    <w:pPr>
      <w:tabs>
        <w:tab w:val="center" w:pos="4153"/>
        <w:tab w:val="right" w:pos="8306"/>
      </w:tabs>
    </w:pPr>
    <w:rPr>
      <w:sz w:val="18"/>
    </w:rPr>
  </w:style>
  <w:style w:type="paragraph" w:styleId="13">
    <w:name w:val="header"/>
    <w:basedOn w:val="1"/>
    <w:next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4">
    <w:name w:val="UserStyle_1"/>
    <w:basedOn w:val="1"/>
    <w:next w:val="1"/>
    <w:qFormat/>
    <w:uiPriority w:val="0"/>
    <w:pPr>
      <w:widowControl/>
      <w:spacing w:before="200" w:after="160"/>
      <w:ind w:left="864" w:right="864"/>
      <w:jc w:val="center"/>
    </w:pPr>
    <w:rPr>
      <w:rFonts w:ascii="宋体" w:hAnsi="Times New Roman" w:eastAsia="宋体"/>
      <w:i/>
      <w:color w:val="404040"/>
      <w:kern w:val="2"/>
      <w:sz w:val="28"/>
      <w:szCs w:val="21"/>
      <w:lang w:val="en-US" w:eastAsia="zh-CN" w:bidi="ar-SA"/>
    </w:rPr>
  </w:style>
  <w:style w:type="paragraph" w:styleId="15">
    <w:name w:val="toc 1"/>
    <w:basedOn w:val="1"/>
    <w:next w:val="1"/>
    <w:qFormat/>
    <w:uiPriority w:val="0"/>
  </w:style>
  <w:style w:type="paragraph" w:styleId="16">
    <w:name w:val="toc 2"/>
    <w:basedOn w:val="1"/>
    <w:next w:val="1"/>
    <w:qFormat/>
    <w:uiPriority w:val="39"/>
    <w:pPr>
      <w:ind w:left="420" w:leftChars="200"/>
    </w:pPr>
  </w:style>
  <w:style w:type="paragraph" w:styleId="17">
    <w:name w:val="Body Text 2"/>
    <w:basedOn w:val="1"/>
    <w:qFormat/>
    <w:uiPriority w:val="99"/>
    <w:pPr>
      <w:spacing w:after="120" w:afterLines="0" w:line="480" w:lineRule="auto"/>
    </w:pPr>
    <w:rPr>
      <w:rFonts w:ascii="Times New Roman" w:hAnsi="Times New Roman" w:eastAsia="宋体"/>
      <w:kern w:val="0"/>
      <w:sz w:val="24"/>
      <w:szCs w:val="24"/>
    </w:rPr>
  </w:style>
  <w:style w:type="paragraph" w:styleId="18">
    <w:name w:val="Normal (Web)"/>
    <w:basedOn w:val="1"/>
    <w:qFormat/>
    <w:uiPriority w:val="99"/>
    <w:pPr>
      <w:widowControl/>
      <w:spacing w:before="100" w:beforeAutospacing="1" w:after="100" w:afterAutospacing="1"/>
      <w:jc w:val="left"/>
    </w:pPr>
    <w:rPr>
      <w:rFonts w:ascii="宋体" w:hAnsi="宋体" w:eastAsia="微软雅黑" w:cs="宋体"/>
      <w:kern w:val="0"/>
      <w:sz w:val="24"/>
      <w:szCs w:val="24"/>
    </w:rPr>
  </w:style>
  <w:style w:type="paragraph" w:styleId="19">
    <w:name w:val="Body Text First Indent"/>
    <w:basedOn w:val="8"/>
    <w:next w:val="1"/>
    <w:qFormat/>
    <w:uiPriority w:val="99"/>
    <w:pPr>
      <w:ind w:firstLine="420" w:firstLineChars="100"/>
    </w:pPr>
    <w:rPr>
      <w:kern w:val="0"/>
      <w:sz w:val="24"/>
    </w:rPr>
  </w:style>
  <w:style w:type="paragraph" w:styleId="20">
    <w:name w:val="Body Text First Indent 2"/>
    <w:basedOn w:val="9"/>
    <w:next w:val="1"/>
    <w:qFormat/>
    <w:uiPriority w:val="0"/>
    <w:pPr>
      <w:ind w:firstLine="20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rPr>
  </w:style>
  <w:style w:type="character" w:styleId="25">
    <w:name w:val="page number"/>
    <w:basedOn w:val="23"/>
    <w:qFormat/>
    <w:uiPriority w:val="0"/>
  </w:style>
  <w:style w:type="character" w:styleId="26">
    <w:name w:val="Hyperlink"/>
    <w:basedOn w:val="23"/>
    <w:qFormat/>
    <w:uiPriority w:val="0"/>
    <w:rPr>
      <w:color w:val="0000FF"/>
      <w:u w:val="single"/>
    </w:rPr>
  </w:style>
  <w:style w:type="character" w:styleId="27">
    <w:name w:val="annotation reference"/>
    <w:basedOn w:val="23"/>
    <w:qFormat/>
    <w:uiPriority w:val="0"/>
    <w:rPr>
      <w:sz w:val="21"/>
      <w:szCs w:val="21"/>
    </w:rPr>
  </w:style>
  <w:style w:type="paragraph" w:customStyle="1" w:styleId="28">
    <w:name w:val="Quote1"/>
    <w:basedOn w:val="1"/>
    <w:next w:val="1"/>
    <w:qFormat/>
    <w:uiPriority w:val="0"/>
    <w:pPr>
      <w:widowControl/>
      <w:wordWrap w:val="0"/>
      <w:spacing w:before="200" w:after="160"/>
      <w:ind w:left="864" w:right="864"/>
      <w:jc w:val="center"/>
    </w:pPr>
    <w:rPr>
      <w:rFonts w:ascii="宋体"/>
      <w:i/>
      <w:color w:val="404040"/>
    </w:rPr>
  </w:style>
  <w:style w:type="paragraph" w:customStyle="1" w:styleId="29">
    <w:name w:val="wang正文"/>
    <w:basedOn w:val="1"/>
    <w:qFormat/>
    <w:uiPriority w:val="0"/>
    <w:pPr>
      <w:tabs>
        <w:tab w:val="left" w:pos="6840"/>
      </w:tabs>
      <w:topLinePunct/>
      <w:ind w:firstLine="420"/>
    </w:pPr>
    <w:rPr>
      <w:kern w:val="0"/>
      <w:szCs w:val="20"/>
    </w:rPr>
  </w:style>
  <w:style w:type="paragraph" w:customStyle="1" w:styleId="30">
    <w:name w:val="UserStyle_0"/>
    <w:basedOn w:val="1"/>
    <w:qFormat/>
    <w:uiPriority w:val="0"/>
    <w:pPr>
      <w:spacing w:after="120"/>
      <w:jc w:val="both"/>
    </w:pPr>
    <w:rPr>
      <w:rFonts w:ascii="Times New Roman" w:hAnsi="Times New Roman" w:eastAsia="宋体"/>
      <w:kern w:val="0"/>
      <w:sz w:val="21"/>
      <w:szCs w:val="21"/>
      <w:lang w:val="en-US" w:eastAsia="zh-CN" w:bidi="ar-SA"/>
    </w:rPr>
  </w:style>
  <w:style w:type="paragraph" w:customStyle="1" w:styleId="3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2">
    <w:name w:val="Table Text"/>
    <w:basedOn w:val="1"/>
    <w:qFormat/>
    <w:uiPriority w:val="0"/>
    <w:rPr>
      <w:rFonts w:ascii="宋体" w:eastAsia="宋体" w:cs="宋体"/>
      <w:sz w:val="19"/>
      <w:szCs w:val="19"/>
    </w:rPr>
  </w:style>
  <w:style w:type="paragraph" w:customStyle="1" w:styleId="33">
    <w:name w:val="Table Paragraph"/>
    <w:basedOn w:val="1"/>
    <w:qFormat/>
    <w:uiPriority w:val="0"/>
    <w:rPr>
      <w:rFonts w:ascii="楷体" w:eastAsia="楷体" w:cs="楷体"/>
      <w:lang w:val="zh-CN" w:eastAsia="zh-CN" w:bidi="zh-CN"/>
    </w:rPr>
  </w:style>
  <w:style w:type="paragraph" w:customStyle="1" w:styleId="34">
    <w:name w:val="列表段落1"/>
    <w:basedOn w:val="1"/>
    <w:qFormat/>
    <w:uiPriority w:val="0"/>
    <w:pPr>
      <w:ind w:firstLine="200" w:firstLineChars="200"/>
    </w:pPr>
  </w:style>
  <w:style w:type="paragraph" w:customStyle="1" w:styleId="35">
    <w:name w:val="普通(网站)1"/>
    <w:basedOn w:val="1"/>
    <w:qFormat/>
    <w:uiPriority w:val="0"/>
    <w:pPr>
      <w:spacing w:before="100" w:after="100"/>
    </w:pPr>
    <w:rPr>
      <w:rFonts w:ascii="Arial Unicode MS" w:eastAsia="Arial Unicode MS" w:cs="Arial Unicode MS"/>
      <w:sz w:val="24"/>
    </w:rPr>
  </w:style>
  <w:style w:type="paragraph" w:customStyle="1" w:styleId="36">
    <w:name w:val="样式 首行缩进:  2 字符"/>
    <w:basedOn w:val="1"/>
    <w:qFormat/>
    <w:uiPriority w:val="0"/>
    <w:pPr>
      <w:ind w:firstLine="200" w:firstLineChars="200"/>
    </w:pPr>
    <w:rPr>
      <w:rFonts w:ascii="宋体" w:hAnsi="宋体"/>
      <w:sz w:val="32"/>
      <w:szCs w:val="32"/>
    </w:rPr>
  </w:style>
  <w:style w:type="paragraph" w:customStyle="1" w:styleId="37">
    <w:name w:val="引文目录标题1"/>
    <w:basedOn w:val="1"/>
    <w:qFormat/>
    <w:uiPriority w:val="0"/>
    <w:pPr>
      <w:spacing w:before="120"/>
    </w:pPr>
  </w:style>
  <w:style w:type="paragraph" w:customStyle="1" w:styleId="38">
    <w:name w:val="列出段落1"/>
    <w:basedOn w:val="1"/>
    <w:qFormat/>
    <w:uiPriority w:val="0"/>
    <w:pPr>
      <w:ind w:firstLine="420" w:firstLineChars="200"/>
    </w:pPr>
    <w:rPr>
      <w:szCs w:val="21"/>
    </w:rPr>
  </w:style>
  <w:style w:type="table" w:customStyle="1" w:styleId="39">
    <w:name w:val="Table Normal"/>
    <w:semiHidden/>
    <w:unhideWhenUsed/>
    <w:qFormat/>
    <w:uiPriority w:val="0"/>
    <w:tblPr>
      <w:tblCellMar>
        <w:top w:w="0" w:type="dxa"/>
        <w:left w:w="0" w:type="dxa"/>
        <w:bottom w:w="0" w:type="dxa"/>
        <w:right w:w="0" w:type="dxa"/>
      </w:tblCellMar>
    </w:tblPr>
  </w:style>
  <w:style w:type="paragraph" w:customStyle="1" w:styleId="40">
    <w:name w:val="null5"/>
    <w:qFormat/>
    <w:uiPriority w:val="0"/>
    <w:rPr>
      <w:rFonts w:hint="eastAsia" w:asciiTheme="minorHAnsi" w:hAnsiTheme="minorHAnsi" w:eastAsiaTheme="minorEastAsia" w:cstheme="minorBidi"/>
      <w:lang w:val="en-US" w:eastAsia="zh-CN"/>
    </w:rPr>
  </w:style>
  <w:style w:type="paragraph" w:customStyle="1" w:styleId="41">
    <w:name w:val="null3"/>
    <w:qFormat/>
    <w:uiPriority w:val="0"/>
    <w:rPr>
      <w:rFonts w:hint="eastAsia" w:asciiTheme="minorHAnsi" w:hAnsiTheme="minorHAnsi" w:eastAsiaTheme="minorEastAsia" w:cstheme="minorBidi"/>
      <w:lang w:val="en-US" w:eastAsia="zh-Hans"/>
    </w:rPr>
  </w:style>
  <w:style w:type="paragraph" w:customStyle="1" w:styleId="42">
    <w:name w:val="Text"/>
    <w:qFormat/>
    <w:uiPriority w:val="0"/>
    <w:pPr>
      <w:spacing w:line="315" w:lineRule="auto"/>
      <w:jc w:val="left"/>
    </w:pPr>
    <w:rPr>
      <w:rFonts w:ascii="宋体" w:hAnsi="宋体" w:eastAsia="宋体" w:cs="宋体"/>
      <w:color w:val="000000"/>
      <w:sz w:val="21"/>
      <w:lang w:val="en-US" w:eastAsia="en-US" w:bidi="ar-SA"/>
    </w:rPr>
  </w:style>
  <w:style w:type="paragraph" w:customStyle="1" w:styleId="43">
    <w:name w:val="Other|1"/>
    <w:basedOn w:val="1"/>
    <w:qFormat/>
    <w:uiPriority w:val="0"/>
    <w:pPr>
      <w:widowControl w:val="0"/>
      <w:shd w:val="clear" w:color="auto" w:fill="auto"/>
    </w:pPr>
    <w:rPr>
      <w:rFonts w:ascii="宋体" w:hAnsi="宋体" w:eastAsia="宋体" w:cs="宋体"/>
      <w:color w:val="666666"/>
      <w:sz w:val="19"/>
      <w:szCs w:val="19"/>
      <w:u w:val="none"/>
      <w:shd w:val="clear" w:color="auto" w:fill="auto"/>
      <w:lang w:val="zh-TW" w:eastAsia="zh-TW" w:bidi="zh-TW"/>
    </w:rPr>
  </w:style>
  <w:style w:type="paragraph" w:styleId="44">
    <w:name w:val="List Paragraph"/>
    <w:basedOn w:val="1"/>
    <w:qFormat/>
    <w:uiPriority w:val="34"/>
    <w:pPr>
      <w:ind w:firstLine="420" w:firstLineChars="200"/>
    </w:pPr>
    <w:rPr>
      <w:szCs w:val="20"/>
    </w:rPr>
  </w:style>
  <w:style w:type="character" w:customStyle="1" w:styleId="45">
    <w:name w:val="正文文本 (2) + 9.5 pt"/>
    <w:qFormat/>
    <w:uiPriority w:val="0"/>
    <w:rPr>
      <w:rFonts w:ascii="宋体" w:hAnsi="宋体" w:cs="宋体"/>
      <w:sz w:val="19"/>
      <w:szCs w:val="19"/>
      <w:u w:val="none"/>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theme" Target="theme/theme1.xml"/><Relationship Id="rId30" Type="http://schemas.openxmlformats.org/officeDocument/2006/relationships/footer" Target="footer26.xml"/><Relationship Id="rId3" Type="http://schemas.openxmlformats.org/officeDocument/2006/relationships/header" Target="header1.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5308</Words>
  <Characters>5700</Characters>
  <Lines>185</Lines>
  <Paragraphs>52</Paragraphs>
  <TotalTime>5</TotalTime>
  <ScaleCrop>false</ScaleCrop>
  <LinksUpToDate>false</LinksUpToDate>
  <CharactersWithSpaces>5999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2024-04-17T23:11:00Z</dcterms:created>
  <dc:creator>崔 旺</dc:creator>
  <cp:lastModifiedBy>孔祥辉</cp:lastModifiedBy>
  <dcterms:modified xsi:type="dcterms:W3CDTF">2026-05-11T11:26:20Z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2024-04-15T16:00:00Z</vt:filetime>
  </property>
  <property fmtid="{D5CDD505-2E9C-101B-9397-08002B2CF9AE}" pid="4" name="KSOProductBuildVer">
    <vt:lpwstr>2052-12.8.2.1119</vt:lpwstr>
  </property>
  <property fmtid="{D5CDD505-2E9C-101B-9397-08002B2CF9AE}" pid="5" name="ICV">
    <vt:lpwstr>62C3539A0A5145DF9C7513757FF8EC80_13</vt:lpwstr>
  </property>
  <property fmtid="{D5CDD505-2E9C-101B-9397-08002B2CF9AE}" pid="6" name="KSOTemplateDocerSaveRecord">
    <vt:lpwstr>eyJoZGlkIjoiNzIyNjU3ZTEyNTFlM2UwOTMzMTdiZGI4ODZmMWEyY2EiLCJ1c2VySWQiOiIxNDAwMTQ3Mzc4In0=</vt:lpwstr>
  </property>
</Properties>
</file>