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360" w:lineRule="auto"/>
        <w:ind w:firstLine="480" w:firstLineChars="200"/>
        <w:rPr>
          <w:rFonts w:hint="eastAsia" w:ascii="宋体" w:hAnsi="宋体" w:eastAsia="宋体" w:cs="宋体"/>
          <w:color w:val="auto"/>
          <w:sz w:val="24"/>
          <w:szCs w:val="24"/>
        </w:rPr>
      </w:pPr>
    </w:p>
    <w:p>
      <w:pPr>
        <w:kinsoku/>
        <w:spacing w:line="360" w:lineRule="auto"/>
        <w:jc w:val="center"/>
        <w:rPr>
          <w:rFonts w:hint="eastAsia" w:ascii="宋体" w:hAnsi="宋体" w:eastAsia="宋体" w:cs="宋体"/>
          <w:b/>
          <w:bCs/>
          <w:color w:val="auto"/>
          <w:sz w:val="48"/>
          <w:szCs w:val="48"/>
          <w:lang w:eastAsia="zh-CN"/>
        </w:rPr>
      </w:pPr>
    </w:p>
    <w:p>
      <w:pPr>
        <w:kinsoku/>
        <w:jc w:val="center"/>
        <w:rPr>
          <w:rFonts w:hint="eastAsia" w:ascii="宋体" w:hAnsi="宋体" w:eastAsia="宋体" w:cs="宋体"/>
          <w:b w:val="0"/>
          <w:bCs w:val="0"/>
          <w:color w:val="auto"/>
          <w:sz w:val="44"/>
          <w:szCs w:val="44"/>
          <w:lang w:eastAsia="zh-CN"/>
        </w:rPr>
      </w:pPr>
      <w:r>
        <w:rPr>
          <w:rFonts w:hint="eastAsia" w:ascii="宋体" w:hAnsi="宋体" w:eastAsia="宋体" w:cs="宋体"/>
          <w:b w:val="0"/>
          <w:bCs w:val="0"/>
          <w:color w:val="auto"/>
          <w:sz w:val="44"/>
          <w:szCs w:val="44"/>
          <w:lang w:eastAsia="zh-CN"/>
        </w:rPr>
        <w:t>赤峰市生态环境局松山区分局2026年度非道路机械设备及路检柴油货车排放达标检测服务项目（二次）</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pStyle w:val="15"/>
        <w:rPr>
          <w:rFonts w:hint="eastAsia" w:ascii="宋体" w:hAnsi="宋体" w:eastAsia="宋体" w:cs="宋体"/>
          <w:color w:val="auto"/>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b w:val="0"/>
          <w:bCs w:val="0"/>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48"/>
          <w:szCs w:val="48"/>
          <w:lang w:eastAsia="zh-CN"/>
        </w:rPr>
        <w:t>竞争性磋商文件</w:t>
      </w:r>
    </w:p>
    <w:p>
      <w:pPr>
        <w:kinsoku/>
        <w:spacing w:line="360" w:lineRule="auto"/>
        <w:ind w:left="0" w:leftChars="0" w:right="0" w:righ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8"/>
          <w:szCs w:val="28"/>
          <w:lang w:eastAsia="zh-CN"/>
        </w:rPr>
        <w:t>项目编号：【2026】HT-CS-070</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pStyle w:val="15"/>
        <w:rPr>
          <w:rFonts w:hint="eastAsia" w:ascii="宋体" w:hAnsi="宋体" w:eastAsia="宋体" w:cs="宋体"/>
          <w:color w:val="auto"/>
          <w:sz w:val="24"/>
          <w:szCs w:val="24"/>
          <w:lang w:eastAsia="zh-CN"/>
        </w:rPr>
      </w:pPr>
    </w:p>
    <w:p>
      <w:pPr>
        <w:rPr>
          <w:rFonts w:hint="eastAsia" w:ascii="宋体" w:hAnsi="宋体" w:eastAsia="宋体" w:cs="宋体"/>
          <w:color w:val="auto"/>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采购单位名称：赤峰市生态环境局松山区分局</w:t>
      </w:r>
    </w:p>
    <w:p>
      <w:pPr>
        <w:kinsoku/>
        <w:spacing w:line="360" w:lineRule="auto"/>
        <w:ind w:left="0" w:leftChars="0" w:right="0" w:rightChars="0"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代理机构名称：赤峰鸿途</w:t>
      </w:r>
      <w:r>
        <w:rPr>
          <w:rFonts w:hint="eastAsia" w:ascii="宋体" w:hAnsi="宋体" w:eastAsia="宋体" w:cs="宋体"/>
          <w:b w:val="0"/>
          <w:bCs w:val="0"/>
          <w:color w:val="auto"/>
          <w:sz w:val="28"/>
          <w:szCs w:val="28"/>
          <w:lang w:eastAsia="zh-CN"/>
        </w:rPr>
        <w:t>项目管理</w:t>
      </w:r>
      <w:r>
        <w:rPr>
          <w:rFonts w:hint="eastAsia" w:ascii="宋体" w:hAnsi="宋体" w:eastAsia="宋体" w:cs="宋体"/>
          <w:color w:val="auto"/>
          <w:sz w:val="28"/>
          <w:szCs w:val="28"/>
          <w:lang w:eastAsia="zh-CN"/>
        </w:rPr>
        <w:t>有限公司</w:t>
      </w:r>
    </w:p>
    <w:p>
      <w:pPr>
        <w:kinsoku/>
        <w:spacing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8"/>
          <w:szCs w:val="28"/>
          <w:highlight w:val="none"/>
          <w:lang w:eastAsia="zh-CN"/>
        </w:rPr>
        <w:t>二○二六年</w:t>
      </w:r>
      <w:r>
        <w:rPr>
          <w:rFonts w:hint="eastAsia" w:ascii="宋体" w:hAnsi="宋体" w:eastAsia="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lang w:eastAsia="zh-CN"/>
        </w:rPr>
        <w:t>月</w:t>
      </w:r>
    </w:p>
    <w:p>
      <w:pPr>
        <w:kinsoku/>
        <w:spacing w:line="360" w:lineRule="auto"/>
        <w:ind w:firstLine="480" w:firstLineChars="200"/>
        <w:rPr>
          <w:rFonts w:hint="eastAsia" w:ascii="宋体" w:hAnsi="宋体" w:eastAsia="宋体" w:cs="宋体"/>
          <w:color w:val="auto"/>
          <w:sz w:val="24"/>
          <w:szCs w:val="24"/>
          <w:highlight w:val="none"/>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hint="eastAsia" w:ascii="宋体" w:hAnsi="宋体" w:eastAsia="宋体" w:cs="宋体"/>
          <w:b/>
          <w:bCs/>
          <w:color w:val="000000"/>
          <w:sz w:val="24"/>
          <w:szCs w:val="24"/>
          <w:lang w:val="en-US" w:eastAsia="en-US" w:bidi="ar-SA"/>
        </w:rPr>
        <w:id w:val="147451346"/>
        <w15:color w:val="DBDBDB"/>
        <w:docPartObj>
          <w:docPartGallery w:val="Table of Contents"/>
          <w:docPartUnique/>
        </w:docPartObj>
      </w:sdtPr>
      <w:sdtEndPr>
        <w:rPr>
          <w:rFonts w:hint="eastAsia" w:ascii="宋体" w:hAnsi="宋体" w:eastAsia="宋体" w:cs="宋体"/>
          <w:b/>
          <w:bCs/>
          <w:color w:val="000000"/>
          <w:sz w:val="21"/>
          <w:szCs w:val="21"/>
          <w:lang w:val="en-US" w:eastAsia="en-US" w:bidi="ar-SA"/>
        </w:rPr>
      </w:sdtEndPr>
      <w:sdtConten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48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目录</w:t>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_Toc6558 </w:instrText>
          </w:r>
          <w:r>
            <w:rPr>
              <w:rFonts w:hint="eastAsia" w:ascii="宋体" w:hAnsi="宋体" w:eastAsia="宋体" w:cs="宋体"/>
            </w:rPr>
            <w:fldChar w:fldCharType="separate"/>
          </w:r>
          <w:r>
            <w:rPr>
              <w:rFonts w:hint="eastAsia" w:ascii="宋体" w:hAnsi="宋体" w:eastAsia="宋体" w:cs="宋体"/>
              <w:bCs/>
              <w:szCs w:val="28"/>
              <w:lang w:eastAsia="zh-CN"/>
            </w:rPr>
            <w:t>第一章  磋商邀请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_Toc6558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_Toc12920 </w:instrText>
          </w:r>
          <w:r>
            <w:rPr>
              <w:rFonts w:hint="eastAsia" w:ascii="宋体" w:hAnsi="宋体" w:eastAsia="宋体" w:cs="宋体"/>
            </w:rPr>
            <w:fldChar w:fldCharType="separate"/>
          </w:r>
          <w:r>
            <w:rPr>
              <w:rFonts w:hint="eastAsia" w:ascii="宋体" w:hAnsi="宋体" w:eastAsia="宋体" w:cs="宋体"/>
              <w:bCs/>
              <w:szCs w:val="28"/>
              <w:lang w:eastAsia="zh-CN"/>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_Toc12920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_Toc22809 </w:instrText>
          </w:r>
          <w:r>
            <w:rPr>
              <w:rFonts w:hint="eastAsia" w:ascii="宋体" w:hAnsi="宋体" w:eastAsia="宋体" w:cs="宋体"/>
            </w:rPr>
            <w:fldChar w:fldCharType="separate"/>
          </w:r>
          <w:r>
            <w:rPr>
              <w:rFonts w:hint="eastAsia" w:ascii="宋体" w:hAnsi="宋体" w:eastAsia="宋体" w:cs="宋体"/>
              <w:bCs/>
              <w:szCs w:val="28"/>
              <w:lang w:eastAsia="zh-CN"/>
            </w:rPr>
            <w:t>第三章  采购内容与技术要求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_Toc22809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_Toc32277 </w:instrText>
          </w:r>
          <w:r>
            <w:rPr>
              <w:rFonts w:hint="eastAsia" w:ascii="宋体" w:hAnsi="宋体" w:eastAsia="宋体" w:cs="宋体"/>
            </w:rPr>
            <w:fldChar w:fldCharType="separate"/>
          </w:r>
          <w:r>
            <w:rPr>
              <w:rFonts w:hint="eastAsia" w:ascii="宋体" w:hAnsi="宋体" w:eastAsia="宋体" w:cs="宋体"/>
              <w:bCs/>
              <w:szCs w:val="28"/>
              <w:lang w:eastAsia="zh-CN"/>
            </w:rPr>
            <w:t>第四章  供应商应当提交的资格、资信证明文件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_Toc32277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_Toc16180 </w:instrText>
          </w:r>
          <w:r>
            <w:rPr>
              <w:rFonts w:hint="eastAsia" w:ascii="宋体" w:hAnsi="宋体" w:eastAsia="宋体" w:cs="宋体"/>
            </w:rPr>
            <w:fldChar w:fldCharType="separate"/>
          </w:r>
          <w:r>
            <w:rPr>
              <w:rFonts w:hint="eastAsia" w:ascii="宋体" w:hAnsi="宋体" w:eastAsia="宋体" w:cs="宋体"/>
              <w:bCs/>
              <w:szCs w:val="28"/>
              <w:lang w:eastAsia="zh-CN"/>
            </w:rPr>
            <w:t>第五章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_Toc16180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_Toc15246 </w:instrText>
          </w:r>
          <w:r>
            <w:rPr>
              <w:rFonts w:hint="eastAsia" w:ascii="宋体" w:hAnsi="宋体" w:eastAsia="宋体" w:cs="宋体"/>
            </w:rPr>
            <w:fldChar w:fldCharType="separate"/>
          </w:r>
          <w:r>
            <w:rPr>
              <w:rFonts w:hint="eastAsia" w:ascii="宋体" w:hAnsi="宋体" w:eastAsia="宋体" w:cs="宋体"/>
              <w:bCs/>
              <w:szCs w:val="28"/>
            </w:rPr>
            <w:t>第六章  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_Toc15246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15"/>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_Toc22415 </w:instrText>
          </w:r>
          <w:r>
            <w:rPr>
              <w:rFonts w:hint="eastAsia" w:ascii="宋体" w:hAnsi="宋体" w:eastAsia="宋体" w:cs="宋体"/>
            </w:rPr>
            <w:fldChar w:fldCharType="separate"/>
          </w:r>
          <w:r>
            <w:rPr>
              <w:rFonts w:hint="eastAsia" w:ascii="宋体" w:hAnsi="宋体" w:eastAsia="宋体" w:cs="宋体"/>
              <w:bCs/>
              <w:szCs w:val="28"/>
              <w:lang w:eastAsia="zh-CN"/>
            </w:rPr>
            <w:t>第七章  响应文件格式与要求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_Toc22415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auto"/>
            <w:rPr>
              <w:rFonts w:hint="eastAsia" w:ascii="宋体" w:hAnsi="宋体" w:eastAsia="宋体" w:cs="宋体"/>
              <w:color w:val="000000"/>
              <w:sz w:val="21"/>
              <w:szCs w:val="21"/>
              <w:lang w:val="en-US" w:eastAsia="en-US" w:bidi="ar-SA"/>
            </w:rPr>
          </w:pPr>
          <w:r>
            <w:rPr>
              <w:rFonts w:hint="eastAsia" w:ascii="宋体" w:hAnsi="宋体" w:eastAsia="宋体" w:cs="宋体"/>
            </w:rPr>
            <w:fldChar w:fldCharType="end"/>
          </w:r>
        </w:p>
      </w:sdtContent>
    </w:sdt>
    <w:p>
      <w:pPr>
        <w:pStyle w:val="8"/>
        <w:rPr>
          <w:rFonts w:hint="eastAsia" w:ascii="宋体" w:hAnsi="宋体" w:eastAsia="宋体" w:cs="宋体"/>
        </w:rPr>
      </w:pPr>
    </w:p>
    <w:p>
      <w:pPr>
        <w:kinsoku/>
        <w:spacing w:line="360" w:lineRule="auto"/>
        <w:ind w:firstLine="562" w:firstLineChars="200"/>
        <w:jc w:val="center"/>
        <w:outlineLvl w:val="0"/>
        <w:rPr>
          <w:rFonts w:hint="eastAsia" w:ascii="宋体" w:hAnsi="宋体" w:eastAsia="宋体" w:cs="宋体"/>
          <w:b/>
          <w:bCs/>
          <w:color w:val="auto"/>
          <w:sz w:val="28"/>
          <w:szCs w:val="28"/>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hint="eastAsia" w:ascii="宋体" w:hAnsi="宋体" w:eastAsia="宋体" w:cs="宋体"/>
          <w:color w:val="auto"/>
          <w:sz w:val="24"/>
          <w:szCs w:val="24"/>
          <w:lang w:eastAsia="zh-CN"/>
        </w:rPr>
      </w:pPr>
      <w:bookmarkStart w:id="0" w:name="_Toc6558"/>
      <w:r>
        <w:rPr>
          <w:rFonts w:hint="eastAsia" w:ascii="宋体" w:hAnsi="宋体" w:eastAsia="宋体" w:cs="宋体"/>
          <w:b/>
          <w:bCs/>
          <w:color w:val="auto"/>
          <w:sz w:val="28"/>
          <w:szCs w:val="28"/>
          <w:lang w:eastAsia="zh-CN"/>
        </w:rPr>
        <w:t>第一章  磋商邀请</w:t>
      </w:r>
      <w:bookmarkEnd w:id="0"/>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赤峰鸿途项目管理有限公司受赤峰市生态环境局松山区分局委托，采用竞争性磋商方式组织采购赤峰市生态环境局松山区分局2026年度非道路机械设备及路检柴油货车排放达标检测服务项目（二次），欢迎符合资格条件的供应商前来参加。</w:t>
      </w:r>
    </w:p>
    <w:p>
      <w:pPr>
        <w:kinsoku/>
        <w:spacing w:line="360" w:lineRule="auto"/>
        <w:ind w:firstLine="481" w:firstLine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一、项目概述</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1.名称与编号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项目名称：赤峰市生态环境局松山区分局2026年度非道路机械设备及路检柴油货车排放达标检测服务项目（二次）</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项目编号：【2026】HT-CS-070</w:t>
      </w:r>
    </w:p>
    <w:p>
      <w:pPr>
        <w:numPr>
          <w:ilvl w:val="0"/>
          <w:numId w:val="0"/>
        </w:num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bidi="ar-SA"/>
        </w:rPr>
        <w:t>2.</w:t>
      </w:r>
      <w:r>
        <w:rPr>
          <w:rFonts w:hint="eastAsia" w:ascii="宋体" w:hAnsi="宋体" w:eastAsia="宋体" w:cs="宋体"/>
          <w:color w:val="auto"/>
          <w:sz w:val="24"/>
          <w:szCs w:val="24"/>
        </w:rPr>
        <w:t>内容及划分采购包情况</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采购包</w:t>
      </w:r>
      <w:r>
        <w:rPr>
          <w:rFonts w:hint="eastAsia" w:ascii="宋体" w:hAnsi="宋体" w:eastAsia="宋体" w:cs="宋体"/>
          <w:color w:val="auto"/>
          <w:spacing w:val="0"/>
          <w:w w:val="100"/>
          <w:sz w:val="24"/>
          <w:szCs w:val="24"/>
          <w:lang w:val="en-US" w:eastAsia="zh-CN"/>
        </w:rPr>
        <w:t>1：赤峰市生态环境局松山区分局2026年度非道路机械设备及路检柴油货车排放达标检测服务项目（二次）</w:t>
      </w:r>
    </w:p>
    <w:p>
      <w:pPr>
        <w:numPr>
          <w:ilvl w:val="0"/>
          <w:numId w:val="0"/>
        </w:numPr>
        <w:ind w:firstLine="480" w:firstLineChars="200"/>
        <w:outlineLvl w:val="9"/>
        <w:rPr>
          <w:rFonts w:hint="eastAsia" w:ascii="宋体" w:hAnsi="宋体" w:eastAsia="宋体" w:cs="宋体"/>
          <w:color w:val="auto"/>
          <w:highlight w:val="none"/>
          <w:lang w:val="en-US"/>
        </w:rPr>
      </w:pPr>
      <w:r>
        <w:rPr>
          <w:rFonts w:hint="eastAsia" w:ascii="宋体" w:hAnsi="宋体" w:eastAsia="宋体" w:cs="宋体"/>
          <w:color w:val="auto"/>
          <w:spacing w:val="0"/>
          <w:w w:val="100"/>
          <w:sz w:val="24"/>
          <w:szCs w:val="24"/>
          <w:lang w:eastAsia="zh-CN"/>
        </w:rPr>
        <w:t>采购包预算金额（元）:</w:t>
      </w:r>
      <w:r>
        <w:rPr>
          <w:rFonts w:hint="eastAsia" w:ascii="宋体" w:hAnsi="宋体" w:eastAsia="宋体" w:cs="宋体"/>
          <w:color w:val="auto"/>
          <w:spacing w:val="0"/>
          <w:w w:val="100"/>
          <w:sz w:val="24"/>
          <w:szCs w:val="24"/>
          <w:highlight w:val="none"/>
          <w:lang w:val="en-US" w:eastAsia="zh-CN"/>
        </w:rPr>
        <w:t>103280.00</w:t>
      </w:r>
    </w:p>
    <w:tbl>
      <w:tblPr>
        <w:tblStyle w:val="21"/>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pPr>
              <w:pStyle w:val="40"/>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2026年度非道路机械设备及路检柴油货车排放达标检测服务项目（二次）</w:t>
            </w:r>
          </w:p>
        </w:tc>
        <w:tc>
          <w:tcPr>
            <w:tcW w:w="947" w:type="dxa"/>
            <w:vAlign w:val="center"/>
          </w:tcPr>
          <w:p>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color w:val="auto"/>
                <w:spacing w:val="0"/>
                <w:w w:val="100"/>
                <w:sz w:val="24"/>
                <w:szCs w:val="24"/>
                <w:highlight w:val="none"/>
                <w:lang w:val="en-US" w:eastAsia="zh-CN"/>
              </w:rPr>
              <w:t>103280.00</w:t>
            </w:r>
          </w:p>
        </w:tc>
        <w:tc>
          <w:tcPr>
            <w:tcW w:w="1436" w:type="dxa"/>
            <w:shd w:val="clear" w:color="auto" w:fill="auto"/>
            <w:vAlign w:val="center"/>
          </w:tcPr>
          <w:p>
            <w:pPr>
              <w:pStyle w:val="40"/>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pPr>
        <w:kinsoku/>
        <w:spacing w:before="240" w:beforeLines="100" w:line="360" w:lineRule="auto"/>
        <w:ind w:firstLine="481" w:firstLineChars="200"/>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二、供应商的资格要求</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1.供应商应符合《中华人民共和国政府采购法》第二十二条规定的条件。</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2.资格审查时，供应商未被列入失信被执行人、重大税收违法失信主体名单、政府采购严重违法失信行为记录名单，相关信用情况通过“信用中国”网站、中国政府采购网等渠道查询。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4.本项目的特定资格要求：供应商须具备有效的《检验检测机构资质认定证书》</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eastAsia="zh-CN"/>
        </w:rPr>
        <w:t>5.本项目不接受联合体投标。</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三、获取磋商文件的时间、地点、方式</w:t>
      </w:r>
    </w:p>
    <w:p>
      <w:pPr>
        <w:kinsoku/>
        <w:spacing w:line="360" w:lineRule="auto"/>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详见竞争性磋商公告</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四、磋商文件售价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本次磋商文件的售价为0元人民币。</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五、响应文件提交的截止时间、开启时间和地点</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详见竞争性磋商公告</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六、联系方式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称：赤峰市生态环境局松山区分局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址：赤峰市松山区广场路32号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联系方式：陈主任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0476-8465275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eastAsia="宋体" w:cs="宋体"/>
          <w:color w:val="auto"/>
          <w:sz w:val="24"/>
          <w:szCs w:val="24"/>
          <w:lang w:eastAsia="zh-CN"/>
        </w:rPr>
        <w:t>赤峰鸿途项目管理有限公司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址：内蒙古自治区赤峰市松山区上海城1-7-07018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联系方式：王工 0476-</w:t>
      </w:r>
      <w:r>
        <w:rPr>
          <w:rFonts w:hint="eastAsia" w:ascii="宋体" w:hAnsi="宋体" w:eastAsia="宋体" w:cs="宋体"/>
          <w:color w:val="auto"/>
          <w:sz w:val="24"/>
          <w:szCs w:val="24"/>
          <w:lang w:eastAsia="zh-CN"/>
        </w:rPr>
        <w:t>8058887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王</w:t>
      </w:r>
      <w:r>
        <w:rPr>
          <w:rFonts w:hint="eastAsia" w:ascii="宋体" w:hAnsi="宋体" w:eastAsia="宋体" w:cs="宋体"/>
          <w:color w:val="auto"/>
          <w:sz w:val="24"/>
          <w:szCs w:val="24"/>
          <w:lang w:val="en-US" w:eastAsia="zh-CN"/>
        </w:rPr>
        <w:t>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r>
        <w:rPr>
          <w:rFonts w:hint="eastAsia" w:ascii="宋体" w:hAnsi="宋体" w:eastAsia="宋体" w:cs="宋体"/>
          <w:color w:val="auto"/>
          <w:sz w:val="24"/>
          <w:szCs w:val="24"/>
          <w:lang w:val="en-US" w:eastAsia="zh-CN"/>
        </w:rPr>
        <w:t>0476-8058887</w:t>
      </w:r>
    </w:p>
    <w:p>
      <w:pPr>
        <w:kinsoku/>
        <w:spacing w:line="360" w:lineRule="auto"/>
        <w:rPr>
          <w:rFonts w:hint="eastAsia" w:ascii="宋体" w:hAnsi="宋体" w:eastAsia="宋体" w:cs="宋体"/>
          <w:color w:val="auto"/>
          <w:sz w:val="24"/>
          <w:szCs w:val="24"/>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pPr>
        <w:kinsoku/>
        <w:spacing w:line="360" w:lineRule="auto"/>
        <w:ind w:firstLine="562" w:firstLineChars="200"/>
        <w:jc w:val="center"/>
        <w:outlineLvl w:val="0"/>
        <w:rPr>
          <w:rFonts w:hint="eastAsia" w:ascii="宋体" w:hAnsi="宋体" w:eastAsia="宋体" w:cs="宋体"/>
          <w:color w:val="auto"/>
          <w:sz w:val="24"/>
          <w:szCs w:val="24"/>
          <w:lang w:eastAsia="zh-CN"/>
        </w:rPr>
      </w:pPr>
      <w:bookmarkStart w:id="1" w:name="_Toc12920"/>
      <w:r>
        <w:rPr>
          <w:rFonts w:hint="eastAsia" w:ascii="宋体" w:hAnsi="宋体" w:eastAsia="宋体" w:cs="宋体"/>
          <w:b/>
          <w:bCs/>
          <w:color w:val="auto"/>
          <w:sz w:val="28"/>
          <w:szCs w:val="28"/>
          <w:lang w:eastAsia="zh-CN"/>
        </w:rPr>
        <w:t>第二章  供应商须知</w:t>
      </w:r>
      <w:bookmarkEnd w:id="1"/>
    </w:p>
    <w:p>
      <w:pPr>
        <w:kinsoku/>
        <w:spacing w:line="360" w:lineRule="auto"/>
        <w:ind w:firstLine="481" w:firstLineChars="200"/>
        <w:outlineLvl w:val="1"/>
        <w:rPr>
          <w:rFonts w:hint="eastAsia" w:ascii="宋体" w:hAnsi="宋体" w:eastAsia="宋体" w:cs="宋体"/>
          <w:color w:val="auto"/>
          <w:sz w:val="24"/>
          <w:szCs w:val="24"/>
        </w:rPr>
      </w:pPr>
      <w:r>
        <w:rPr>
          <w:rFonts w:hint="eastAsia" w:ascii="宋体" w:hAnsi="宋体" w:eastAsia="宋体" w:cs="宋体"/>
          <w:b/>
          <w:bCs/>
          <w:color w:val="auto"/>
          <w:sz w:val="24"/>
          <w:szCs w:val="24"/>
        </w:rPr>
        <w:t>一、前附表</w:t>
      </w:r>
    </w:p>
    <w:tbl>
      <w:tblPr>
        <w:tblStyle w:val="21"/>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3358"/>
        <w:gridCol w:w="4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事项</w:t>
            </w:r>
          </w:p>
        </w:tc>
        <w:tc>
          <w:tcPr>
            <w:tcW w:w="463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划分采购包情况</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共</w:t>
            </w:r>
            <w:r>
              <w:rPr>
                <w:rFonts w:hint="eastAsia" w:ascii="宋体" w:hAnsi="宋体" w:eastAsia="宋体" w:cs="宋体"/>
                <w:color w:val="auto"/>
                <w:sz w:val="24"/>
                <w:szCs w:val="24"/>
                <w:lang w:val="en-US" w:eastAsia="zh-CN"/>
              </w:rPr>
              <w:t xml:space="preserve"> 1 </w:t>
            </w:r>
            <w:r>
              <w:rPr>
                <w:rFonts w:hint="eastAsia" w:ascii="宋体" w:hAnsi="宋体" w:eastAsia="宋体" w:cs="宋体"/>
                <w:color w:val="auto"/>
                <w:sz w:val="24"/>
                <w:szCs w:val="24"/>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开启方式</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远程开启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评审方式</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现场网上评审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评审方法</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成交人确定</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采购人授权评审小组按照评审原则直接确定成交供应商。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磋商保证金</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磋商保证金金额：本项目不收取</w:t>
            </w:r>
          </w:p>
          <w:p>
            <w:pPr>
              <w:kinsoku/>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保证金缴纳截止时间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358" w:type="dxa"/>
            <w:tcBorders>
              <w:tl2br w:val="nil"/>
              <w:tr2bl w:val="nil"/>
            </w:tcBorders>
            <w:shd w:val="clear" w:color="auto" w:fill="auto"/>
            <w:vAlign w:val="center"/>
          </w:tcPr>
          <w:p>
            <w:pPr>
              <w:kinsoku/>
              <w:spacing w:line="360" w:lineRule="auto"/>
              <w:ind w:left="0" w:leftChars="0" w:right="0" w:righ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采购代理机构代理费用</w:t>
            </w:r>
          </w:p>
        </w:tc>
        <w:tc>
          <w:tcPr>
            <w:tcW w:w="4638" w:type="dxa"/>
            <w:tcBorders>
              <w:tl2br w:val="nil"/>
              <w:tr2bl w:val="nil"/>
            </w:tcBorders>
            <w:shd w:val="clear" w:color="auto" w:fill="auto"/>
            <w:vAlign w:val="center"/>
          </w:tcPr>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lang w:eastAsia="zh-CN"/>
              </w:rPr>
            </w:pPr>
            <w:r>
              <w:rPr>
                <w:rFonts w:hint="eastAsia" w:ascii="宋体" w:hAnsi="宋体" w:eastAsia="宋体" w:cs="宋体"/>
                <w:b w:val="0"/>
                <w:bCs w:val="0"/>
                <w:spacing w:val="0"/>
                <w:w w:val="100"/>
                <w:sz w:val="24"/>
                <w:szCs w:val="24"/>
                <w:lang w:eastAsia="zh-CN"/>
              </w:rPr>
              <w:t>本项目收取代理服务费</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代理服务费用收取对象：</w:t>
            </w:r>
            <w:r>
              <w:rPr>
                <w:rFonts w:hint="eastAsia" w:ascii="宋体" w:hAnsi="宋体" w:eastAsia="宋体" w:cs="宋体"/>
                <w:color w:val="auto"/>
                <w:sz w:val="24"/>
                <w:szCs w:val="24"/>
                <w:highlight w:val="none"/>
                <w:shd w:val="clear"/>
                <w:lang w:eastAsia="zh-CN"/>
              </w:rPr>
              <w:t>采购人</w:t>
            </w:r>
          </w:p>
          <w:p>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color w:val="auto"/>
                <w:spacing w:val="0"/>
                <w:w w:val="100"/>
                <w:sz w:val="24"/>
                <w:szCs w:val="24"/>
                <w:highlight w:val="none"/>
                <w:lang w:eastAsia="zh-CN"/>
              </w:rPr>
            </w:pPr>
            <w:r>
              <w:rPr>
                <w:rFonts w:hint="eastAsia" w:ascii="宋体" w:hAnsi="宋体" w:eastAsia="宋体" w:cs="宋体"/>
                <w:b w:val="0"/>
                <w:bCs w:val="0"/>
                <w:color w:val="auto"/>
                <w:spacing w:val="0"/>
                <w:w w:val="100"/>
                <w:sz w:val="24"/>
                <w:szCs w:val="24"/>
                <w:highlight w:val="none"/>
                <w:lang w:eastAsia="zh-CN"/>
              </w:rPr>
              <w:t>代理服务费收取标准：参照原《内蒙古自治区建设工程招标代理服务费收费指导意见》（内工建协〔2022〕34号）文件规定的收费标准收取。</w:t>
            </w:r>
          </w:p>
          <w:p>
            <w:pPr>
              <w:kinsoku/>
              <w:spacing w:line="360" w:lineRule="auto"/>
              <w:ind w:left="0" w:leftChars="0" w:right="0" w:rightChars="0" w:firstLine="0" w:firstLineChars="0"/>
              <w:jc w:val="both"/>
              <w:rPr>
                <w:rFonts w:hint="eastAsia" w:ascii="宋体" w:hAnsi="宋体" w:eastAsia="宋体" w:cs="宋体"/>
                <w:color w:val="auto"/>
                <w:sz w:val="24"/>
                <w:szCs w:val="24"/>
                <w:lang w:val="en-US" w:eastAsia="zh-CN" w:bidi="ar-SA"/>
              </w:rPr>
            </w:pPr>
            <w:r>
              <w:rPr>
                <w:rFonts w:hint="eastAsia" w:ascii="宋体" w:hAnsi="宋体" w:eastAsia="宋体" w:cs="宋体"/>
                <w:b w:val="0"/>
                <w:bCs w:val="0"/>
                <w:spacing w:val="0"/>
                <w:w w:val="100"/>
                <w:sz w:val="24"/>
                <w:szCs w:val="24"/>
                <w:lang w:eastAsia="zh-CN"/>
              </w:rPr>
              <w:t>代理费用收取方式：银行转账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报价形式</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lang w:eastAsia="zh-CN"/>
              </w:rPr>
            </w:pPr>
            <w:r>
              <w:rPr>
                <w:rFonts w:hint="eastAsia" w:ascii="宋体" w:hAnsi="宋体" w:eastAsia="宋体" w:cs="宋体"/>
                <w:color w:val="auto"/>
                <w:spacing w:val="0"/>
                <w:w w:val="100"/>
                <w:sz w:val="24"/>
                <w:szCs w:val="24"/>
                <w:lang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响应文件提交</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在响应文件提交截止时间前上传至“国资智采电子招投标交易平台（</w:t>
            </w:r>
            <w:r>
              <w:rPr>
                <w:rFonts w:hint="eastAsia" w:ascii="宋体" w:hAnsi="宋体" w:eastAsia="宋体" w:cs="宋体"/>
                <w:color w:val="auto"/>
                <w:sz w:val="24"/>
                <w:szCs w:val="24"/>
                <w:lang w:eastAsia="zh-CN"/>
              </w:rPr>
              <w:t>https://www.gzzczb.com</w:t>
            </w:r>
            <w:r>
              <w:rPr>
                <w:rFonts w:hint="eastAsia" w:ascii="宋体" w:hAnsi="宋体" w:eastAsia="宋体" w:cs="宋体"/>
                <w:color w:val="auto"/>
                <w:sz w:val="24"/>
                <w:szCs w:val="24"/>
              </w:rPr>
              <w:t>）”。</w:t>
            </w:r>
          </w:p>
          <w:p>
            <w:pPr>
              <w:kinsoku/>
              <w:spacing w:line="360" w:lineRule="auto"/>
              <w:jc w:val="both"/>
              <w:rPr>
                <w:rFonts w:hint="eastAsia" w:ascii="宋体" w:hAnsi="宋体" w:eastAsia="宋体" w:cs="宋体"/>
                <w:color w:val="000000"/>
                <w:sz w:val="21"/>
                <w:szCs w:val="21"/>
                <w:lang w:val="en-US" w:eastAsia="zh-CN" w:bidi="ar-SA"/>
              </w:rPr>
            </w:pPr>
            <w:r>
              <w:rPr>
                <w:rFonts w:hint="eastAsia" w:ascii="宋体" w:hAnsi="宋体" w:eastAsia="宋体" w:cs="宋体"/>
                <w:color w:val="auto"/>
                <w:sz w:val="24"/>
                <w:szCs w:val="24"/>
              </w:rPr>
              <w:t>技术支持电话：</w:t>
            </w:r>
            <w:r>
              <w:rPr>
                <w:rFonts w:hint="eastAsia" w:ascii="宋体" w:hAnsi="宋体" w:eastAsia="宋体" w:cs="宋体"/>
                <w:color w:val="auto"/>
                <w:sz w:val="24"/>
                <w:szCs w:val="24"/>
                <w:lang w:eastAsia="zh-CN"/>
              </w:rPr>
              <w:t>400-666-0654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响应文件数量</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加密的电子响应文件1份</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在响应文件提交截止时间前上传至“国资智采电子招投标交易平台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w:t>
            </w:r>
          </w:p>
          <w:p>
            <w:pPr>
              <w:pStyle w:val="15"/>
              <w:rPr>
                <w:rFonts w:hint="eastAsia" w:ascii="宋体" w:hAnsi="宋体" w:eastAsia="宋体" w:cs="宋体"/>
                <w:b/>
                <w:bCs/>
                <w:lang w:val="en-US" w:eastAsia="zh-CN"/>
              </w:rPr>
            </w:pPr>
            <w:r>
              <w:rPr>
                <w:rFonts w:hint="eastAsia" w:ascii="宋体" w:hAnsi="宋体" w:eastAsia="宋体" w:cs="宋体"/>
                <w:b/>
                <w:bCs/>
                <w:lang w:val="en-US" w:eastAsia="zh-CN"/>
              </w:rPr>
              <w:t>投标供应商须在本项目开标后3日内，递交与电子版响应文件一致的纸质版响应文件一式三份（一正二副），用于采购人留存档案。</w:t>
            </w:r>
          </w:p>
          <w:p>
            <w:pPr>
              <w:pStyle w:val="15"/>
              <w:rPr>
                <w:rFonts w:hint="eastAsia" w:ascii="宋体" w:hAnsi="宋体" w:eastAsia="宋体" w:cs="宋体"/>
                <w:color w:val="000000"/>
                <w:sz w:val="21"/>
                <w:szCs w:val="21"/>
                <w:lang w:val="en-US" w:eastAsia="zh-CN" w:bidi="ar-SA"/>
              </w:rPr>
            </w:pPr>
            <w:r>
              <w:rPr>
                <w:rFonts w:hint="eastAsia" w:ascii="宋体" w:hAnsi="宋体" w:eastAsia="宋体" w:cs="宋体"/>
                <w:b/>
                <w:bCs/>
                <w:lang w:val="en-US" w:eastAsia="zh-CN"/>
              </w:rPr>
              <w:t>纸质版响应文件邮寄到采购代理机构处，邮寄地址详：赤峰市松山区金帝商务大厦A座2区四楼评标1室。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电子响应文件签字、盖章要求</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应按照第七章“响应文件格式与要求”，进行签字、加盖公章。</w:t>
            </w:r>
          </w:p>
          <w:p>
            <w:pPr>
              <w:pStyle w:val="15"/>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说明：若涉及到授权代表签字的可将文件签字页先进行签字、扫描后导入加密电子响应文件。</w:t>
            </w:r>
          </w:p>
          <w:p>
            <w:pPr>
              <w:spacing w:line="36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4"/>
                <w:lang w:eastAsia="zh-CN"/>
              </w:rPr>
              <w:t>电子签章（CA）需下载安装智签宝APP申请并关联项目使用。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358"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投标客户端</w:t>
            </w:r>
          </w:p>
        </w:tc>
        <w:tc>
          <w:tcPr>
            <w:tcW w:w="4638" w:type="dxa"/>
            <w:tcBorders>
              <w:tl2br w:val="nil"/>
              <w:tr2bl w:val="nil"/>
            </w:tcBorders>
            <w:shd w:val="clear" w:color="auto" w:fill="auto"/>
            <w:vAlign w:val="top"/>
          </w:tcPr>
          <w:p>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投标客户端需要供应商在“</w:t>
            </w:r>
            <w:r>
              <w:rPr>
                <w:rFonts w:hint="eastAsia" w:ascii="宋体" w:hAnsi="宋体" w:eastAsia="宋体" w:cs="宋体"/>
                <w:color w:val="auto"/>
                <w:sz w:val="24"/>
                <w:szCs w:val="24"/>
              </w:rPr>
              <w:t>国资智采电子招投标交易平台（</w:t>
            </w:r>
            <w:r>
              <w:rPr>
                <w:rFonts w:hint="eastAsia" w:ascii="宋体" w:hAnsi="宋体" w:eastAsia="宋体" w:cs="宋体"/>
                <w:color w:val="auto"/>
                <w:sz w:val="24"/>
                <w:szCs w:val="24"/>
                <w:lang w:eastAsia="zh-CN"/>
              </w:rPr>
              <w:t>https://www.gzzczb.com</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”自行下载。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有效供应商家数</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采购包1：3家</w:t>
            </w:r>
          </w:p>
          <w:p>
            <w:pPr>
              <w:kinsoku/>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注：政府购买服务项目依照（财库〔2015〕124号）文件执行。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现场踏勘</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采购包1：组织现场踏勘：否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0"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358" w:type="dxa"/>
            <w:tcBorders>
              <w:tl2br w:val="nil"/>
              <w:tr2bl w:val="nil"/>
            </w:tcBorders>
            <w:shd w:val="clear" w:color="auto" w:fill="auto"/>
            <w:vAlign w:val="center"/>
          </w:tcPr>
          <w:p>
            <w:pPr>
              <w:kinsoku/>
              <w:spacing w:line="360" w:lineRule="auto"/>
              <w:jc w:val="center"/>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rPr>
              <w:t>其他</w:t>
            </w:r>
          </w:p>
        </w:tc>
        <w:tc>
          <w:tcPr>
            <w:tcW w:w="4638" w:type="dxa"/>
            <w:tcBorders>
              <w:tl2br w:val="nil"/>
              <w:tr2bl w:val="nil"/>
            </w:tcBorders>
            <w:shd w:val="clear" w:color="auto" w:fill="auto"/>
            <w:vAlign w:val="center"/>
          </w:tcPr>
          <w:p>
            <w:pPr>
              <w:kinsoku/>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sz w:val="21"/>
                <w:szCs w:val="21"/>
                <w:highlight w:val="none"/>
                <w:lang w:val="en-US" w:eastAsia="zh-CN"/>
              </w:rPr>
              <w:t>本项目不允许转包。供应商检验检测能力范围（《检验检测机构资质认定证书》附表）以外的检验检测项目，可以分包。</w:t>
            </w:r>
          </w:p>
        </w:tc>
      </w:tr>
    </w:tbl>
    <w:p>
      <w:pPr>
        <w:kinsoku/>
        <w:spacing w:before="240" w:beforeLines="100" w:line="360" w:lineRule="auto"/>
        <w:ind w:firstLine="481"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二、磋商须知</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1.响应方式</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b w:val="0"/>
          <w:bCs w:val="0"/>
          <w:color w:val="auto"/>
          <w:sz w:val="24"/>
          <w:szCs w:val="24"/>
        </w:rPr>
      </w:pPr>
      <w:r>
        <w:rPr>
          <w:rFonts w:hint="eastAsia" w:ascii="宋体" w:hAnsi="宋体" w:eastAsia="宋体" w:cs="宋体"/>
          <w:color w:val="auto"/>
          <w:sz w:val="24"/>
          <w:szCs w:val="24"/>
          <w:lang w:eastAsia="zh-CN"/>
        </w:rPr>
        <w:t>网上投标，远程不见面方式（供应商无需到现场）。</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投标</w:t>
      </w:r>
      <w:r>
        <w:rPr>
          <w:rFonts w:hint="eastAsia" w:ascii="宋体" w:hAnsi="宋体" w:eastAsia="宋体" w:cs="宋体"/>
          <w:b/>
          <w:bCs/>
          <w:color w:val="auto"/>
          <w:sz w:val="24"/>
          <w:szCs w:val="24"/>
        </w:rPr>
        <w:t>保证金：</w:t>
      </w:r>
      <w:r>
        <w:rPr>
          <w:rFonts w:hint="eastAsia" w:ascii="宋体" w:hAnsi="宋体" w:eastAsia="宋体" w:cs="宋体"/>
          <w:color w:val="auto"/>
          <w:sz w:val="24"/>
          <w:szCs w:val="24"/>
        </w:rPr>
        <w:t>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3.全流程电子化交易</w:t>
      </w:r>
      <w:r>
        <w:rPr>
          <w:rFonts w:hint="eastAsia" w:ascii="宋体" w:hAnsi="宋体" w:eastAsia="宋体" w:cs="宋体"/>
          <w:b/>
          <w:bCs/>
          <w:color w:val="auto"/>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请各供应商熟练掌握不见面开标、不见面评标操作相关事宜，若无法正常响应，供应商自行承担责任。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供应商在国资智采电子招投标交易平台（https://www.gzzczb.com）申请或注册账号，完善信息后，才可进行网上响应。</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供应商的法定代表人或其授权代表应当按照本项目招标公告载明的时间等要求参加开标，在开标时间前30分钟内，登录国资智采电子交易系统确认参加开标。</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开标时，供应商应当</w:t>
      </w:r>
      <w:r>
        <w:rPr>
          <w:rFonts w:hint="eastAsia" w:ascii="宋体" w:hAnsi="宋体" w:eastAsia="宋体" w:cs="宋体"/>
          <w:b/>
          <w:bCs/>
          <w:color w:val="auto"/>
          <w:sz w:val="24"/>
          <w:szCs w:val="24"/>
          <w:lang w:val="en-US" w:eastAsia="zh-CN"/>
        </w:rPr>
        <w:t>使用密码文件中的密匙</w:t>
      </w:r>
      <w:r>
        <w:rPr>
          <w:rFonts w:hint="eastAsia" w:ascii="宋体" w:hAnsi="宋体" w:eastAsia="宋体" w:cs="宋体"/>
          <w:color w:val="auto"/>
          <w:sz w:val="24"/>
          <w:szCs w:val="24"/>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开标时出现下列情况的，采购人、采购代理机构应当视为供应商不再参与本项目采购活动。</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(1)供应商未在规定时间内完成电子响应文件在线解密的；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(2)无法解密响应文件的；</w:t>
      </w:r>
    </w:p>
    <w:p>
      <w:pPr>
        <w:kinsoku/>
        <w:spacing w:line="360" w:lineRule="auto"/>
        <w:ind w:firstLine="480" w:firstLineChars="200"/>
        <w:jc w:val="both"/>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(3)供应商自身原因造成电子响应文件未能解密的。</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3.4 磋商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磋商小组所有成员将集中与资格及符合性审查通过的供应商分别进行磋商，并给予所有参加磋商的供应商平等的磋商机会。</w:t>
      </w:r>
      <w:r>
        <w:rPr>
          <w:rFonts w:hint="eastAsia" w:ascii="宋体" w:hAnsi="宋体" w:eastAsia="宋体" w:cs="宋体"/>
          <w:b w:val="0"/>
          <w:bCs w:val="0"/>
          <w:color w:val="auto"/>
          <w:sz w:val="24"/>
          <w:szCs w:val="24"/>
          <w:highlight w:val="none"/>
          <w:lang w:val="en-US" w:eastAsia="zh-CN"/>
        </w:rPr>
        <w:t>供应商应及时关注磋商信息，如因个人原因未参与磋商，后果自负。</w:t>
      </w:r>
      <w:r>
        <w:rPr>
          <w:rFonts w:hint="eastAsia" w:ascii="宋体" w:hAnsi="宋体" w:eastAsia="宋体" w:cs="宋体"/>
          <w:b w:val="0"/>
          <w:bCs w:val="0"/>
          <w:color w:val="auto"/>
          <w:sz w:val="24"/>
          <w:szCs w:val="24"/>
          <w:lang w:val="en-US" w:eastAsia="zh-CN"/>
        </w:rPr>
        <w:t>具体内容详见第五章。</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 最后报价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三、说明</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1.总则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本磋商文件参照《中华人民共和国政府采购法》《中华人民共和国政府采购法实施条例》和《政府采购竞争性磋商采购方式管理暂行办法》及依据国家和自治区有关法律、法规、规章制度编制。</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供应商应仔细阅读本项目信息公告及磋商文件的所有内容（包括澄清或者修改），按照磋商文件要求以及格式编制响应文件，并保证其真实性，否则一切后果自负。</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2.适用范围</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本磋商文件仅适用于本次竞争性磋商公告中所涉及的项目和内容。</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3.相关费用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供应商应自行承担所有与准备、参加磋商有关的费用。不论磋商结果如何，采购人或采购代理机构均无义务和责任承担相关费用。</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4.各参与方</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“采购人”是指依法进行政府采购的国家机关、事业单位、团体组织。本磋商文件的采购人特指赤峰市生态环境局松山区分局。</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4.2“采购代理机构”是指集中采购机构和集中采购机构以外的采购代理机构。本磋商文件的采购代理机构特指赤峰鸿途项目管理有限公司。</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“供应商”是指向采购人提供货物、工程或者服务的法人、其他组织或者自然人。</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4.4 “磋商小组”由采购人代表和评审专家组成。</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4.5“成交供应商”是指取得与采购人签订合同资格的供应商。</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5.合格的供应商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 符合本磋商文件规定的资格要求，并按照要求提供相关证明材料。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 单位负责人为同一人或者存在直接控股、管理关系的不同供应商，不得参加同一合同项下的政府采购活动。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 为采购项目提供整体设计、规范编制或者项目管理、监理、检测等服务的供应商，不得再参加该采购项目的其他采购活动。</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6.以联合体形式进行政府采购的，应符合以下规定：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6.1 联合体各方应签订联合体协议书，明确联合体牵头人和各方权利义务，并作为响应文件组成部分。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6.2 联合体各方均应当具备《中华人民共和国政府采购法》第二十二条规定的条件，并在响应文件中提供联合体各方的相关证明材料。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6.3 联合体成员存在不良信用记录的，视同联合体存在不良信用记录。</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6.4 联合体中有同类资质的供应商按照联合体分工承担相同工作的，应当按照资质等级较低的供应商确定资质等级。</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6.5 以联合体形式参加政府采购活动的，联合体各方不得再单独参加或者与其他供应商另外组成联合体参加同一合同项下的政府采购活动。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6.6 联合体各方应当共同与采购人签订采购合同，就合同约定的事项对采购人承担连带责任。</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6.7 如要求缴纳保证金，以联合体牵头人名义缴纳，对联合体各方均具有约束力。</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7.语言文字以及计量单位</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7.1 所有文件使用的语言文字为简体中文。专用术语使用外文的，应附有简体中文注释，否则视为无效。</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7.2 所有计量均采用中华人民共和国法定的计量单位。</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7.3 所有报价一律使用人民币，货币单位：元。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8.现场踏勘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8.1 </w:t>
      </w:r>
      <w:r>
        <w:rPr>
          <w:rFonts w:hint="eastAsia" w:ascii="宋体" w:hAnsi="宋体" w:eastAsia="宋体" w:cs="宋体"/>
          <w:b w:val="0"/>
          <w:bCs w:val="0"/>
          <w:color w:val="auto"/>
          <w:sz w:val="24"/>
          <w:szCs w:val="24"/>
          <w:lang w:eastAsia="zh-CN"/>
        </w:rPr>
        <w:t>竞争性磋商文件</w:t>
      </w:r>
      <w:r>
        <w:rPr>
          <w:rFonts w:hint="eastAsia" w:ascii="宋体" w:hAnsi="宋体" w:eastAsia="宋体" w:cs="宋体"/>
          <w:b w:val="0"/>
          <w:bCs w:val="0"/>
          <w:color w:val="auto"/>
          <w:sz w:val="24"/>
          <w:szCs w:val="24"/>
        </w:rPr>
        <w:t>规定组织现场踏勘的，采购人或者采购代理机构</w:t>
      </w:r>
      <w:r>
        <w:rPr>
          <w:rFonts w:hint="eastAsia" w:ascii="宋体" w:hAnsi="宋体" w:eastAsia="宋体" w:cs="宋体"/>
          <w:b w:val="0"/>
          <w:bCs w:val="0"/>
          <w:color w:val="auto"/>
          <w:sz w:val="24"/>
          <w:szCs w:val="24"/>
          <w:lang w:eastAsia="zh-CN"/>
        </w:rPr>
        <w:t>将</w:t>
      </w:r>
      <w:r>
        <w:rPr>
          <w:rFonts w:hint="eastAsia" w:ascii="宋体" w:hAnsi="宋体" w:eastAsia="宋体" w:cs="宋体"/>
          <w:b w:val="0"/>
          <w:bCs w:val="0"/>
          <w:color w:val="auto"/>
          <w:sz w:val="24"/>
          <w:szCs w:val="24"/>
        </w:rPr>
        <w:t>按竞争性磋商文件规定的时间、地点组织供应商踏勘项目现场。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 供应商自行承担踏勘现场发生的责任、风险和自身费用。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rPr>
        <w:t>8.3 采购人在踏勘现场介绍的资料和数据等，不构成对磋商文件的修改或不作为供应商编制响应文件的依据。</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9.其他条款</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无论成交与否供应商递交的响应文件均不予退还。</w:t>
      </w:r>
    </w:p>
    <w:p>
      <w:pPr>
        <w:kinsoku/>
        <w:spacing w:line="360" w:lineRule="auto"/>
        <w:ind w:firstLine="481" w:firstLineChars="200"/>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四、磋商文件的澄清或者修改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hAnsi="宋体" w:eastAsia="宋体" w:cs="宋体"/>
          <w:color w:val="auto"/>
          <w:sz w:val="24"/>
          <w:szCs w:val="24"/>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pPr>
        <w:kinsoku/>
        <w:spacing w:line="360" w:lineRule="auto"/>
        <w:ind w:firstLine="481" w:firstLine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五、响应文件</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1.响应文件的构成</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响应文件应按照磋商文件第七章“响应文件格式与要求”进行编写，可以增加附页，并作为响应文件的组成部分。</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供应商在制作响应文件时，应保证提供的证明材料清晰可见，否则评审小组可不予采信。</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2.报价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供应商应按照磋商文件第三章“采购内容与技术要求”进行报价，</w:t>
      </w:r>
      <w:r>
        <w:rPr>
          <w:rFonts w:hint="eastAsia" w:ascii="宋体" w:hAnsi="宋体" w:eastAsia="宋体" w:cs="宋体"/>
          <w:color w:val="auto"/>
          <w:sz w:val="24"/>
          <w:szCs w:val="24"/>
        </w:rPr>
        <w:t>报价取小数点后两位，小数点后第三位四舍五入</w:t>
      </w:r>
      <w:r>
        <w:rPr>
          <w:rFonts w:hint="eastAsia" w:ascii="宋体" w:hAnsi="宋体" w:eastAsia="宋体" w:cs="宋体"/>
          <w:color w:val="auto"/>
          <w:sz w:val="24"/>
          <w:szCs w:val="24"/>
          <w:lang w:eastAsia="zh-CN"/>
        </w:rPr>
        <w:t>。报价中不得包含磋商文件要求以外的内容，否则，在评审时不予核减。</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报价包括本项目采购需求和投入使用、实施的所有费用，如主件、标准附件、备品备件、施工、服务、专用工具、安装、调试、检验、培训、运输、保险、税款等。</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报价不得有选择性报价和附有条件的报价。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2.4 供应商应在“投标文件制作工具”对投标报价进行填写，并保证响应文件中的投标报价信息内容一致。</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对报价的计算错误按以下原则修正</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（1）大写金额和小写金额不一致的，以大写金额为准；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（2）单价金额小数点或者百分比有明显错位的，以总价为准，并修改单价。</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（3）总价金额与按单价汇总金额不一致的，以单价金额计算结果为准。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同时出现两种以上不一致的，按照前款规定的顺序修正。</w:t>
      </w:r>
    </w:p>
    <w:p>
      <w:pPr>
        <w:kinsoku/>
        <w:spacing w:line="360" w:lineRule="auto"/>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注：修正后的报价供应商应当加盖公章，或者由法定代表人或其授权代表签字确认后产生约束力，但不得超出响应文件的范围或者改变响应文件的实质性内容，供应商不确认的，其投标无效。</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3.响应文件的递交</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供应商应当在提交响应文件截止时间前递交响应文件，否则视为自动放弃。</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4.响应文件的补充、修改或者撤回</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5.样品</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 磋商文件规定供应商提交样品的，样品属于响应文件的组成部分。样品的生产、运输、安装、保全等一切费用由供应商自理。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5.2 响应文件开启前，供应商应将样品送达至指定地点，按要求摆放并做好展示。若需要现场演示的，供应商应提前做好演示准备（包括演示设备）。</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六、开启、评审、结果公告、成交通知书</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1.开启</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 程序</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（1）宣布纪律；</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（2）宣布相关人员；</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（3）供应商对已提交的加密文件进行解密；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（4）参加人员对开启情况进行确认；</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（5）开启结束。</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疑义</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供应商代表对开启过程和开启记录有疑义，以及认为采购人、采购代理机构相关工作人员有需要回避情形的，应当场提出询问或者回避申请。</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eastAsia="zh-CN"/>
        </w:rPr>
        <w:t>供应商对远程不见面方式开启和记录有疑义，应在“国资智采-电子招投标采购平台”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“开标大厅”中提出。采购代理机构应及时查看回复。</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1.3 备注</w:t>
      </w: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开启时,供应商使用“投标客户端”生成的“密码文件”中的密匙对响应文件进行解密。</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2.评审</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详见第五章</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3.结果公告</w:t>
      </w:r>
    </w:p>
    <w:p>
      <w:p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成交供应商确定后，采购代理机构</w:t>
      </w:r>
      <w:r>
        <w:rPr>
          <w:rFonts w:hint="eastAsia" w:ascii="宋体" w:hAnsi="宋体" w:eastAsia="宋体" w:cs="宋体"/>
          <w:color w:val="auto"/>
          <w:sz w:val="24"/>
          <w:szCs w:val="24"/>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hAnsi="宋体" w:eastAsia="宋体" w:cs="宋体"/>
          <w:color w:val="auto"/>
          <w:sz w:val="24"/>
          <w:szCs w:val="24"/>
        </w:rPr>
        <w:t>国资智采电子招投标交易平台（</w:t>
      </w:r>
      <w:r>
        <w:rPr>
          <w:rFonts w:hint="eastAsia" w:ascii="宋体" w:hAnsi="宋体" w:eastAsia="宋体" w:cs="宋体"/>
          <w:color w:val="auto"/>
          <w:sz w:val="24"/>
          <w:szCs w:val="24"/>
          <w:lang w:eastAsia="zh-CN"/>
        </w:rPr>
        <w:t>https://www.gzzczb.com</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上</w:t>
      </w:r>
      <w:r>
        <w:rPr>
          <w:rFonts w:hint="eastAsia" w:ascii="宋体" w:hAnsi="宋体" w:eastAsia="宋体" w:cs="宋体"/>
          <w:color w:val="auto"/>
          <w:sz w:val="24"/>
          <w:szCs w:val="24"/>
        </w:rPr>
        <w:t>发布成交结果公告，将成交结果以公告形式通知未成交的供应商，成交结果公告期为</w:t>
      </w:r>
      <w:r>
        <w:rPr>
          <w:rFonts w:hint="eastAsia" w:ascii="宋体" w:hAnsi="宋体" w:eastAsia="宋体" w:cs="宋体"/>
          <w:color w:val="0000FF"/>
          <w:sz w:val="24"/>
          <w:szCs w:val="24"/>
          <w:lang w:val="en-US" w:eastAsia="zh-CN"/>
        </w:rPr>
        <w:t>3</w:t>
      </w:r>
      <w:r>
        <w:rPr>
          <w:rFonts w:hint="eastAsia" w:ascii="宋体" w:hAnsi="宋体" w:eastAsia="宋体" w:cs="宋体"/>
          <w:color w:val="auto"/>
          <w:sz w:val="24"/>
          <w:szCs w:val="24"/>
        </w:rPr>
        <w:t>个工作日。</w:t>
      </w:r>
    </w:p>
    <w:p>
      <w:p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项目“废标”后，采购代理机构将在</w:t>
      </w:r>
      <w:bookmarkStart w:id="23" w:name="_GoBack"/>
      <w:bookmarkEnd w:id="23"/>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hAnsi="宋体" w:eastAsia="宋体" w:cs="宋体"/>
          <w:color w:val="auto"/>
          <w:sz w:val="24"/>
          <w:szCs w:val="24"/>
        </w:rPr>
        <w:t>国资智采电子招投标交易平台</w:t>
      </w:r>
      <w:r>
        <w:rPr>
          <w:rFonts w:hint="eastAsia" w:ascii="宋体" w:hAnsi="宋体" w:eastAsia="宋体" w:cs="宋体"/>
          <w:color w:val="auto"/>
          <w:sz w:val="24"/>
          <w:szCs w:val="24"/>
          <w:lang w:eastAsia="zh-CN"/>
        </w:rPr>
        <w:t>上</w:t>
      </w:r>
      <w:r>
        <w:rPr>
          <w:rFonts w:hint="eastAsia" w:ascii="宋体" w:hAnsi="宋体" w:eastAsia="宋体" w:cs="宋体"/>
          <w:color w:val="auto"/>
          <w:sz w:val="24"/>
          <w:szCs w:val="24"/>
        </w:rPr>
        <w:t>发布“废标公告”。</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4.成交通知书</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发布成交结果的同时，成交供应商可在国资智采电子招投标交易平台上下载成交通知书，成交通知书是合同的组成部分，成交通知书对采购人和成交供应商具有同等法律效力。</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成交通知书发出后，采购人不得违法改变成交结果，供应商无正当理由不得放弃成交。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七、询问、质疑与</w:t>
      </w:r>
      <w:r>
        <w:rPr>
          <w:rFonts w:hint="eastAsia" w:ascii="宋体" w:hAnsi="宋体" w:eastAsia="宋体" w:cs="宋体"/>
          <w:b/>
          <w:bCs/>
          <w:color w:val="auto"/>
          <w:sz w:val="24"/>
          <w:szCs w:val="24"/>
          <w:lang w:eastAsia="zh-CN"/>
        </w:rPr>
        <w:t>举报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1.询问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已依法获取其可质疑的采购文件的供应商。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 供应商认为采购文件、采购过程、成交结果使自己的权益受到损害的，可以在知道或者应知其权益受到损害之日起 7 个工作日内，以书面形式向采购人、采购代理机构提出质疑。</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 采购人、采购代理机构应当在收到供应商的书面质疑后 7 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2.3 询问或者质疑事项可能影响成交结果的，采购人应当暂停签订合同，已经签订合同的，应当中止履行合同。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2.4 供应商提出质疑应当提交质疑函和必要的证明材料。质疑函应按照中国政府采购网中的“质疑函范本”制作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包括下列内容：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（一）供应商的姓名或者名称、地址、邮编、联系人及联系电话；</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（二）质疑项目的名称、编号、采购文件获取日期；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（三）具体、明确的质疑事项和与质疑事项相关的请求；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（四）事实依据；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（五）必要的法律依据；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（六）提出质疑的日期。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供应商可以委托代理人进行质疑，代理人提出质疑投诉时应当提交供应商签署的授权委托书。其授权委托书应当载明代理人的姓名或者名称、代理事项、具体权限、期限和相关事项。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2.6 </w:t>
      </w:r>
      <w:r>
        <w:rPr>
          <w:rFonts w:hint="eastAsia" w:ascii="宋体" w:hAnsi="宋体" w:eastAsia="宋体" w:cs="宋体"/>
          <w:color w:val="auto"/>
          <w:sz w:val="24"/>
          <w:szCs w:val="24"/>
        </w:rPr>
        <w:t>接收质疑函的联系部门、联系电话、通讯地址（详见第一章）。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1"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3.举报</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3.1 </w:t>
      </w:r>
      <w:r>
        <w:rPr>
          <w:rFonts w:hint="eastAsia" w:ascii="宋体" w:hAnsi="宋体" w:eastAsia="宋体" w:cs="宋体"/>
          <w:color w:val="auto"/>
          <w:sz w:val="24"/>
          <w:szCs w:val="24"/>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pPr>
        <w:kinsoku/>
        <w:spacing w:line="360" w:lineRule="auto"/>
        <w:ind w:firstLine="480" w:firstLineChars="200"/>
        <w:rPr>
          <w:rFonts w:hint="eastAsia" w:ascii="宋体" w:hAnsi="宋体" w:eastAsia="宋体" w:cs="宋体"/>
          <w:color w:val="auto"/>
          <w:sz w:val="24"/>
          <w:szCs w:val="24"/>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hAnsi="宋体" w:eastAsia="宋体" w:cs="宋体"/>
          <w:color w:val="auto"/>
          <w:sz w:val="24"/>
          <w:szCs w:val="24"/>
          <w:lang w:eastAsia="zh-CN"/>
        </w:rPr>
        <w:t>3.2 限额标准以下项目采购，不适用《中华人民共和国政府采购法》第二条规定，各级财政部门不对争议事项进行受理或处理。</w:t>
      </w:r>
    </w:p>
    <w:p>
      <w:pPr>
        <w:kinsoku/>
        <w:spacing w:line="360" w:lineRule="auto"/>
        <w:ind w:firstLine="562" w:firstLineChars="200"/>
        <w:jc w:val="center"/>
        <w:outlineLvl w:val="0"/>
        <w:rPr>
          <w:rFonts w:hint="eastAsia" w:ascii="宋体" w:hAnsi="宋体" w:eastAsia="宋体" w:cs="宋体"/>
          <w:color w:val="auto"/>
          <w:sz w:val="24"/>
          <w:szCs w:val="24"/>
          <w:lang w:eastAsia="zh-CN"/>
        </w:rPr>
      </w:pPr>
      <w:bookmarkStart w:id="2" w:name="_Toc22809"/>
      <w:r>
        <w:rPr>
          <w:rFonts w:hint="eastAsia" w:ascii="宋体" w:hAnsi="宋体" w:eastAsia="宋体" w:cs="宋体"/>
          <w:b/>
          <w:bCs/>
          <w:color w:val="auto"/>
          <w:sz w:val="28"/>
          <w:szCs w:val="28"/>
          <w:lang w:eastAsia="zh-CN"/>
        </w:rPr>
        <w:t>第三章  采购内容与技术要求</w:t>
      </w:r>
      <w:bookmarkEnd w:id="2"/>
    </w:p>
    <w:p>
      <w:pPr>
        <w:kinsoku/>
        <w:spacing w:line="360" w:lineRule="auto"/>
        <w:ind w:firstLine="481" w:firstLineChars="200"/>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一、项目概况</w:t>
      </w:r>
    </w:p>
    <w:p>
      <w:pPr>
        <w:spacing w:before="183" w:line="352" w:lineRule="auto"/>
        <w:ind w:left="24" w:right="167" w:firstLine="477"/>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赤峰市生态环境局松山区分局2026年度非道路机械设备及路检柴油货车排放达标检测服务（</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(1)非道路机械设备排放达标检测，共计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40 台；</w:t>
      </w:r>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柴油车尾气排放路检路查</w:t>
      </w:r>
      <w:r>
        <w:rPr>
          <w:rFonts w:hint="eastAsia" w:ascii="宋体" w:hAnsi="宋体" w:eastAsia="宋体" w:cs="宋体"/>
          <w:sz w:val="24"/>
          <w:szCs w:val="24"/>
          <w:lang w:eastAsia="zh-CN"/>
        </w:rPr>
        <w:t>，共计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 台；</w:t>
      </w:r>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(3)柴油车尾气排放入户检查，共计 60 台</w:t>
      </w:r>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(4)出具检测报告；</w:t>
      </w:r>
    </w:p>
    <w:p>
      <w:pPr>
        <w:spacing w:before="183" w:line="352" w:lineRule="auto"/>
        <w:ind w:left="24" w:right="167"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(5)其他相关伴随服务。</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二、主要商务要求、技术要求</w:t>
      </w:r>
    </w:p>
    <w:p>
      <w:pPr>
        <w:kinsoku/>
        <w:spacing w:line="360" w:lineRule="auto"/>
        <w:ind w:firstLine="481"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1.主要商务要求</w:t>
      </w:r>
    </w:p>
    <w:p>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4"/>
          <w:szCs w:val="24"/>
          <w:lang w:eastAsia="zh-CN"/>
        </w:rPr>
        <w:t>采购包</w:t>
      </w:r>
      <w:r>
        <w:rPr>
          <w:rFonts w:hint="eastAsia" w:ascii="宋体" w:hAnsi="宋体" w:eastAsia="宋体" w:cs="宋体"/>
          <w:b w:val="0"/>
          <w:bCs w:val="0"/>
          <w:color w:val="auto"/>
          <w:sz w:val="24"/>
          <w:szCs w:val="24"/>
          <w:lang w:val="en-US" w:eastAsia="zh-CN"/>
        </w:rPr>
        <w:t>1：赤峰市生态环境局松山区分局2026年度非道路机械设备及路检柴油货车排放达标检测服务项目（二次）</w:t>
      </w:r>
    </w:p>
    <w:tbl>
      <w:tblPr>
        <w:tblStyle w:val="21"/>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交货或服务期限</w:t>
            </w:r>
          </w:p>
        </w:tc>
        <w:tc>
          <w:tcPr>
            <w:tcW w:w="6121" w:type="dxa"/>
            <w:shd w:val="clear" w:color="auto" w:fill="auto"/>
            <w:vAlign w:val="center"/>
          </w:tcPr>
          <w:p>
            <w:pPr>
              <w:kinsoku/>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自签订合同之日起一年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交货或服务地点</w:t>
            </w:r>
          </w:p>
        </w:tc>
        <w:tc>
          <w:tcPr>
            <w:tcW w:w="6121" w:type="dxa"/>
            <w:shd w:val="clear" w:color="auto" w:fill="auto"/>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赤峰市生态环境局松山区分局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121" w:type="dxa"/>
            <w:shd w:val="clear" w:color="auto" w:fill="auto"/>
            <w:vAlign w:val="center"/>
          </w:tcPr>
          <w:p>
            <w:pPr>
              <w:kinsoku/>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中标（成交）供应商按照采购文件及采购合同要求完成全部服务内容后，采购人一次性支付全部合同价款。付款之前，成交供应商应向采购人提供相应金额的发票。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6121" w:type="dxa"/>
            <w:shd w:val="clear" w:color="auto" w:fill="auto"/>
            <w:vAlign w:val="center"/>
          </w:tcPr>
          <w:p>
            <w:pPr>
              <w:kinsoku/>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成交供应商提供的相关服务符合国家（或行业）规定标准。成交供应商全部服务完成后由采购人组织履约验收。验收合格签署《履约验收书》。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121" w:type="dxa"/>
            <w:shd w:val="clear" w:color="auto" w:fill="auto"/>
            <w:vAlign w:val="center"/>
          </w:tcPr>
          <w:p>
            <w:pPr>
              <w:kinsoku/>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6121" w:type="dxa"/>
            <w:shd w:val="clear" w:color="auto" w:fill="auto"/>
            <w:vAlign w:val="center"/>
          </w:tcPr>
          <w:p>
            <w:pPr>
              <w:kinsoku/>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tc>
      </w:tr>
    </w:tbl>
    <w:p>
      <w:pPr>
        <w:numPr>
          <w:ilvl w:val="0"/>
          <w:numId w:val="0"/>
        </w:numPr>
        <w:kinsoku/>
        <w:spacing w:before="240" w:beforeLines="100" w:line="360" w:lineRule="auto"/>
        <w:ind w:firstLine="481" w:firstLineChars="200"/>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en-US" w:bidi="ar-SA"/>
        </w:rPr>
        <w:t>2.</w:t>
      </w:r>
      <w:r>
        <w:rPr>
          <w:rFonts w:hint="eastAsia" w:ascii="宋体" w:hAnsi="宋体" w:eastAsia="宋体" w:cs="宋体"/>
          <w:b/>
          <w:bCs/>
          <w:color w:val="auto"/>
          <w:sz w:val="24"/>
          <w:szCs w:val="24"/>
          <w:highlight w:val="none"/>
        </w:rPr>
        <w:t>技术要求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成交供应商提供的相关服务符合国家（或行业）规定标准。</w:t>
      </w:r>
    </w:p>
    <w:p>
      <w:pPr>
        <w:rPr>
          <w:rFonts w:hint="eastAsia" w:ascii="宋体" w:hAnsi="宋体" w:eastAsia="宋体" w:cs="宋体"/>
          <w:color w:val="auto"/>
          <w:sz w:val="24"/>
          <w:szCs w:val="24"/>
          <w:lang w:eastAsia="zh-CN"/>
        </w:rPr>
      </w:pPr>
    </w:p>
    <w:p>
      <w:pPr>
        <w:kinsoku/>
        <w:spacing w:line="360" w:lineRule="auto"/>
        <w:ind w:firstLine="562" w:firstLineChars="200"/>
        <w:jc w:val="center"/>
        <w:outlineLvl w:val="0"/>
        <w:rPr>
          <w:rFonts w:hint="eastAsia" w:ascii="宋体" w:hAnsi="宋体" w:eastAsia="宋体" w:cs="宋体"/>
          <w:color w:val="auto"/>
          <w:sz w:val="24"/>
          <w:szCs w:val="24"/>
          <w:lang w:eastAsia="zh-CN"/>
        </w:rPr>
      </w:pPr>
      <w:bookmarkStart w:id="3" w:name="_Toc32277"/>
      <w:r>
        <w:rPr>
          <w:rFonts w:hint="eastAsia" w:ascii="宋体" w:hAnsi="宋体" w:eastAsia="宋体" w:cs="宋体"/>
          <w:b/>
          <w:bCs/>
          <w:color w:val="auto"/>
          <w:sz w:val="28"/>
          <w:szCs w:val="28"/>
          <w:lang w:eastAsia="zh-CN"/>
        </w:rPr>
        <w:t>第四章  供应商应当提交的资格、资信证明文件</w:t>
      </w:r>
      <w:bookmarkEnd w:id="3"/>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供应商应提交证明其有资格参加磋商和成交后有能力履行合同的相关文件，并作为其响应文件的一部分，所有文件必须真实可靠、不得伪造，否则将按相关规定予以处罚。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pPr>
        <w:kinsoku/>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二、财务状况报告，依法缴纳税收和社会保障资金的相关材料（详见资格审查表）。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三、具备履行合同所必需的设备和专业技术能力的相关材料（详见资格审查表）。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四、参加政府采购活动前 3 年内在经营活动中没有重大违法记录的书面声明。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五、按照磋商文件要求，供应商应当提交的其他资格、资信证明文件。</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kinsoku/>
        <w:spacing w:line="360" w:lineRule="auto"/>
        <w:ind w:firstLine="562" w:firstLineChars="200"/>
        <w:jc w:val="center"/>
        <w:outlineLvl w:val="0"/>
        <w:rPr>
          <w:rFonts w:hint="eastAsia" w:ascii="宋体" w:hAnsi="宋体" w:eastAsia="宋体" w:cs="宋体"/>
          <w:b/>
          <w:bCs/>
          <w:color w:val="auto"/>
          <w:sz w:val="24"/>
          <w:szCs w:val="24"/>
          <w:lang w:eastAsia="zh-CN"/>
        </w:rPr>
      </w:pPr>
      <w:bookmarkStart w:id="4" w:name="_Toc16180"/>
      <w:r>
        <w:rPr>
          <w:rFonts w:hint="eastAsia" w:ascii="宋体" w:hAnsi="宋体" w:eastAsia="宋体" w:cs="宋体"/>
          <w:b/>
          <w:bCs/>
          <w:color w:val="auto"/>
          <w:sz w:val="28"/>
          <w:szCs w:val="28"/>
          <w:lang w:eastAsia="zh-CN"/>
        </w:rPr>
        <w:t>第五章  评审</w:t>
      </w:r>
      <w:bookmarkEnd w:id="4"/>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一、评审要求</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1.评审方法</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2.评审原则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磋商小组成员应当遵循客观、公正、审慎的原则，根据磋商文件规定的评审程序、评审方法和评审标准进行独立评审。</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具体评审事项由磋商小组负责，并按磋商文件规定的办法进行评审。</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3.磋商小组</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 磋商小组由采购人代表和评审专家共 3 人以上单数组成，其中评审专家人数不得少于磋商小组成员总数的 2/3。</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 磋商小组成员有下列情形之一的，应当回避：</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（1）参加政府采购活动前 3 年内,与供应商存在劳动关系,或者担任过供应商的董事、监事,或者是供应商的控股股东或实际控制人；</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（2）与供应商的法定代表人或者负责人有夫妻、直系血亲、三代以内旁系血亲或者近姻亲关系；</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（3）与供应商有其他可能影响政府采购活动公平、公正进行的关系。</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 磋商小组负责具体评审事务，并独立履行下列职责：</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（1）对响应文件的有效性、完整性和响应程度进行审查；</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（2）要求供应商对响应文件有关事项作出澄清、说明或更正；</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（3）磋商小组所有成员应当集中与单一供应商分别进行磋商；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（4）对响应文件进行比较和评价；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（5）确定成交候选人名单，以及根据采购人委托直接确定成交供应商；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（6）向采购人、采购代理机构或者有关部门报告评审中发现的违法行为；</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（7）法律法规规定的其他职责。</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4.澄清</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磋商小组不接受供应商主动提出的澄清、说明或更正。</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磋商小组对供应商提交的澄清、说明或更正有疑问的，可以要求供应商进一步澄清、说明或更正。</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5.有下列情形之一的，属于恶意串通，并追究法律责任：</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（1）供应商直接或者间接从采购人或者采购代理机构处获得其他供应商的相关情况并修改其响应文件；</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（2）供应商按照采购人或者采购代理机构的授意撤换、修改响应文件；</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（3）供应商之间协商报价、技术方案等响应文件的实质性内容；</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（4）属于同一集团、协会、商会等组织成员的供应商按照该组织要求协同参加政府采购活动；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（5）供应商之间事先约定由某一特定供应商成交；</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（6）供应商之间商定部分供应商放弃参加政府采购活动或者放弃成交；</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（7）供应商与采购人或者采购代理机构之间、供应商相互之间，为谋求特定供应商成交或者排斥其他供应商的其他串通行为。</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6.响应无效的情形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（1）供应商未按照磋商文件要求提交磋商保证金的，响应无效；</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（2）在提交响应文件截止时间后递交响应文件的，响应无效；</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（3）未实质性响应磋商文件的，响应无效；</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（4）法律、法规和磋商文件规定的其他无效情形。</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7.终止的情形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出现下列情形之一的，采购人或者采购代理机构应当终止竞争性磋商采购活动，发布公告并说明原因，重新开展采购活动：</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（1）因情况变化，不再符合规定的竞争性磋商采购方式适用情形的；</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（2）出现影响采购公正的违法、违规行为的；</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（3）除《政府采购竞争性磋商采购方式管理暂行办法》及其补充通知规定的情形外，在采购过程中符合要求的供应商或者报价未超过采购预算的供应商不足 3 家的。</w:t>
      </w:r>
    </w:p>
    <w:p>
      <w:pPr>
        <w:kinsoku/>
        <w:spacing w:line="360" w:lineRule="auto"/>
        <w:ind w:firstLine="480" w:firstLineChars="200"/>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eastAsia="zh-CN"/>
        </w:rPr>
        <w:t>（4）法律、法规以及磋商文件规定的其他情形。</w:t>
      </w:r>
    </w:p>
    <w:p>
      <w:pPr>
        <w:kinsoku/>
        <w:spacing w:line="360" w:lineRule="auto"/>
        <w:ind w:firstLine="481"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zh-CN" w:eastAsia="zh-CN"/>
        </w:rPr>
        <w:t>磋商评审纪律</w:t>
      </w:r>
    </w:p>
    <w:p>
      <w:pPr>
        <w:kinsoku/>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）磋商小组成员</w:t>
      </w:r>
      <w:r>
        <w:rPr>
          <w:rFonts w:hint="eastAsia" w:ascii="宋体" w:hAnsi="宋体" w:eastAsia="宋体" w:cs="宋体"/>
          <w:color w:val="auto"/>
          <w:sz w:val="24"/>
          <w:szCs w:val="24"/>
          <w:highlight w:val="none"/>
          <w:lang w:val="zh-CN" w:eastAsia="zh-CN"/>
        </w:rPr>
        <w:t>内部讨论的情况和意见应当予以保密，任何人不得以任何形式透露给供应商或与供应商有关的单位或个人；</w:t>
      </w:r>
    </w:p>
    <w:p>
      <w:pPr>
        <w:kinsoku/>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在磋商过程中，供应商不得以任何形式对磋商小组成员进行旨在影响磋商结果的私下接触，否则取消其磋商资格；</w:t>
      </w:r>
    </w:p>
    <w:p>
      <w:pPr>
        <w:kinsoku/>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lang w:val="zh-CN" w:eastAsia="zh-CN"/>
        </w:rPr>
        <w:t>小组成员以及与磋商有关的人员应当对评审情况和评审过程中获悉的国家秘密、商业秘密予以保密。</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9.组织磋商及评审工作程序</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磋商小组应当按照客观、公正、审慎的原则，根据竞争性磋商文件规定的评审程序、评审方法和评审标准进行独立评审。磋商会在采购人或其委托人主持下按程序进行。</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）磋商小组根据竞争性磋商文件共同对供应商的资格、响应文件及其他资料进行评审，未实质性响应竞争性磋商文件的响应文件及其他资料按无效响应处理，磋商小组应当告知提交响应文件的供应商。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在竞争性磋商文件及程序符合法律规定的前提下，</w:t>
      </w:r>
      <w:r>
        <w:rPr>
          <w:rFonts w:hint="eastAsia" w:ascii="宋体" w:hAnsi="宋体" w:eastAsia="宋体" w:cs="宋体"/>
          <w:color w:val="auto"/>
          <w:sz w:val="24"/>
          <w:szCs w:val="24"/>
          <w:highlight w:val="none"/>
          <w:lang w:eastAsia="zh-CN"/>
        </w:rPr>
        <w:t>符合要求的供应商有3家及以上的，竞争性磋商采购活动可以继续进行。符合要求的供应商不足3家的，采购人或者采购代理机构应当终止竞争性磋商采购活动，</w:t>
      </w:r>
      <w:r>
        <w:rPr>
          <w:rFonts w:hint="eastAsia" w:ascii="宋体" w:hAnsi="宋体" w:eastAsia="宋体" w:cs="宋体"/>
          <w:color w:val="auto"/>
          <w:sz w:val="24"/>
          <w:szCs w:val="24"/>
          <w:highlight w:val="none"/>
          <w:lang w:val="zh-CN" w:eastAsia="zh-CN"/>
        </w:rPr>
        <w:t>发布项目终止公告并说明原因，重新开展采购活动</w:t>
      </w:r>
      <w:r>
        <w:rPr>
          <w:rFonts w:hint="eastAsia" w:ascii="宋体" w:hAnsi="宋体" w:eastAsia="宋体" w:cs="宋体"/>
          <w:color w:val="auto"/>
          <w:sz w:val="24"/>
          <w:szCs w:val="24"/>
          <w:highlight w:val="none"/>
          <w:lang w:eastAsia="zh-CN"/>
        </w:rPr>
        <w:t>。</w:t>
      </w:r>
    </w:p>
    <w:p>
      <w:pPr>
        <w:kinsoku/>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根据《财政部关于政府</w:t>
      </w:r>
      <w:r>
        <w:rPr>
          <w:rFonts w:hint="eastAsia" w:ascii="宋体" w:hAnsi="宋体" w:eastAsia="宋体" w:cs="宋体"/>
          <w:color w:val="auto"/>
          <w:sz w:val="24"/>
          <w:szCs w:val="24"/>
          <w:highlight w:val="none"/>
          <w:lang w:val="zh-CN" w:eastAsia="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insoku/>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磋商小组所有成员集中与单一供应商按照</w:t>
      </w:r>
      <w:r>
        <w:rPr>
          <w:rFonts w:hint="eastAsia" w:ascii="宋体" w:hAnsi="宋体" w:eastAsia="宋体" w:cs="宋体"/>
          <w:color w:val="auto"/>
          <w:sz w:val="24"/>
          <w:szCs w:val="24"/>
          <w:highlight w:val="none"/>
          <w:lang w:eastAsia="zh-CN"/>
        </w:rPr>
        <w:t>磋商现场决定的顺序</w:t>
      </w:r>
      <w:r>
        <w:rPr>
          <w:rFonts w:hint="eastAsia" w:ascii="宋体" w:hAnsi="宋体" w:eastAsia="宋体" w:cs="宋体"/>
          <w:color w:val="auto"/>
          <w:sz w:val="24"/>
          <w:szCs w:val="24"/>
          <w:highlight w:val="none"/>
          <w:lang w:val="zh-CN" w:eastAsia="zh-CN"/>
        </w:rPr>
        <w:t>分别进行磋商，并给予所有参加磋商的供应商平等的磋商机会。</w:t>
      </w:r>
      <w:r>
        <w:rPr>
          <w:rFonts w:hint="eastAsia" w:ascii="宋体" w:hAnsi="宋体" w:eastAsia="宋体" w:cs="宋体"/>
          <w:color w:val="auto"/>
          <w:sz w:val="24"/>
          <w:szCs w:val="24"/>
          <w:highlight w:val="none"/>
          <w:lang w:eastAsia="zh-CN"/>
        </w:rPr>
        <w:t>每个供应商分别进行一轮或多轮单一保密磋商。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 xml:space="preserve">）在磋商过程中，磋商小组可以根据竞争性磋商文件和磋商情况实质性变动采购需求中的技术、服务要求以及合同草案条款，但不得变动竞争性磋商文件中的其他内容。实质性变动的内容，须经采购人代表确认。 </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对竞争性磋商文件作出的实质性变动是竞争性磋商文件的有效组成部分，磋商小组应当及时以书面形式同时通知所有参加磋商的供应商。 </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章并附身份证明。</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）竞争性磋商文件能够详细列明采购标的的技术、服务要求的，磋商结束后，磋商小组应当要求所有实质性响应的供应商在规定时间内提交最后报价，提交最后报价的供应商不得少于3家。</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最后报价是供应商响应文件的有效组成部分。符合《财政部关于政府</w:t>
      </w:r>
      <w:r>
        <w:rPr>
          <w:rFonts w:hint="eastAsia" w:ascii="宋体" w:hAnsi="宋体" w:eastAsia="宋体" w:cs="宋体"/>
          <w:color w:val="auto"/>
          <w:sz w:val="24"/>
          <w:szCs w:val="24"/>
          <w:highlight w:val="none"/>
          <w:lang w:val="zh-CN" w:eastAsia="zh-CN"/>
        </w:rPr>
        <w:t>采购竞争性磋商采购方式管理暂行办法有关问题的补充通知》规定的</w:t>
      </w:r>
      <w:r>
        <w:rPr>
          <w:rFonts w:hint="eastAsia" w:ascii="宋体" w:hAnsi="宋体" w:eastAsia="宋体" w:cs="宋体"/>
          <w:color w:val="auto"/>
          <w:sz w:val="24"/>
          <w:szCs w:val="24"/>
          <w:highlight w:val="none"/>
          <w:lang w:eastAsia="zh-CN"/>
        </w:rPr>
        <w:t>情形的，提交最后报价的供应商可以为2家。</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）经磋商确定最终采购需求和提交最后报价的供应商后，由磋商小组采用综合评分法对提交最后报价的供应商的响应文件和最后报价进行综合评分。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评审时，磋商小组各成员应当独立对每个有效响应的文件进行评价、打分，然后汇总每个供应商每项评分因素的得分。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）磋商小组应当根据综合评分情况，按照评审得分由高到低顺序推荐3名及以上成交候选供应商，并编写评审报告。符合《财政部关于政府</w:t>
      </w:r>
      <w:r>
        <w:rPr>
          <w:rFonts w:hint="eastAsia" w:ascii="宋体" w:hAnsi="宋体" w:eastAsia="宋体" w:cs="宋体"/>
          <w:color w:val="auto"/>
          <w:sz w:val="24"/>
          <w:szCs w:val="24"/>
          <w:highlight w:val="none"/>
          <w:lang w:val="zh-CN" w:eastAsia="zh-CN"/>
        </w:rPr>
        <w:t>采购竞争性磋商采购方式管理暂行办法有关问题的补充通知》规定的</w:t>
      </w:r>
      <w:r>
        <w:rPr>
          <w:rFonts w:hint="eastAsia" w:ascii="宋体" w:hAnsi="宋体" w:eastAsia="宋体" w:cs="宋体"/>
          <w:color w:val="auto"/>
          <w:sz w:val="24"/>
          <w:szCs w:val="24"/>
          <w:highlight w:val="none"/>
          <w:lang w:eastAsia="zh-CN"/>
        </w:rPr>
        <w:t>情形的，可以推荐2家成交候选供应商。评审得分相同的，按照最后报价由低到高的顺序推荐。评审得分且最后报价相同的，按照技术指标优劣顺序推荐。</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评审报告应当由磋商小组全体人员签字认可。</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10.提交评审报告</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采购代理机构应当在评审结束后1个工作日内将评审报告送采购人确认。</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11.确定成交供应商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12.成交结果</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或者采购代理机构应当在成交供应商确定后2个工作日内，在“赤峰市生态环境局”http://sthjj.chifeng.gov.cn/网站或国资智采电子招投标交易平台（https://www.gzzczb.com）上公告成交结果，同时向成交供应商发出成交通知书。</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成交结果公告包括以下内容：</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（一）采购人和采购代理机构的名称、地址和联系方式；</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（二）项目名称和项目编号；</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（三）成交供应商名称、地址和成交金额；</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（四）主要成交标的的名称、规格型号、数量、单价、服务要求；</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（五）磋商小组成员名单。</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成交通知书发出后，采购人改变成交结果，或者成交供应商放弃成交，应当承担相应的法律责任。</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13.合同签订</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）采购人与成交供应商应当在成交通知书发出之日起7日内，按照竞争性磋商文件确定的合同文本以及采购标的、规格型号、采购金额、采购数量、技术和服务要求等事项签订政府采购合同。</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）竞争性磋商文件、响应文件及磋商过程中有关补充文件均作为合同附件，并与合同具有相同的法律效力。</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）供应商应当按照合同履行义务，完成磋商项目。未经采购人同意，成交供应商不得向他人分包、转包成交项目。</w:t>
      </w:r>
    </w:p>
    <w:p>
      <w:pPr>
        <w:kinsoku/>
        <w:spacing w:line="360" w:lineRule="auto"/>
        <w:ind w:firstLine="481"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14.验收</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项目完成后，成交供应商应当配合采购人提供验收需要的相关资料，按采购人要求的验收流程及措施对项目进行履约验收。</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二、落实政府采购政策</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1.节约能源、保护环境</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kinsoku/>
        <w:spacing w:line="360" w:lineRule="auto"/>
        <w:ind w:firstLine="481"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2.促进中小企业发展</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采购人在政府采购活动中应当通过加强采购需求管理，落实预留采购份额、价格评审优惠、优先采购等措施，提高中小企业在政府采购中的份额，支持中小企业发展。</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在政府采购活动中，供应商提供的货物、工程或者服务符合下列情形的，享受《政府采购促进中小企业发展管理办法》规定的中小企业扶持政策：</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（1）在货物采购项目中，货物由中小企业制造，即货物由中小企业生产且使用该中小企业商号或者注册商标；</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（2）在工程采购项目中，工程由中小企业承建，即工程施工单位为中小企业；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在货物采购项目中，供应商提供的货物既有中小企业制造货物，也有大型企业制造货物的，不享受《政府采购促进中小企业发展管理办法》规定的中小企业扶持政策。</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9"/>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vAlign w:val="top"/>
          </w:tcPr>
          <w:p>
            <w:pPr>
              <w:spacing w:before="205" w:line="212" w:lineRule="auto"/>
              <w:ind w:left="40"/>
              <w:rPr>
                <w:rFonts w:hint="eastAsia" w:ascii="宋体" w:hAnsi="宋体" w:eastAsia="宋体" w:cs="宋体"/>
                <w:sz w:val="24"/>
                <w:szCs w:val="24"/>
              </w:rPr>
            </w:pPr>
            <w:r>
              <w:rPr>
                <w:rFonts w:hint="eastAsia" w:ascii="宋体" w:hAnsi="宋体" w:eastAsia="宋体" w:cs="宋体"/>
                <w:spacing w:val="-1"/>
                <w:sz w:val="24"/>
                <w:szCs w:val="24"/>
              </w:rPr>
              <w:t>序号</w:t>
            </w:r>
          </w:p>
        </w:tc>
        <w:tc>
          <w:tcPr>
            <w:tcW w:w="1866" w:type="dxa"/>
            <w:vAlign w:val="top"/>
          </w:tcPr>
          <w:p>
            <w:pPr>
              <w:spacing w:before="195" w:line="219" w:lineRule="auto"/>
              <w:ind w:left="598"/>
              <w:rPr>
                <w:rFonts w:hint="eastAsia" w:ascii="宋体" w:hAnsi="宋体" w:eastAsia="宋体" w:cs="宋体"/>
                <w:sz w:val="24"/>
                <w:szCs w:val="24"/>
              </w:rPr>
            </w:pPr>
            <w:r>
              <w:rPr>
                <w:rFonts w:hint="eastAsia" w:ascii="宋体" w:hAnsi="宋体" w:eastAsia="宋体" w:cs="宋体"/>
                <w:spacing w:val="-6"/>
                <w:sz w:val="24"/>
                <w:szCs w:val="24"/>
              </w:rPr>
              <w:t>情形</w:t>
            </w:r>
          </w:p>
        </w:tc>
        <w:tc>
          <w:tcPr>
            <w:tcW w:w="1140" w:type="dxa"/>
            <w:vAlign w:val="top"/>
          </w:tcPr>
          <w:p>
            <w:pPr>
              <w:spacing w:before="39" w:line="224" w:lineRule="auto"/>
              <w:ind w:left="403" w:right="146" w:hanging="248"/>
              <w:rPr>
                <w:rFonts w:hint="eastAsia" w:ascii="宋体" w:hAnsi="宋体" w:eastAsia="宋体" w:cs="宋体"/>
                <w:sz w:val="24"/>
                <w:szCs w:val="24"/>
              </w:rPr>
            </w:pPr>
            <w:r>
              <w:rPr>
                <w:rFonts w:hint="eastAsia" w:ascii="宋体" w:hAnsi="宋体" w:eastAsia="宋体" w:cs="宋体"/>
                <w:spacing w:val="-4"/>
                <w:sz w:val="24"/>
                <w:szCs w:val="24"/>
              </w:rPr>
              <w:t>适用对</w:t>
            </w:r>
            <w:r>
              <w:rPr>
                <w:rFonts w:hint="eastAsia" w:ascii="宋体" w:hAnsi="宋体" w:eastAsia="宋体" w:cs="宋体"/>
                <w:spacing w:val="1"/>
                <w:sz w:val="24"/>
                <w:szCs w:val="24"/>
              </w:rPr>
              <w:t xml:space="preserve"> </w:t>
            </w:r>
            <w:r>
              <w:rPr>
                <w:rFonts w:hint="eastAsia" w:ascii="宋体" w:hAnsi="宋体" w:eastAsia="宋体" w:cs="宋体"/>
                <w:sz w:val="24"/>
                <w:szCs w:val="24"/>
              </w:rPr>
              <w:t>象</w:t>
            </w:r>
          </w:p>
        </w:tc>
        <w:tc>
          <w:tcPr>
            <w:tcW w:w="1906" w:type="dxa"/>
            <w:vAlign w:val="top"/>
          </w:tcPr>
          <w:p>
            <w:pPr>
              <w:spacing w:before="195" w:line="222" w:lineRule="auto"/>
              <w:ind w:left="137"/>
              <w:rPr>
                <w:rFonts w:hint="eastAsia" w:ascii="宋体" w:hAnsi="宋体" w:eastAsia="宋体" w:cs="宋体"/>
                <w:sz w:val="24"/>
                <w:szCs w:val="24"/>
              </w:rPr>
            </w:pPr>
            <w:r>
              <w:rPr>
                <w:rFonts w:hint="eastAsia" w:ascii="宋体" w:hAnsi="宋体" w:eastAsia="宋体" w:cs="宋体"/>
                <w:spacing w:val="-2"/>
                <w:sz w:val="24"/>
                <w:szCs w:val="24"/>
              </w:rPr>
              <w:t>价格扣除比例</w:t>
            </w:r>
          </w:p>
        </w:tc>
        <w:tc>
          <w:tcPr>
            <w:tcW w:w="4069" w:type="dxa"/>
            <w:vAlign w:val="top"/>
          </w:tcPr>
          <w:p>
            <w:pPr>
              <w:spacing w:before="196" w:line="203" w:lineRule="auto"/>
              <w:ind w:left="1340"/>
              <w:rPr>
                <w:rFonts w:hint="eastAsia" w:ascii="宋体" w:hAnsi="宋体" w:eastAsia="宋体" w:cs="宋体"/>
                <w:sz w:val="24"/>
                <w:szCs w:val="24"/>
              </w:rPr>
            </w:pPr>
            <w:r>
              <w:rPr>
                <w:rFonts w:hint="eastAsia" w:ascii="宋体" w:hAnsi="宋体" w:eastAsia="宋体" w:cs="宋体"/>
                <w:spacing w:val="-3"/>
                <w:sz w:val="24"/>
                <w:szCs w:val="24"/>
              </w:rPr>
              <w:t>计算公式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pPr>
              <w:spacing w:before="39" w:line="203" w:lineRule="auto"/>
              <w:ind w:left="141"/>
              <w:rPr>
                <w:rFonts w:hint="eastAsia" w:ascii="宋体" w:hAnsi="宋体" w:eastAsia="宋体" w:cs="宋体"/>
                <w:sz w:val="24"/>
                <w:szCs w:val="24"/>
              </w:rPr>
            </w:pPr>
            <w:r>
              <w:rPr>
                <w:rFonts w:hint="eastAsia" w:ascii="宋体" w:hAnsi="宋体" w:eastAsia="宋体" w:cs="宋体"/>
                <w:spacing w:val="2"/>
                <w:sz w:val="24"/>
                <w:szCs w:val="24"/>
              </w:rPr>
              <w:t>注</w:t>
            </w:r>
            <w:r>
              <w:rPr>
                <w:rFonts w:hint="eastAsia" w:ascii="宋体" w:hAnsi="宋体" w:eastAsia="宋体" w:cs="宋体"/>
                <w:spacing w:val="-28"/>
                <w:w w:val="98"/>
                <w:sz w:val="24"/>
                <w:szCs w:val="24"/>
              </w:rPr>
              <w:t>：（</w:t>
            </w:r>
            <w:r>
              <w:rPr>
                <w:rFonts w:hint="eastAsia" w:ascii="宋体" w:hAnsi="宋体" w:eastAsia="宋体" w:cs="宋体"/>
                <w:spacing w:val="2"/>
                <w:sz w:val="24"/>
                <w:szCs w:val="24"/>
              </w:rPr>
              <w:t>1）上述评标价仅用于计算价格评分，成交</w:t>
            </w:r>
            <w:r>
              <w:rPr>
                <w:rFonts w:hint="eastAsia" w:ascii="宋体" w:hAnsi="宋体" w:eastAsia="宋体" w:cs="宋体"/>
                <w:spacing w:val="1"/>
                <w:sz w:val="24"/>
                <w:szCs w:val="24"/>
              </w:rPr>
              <w:t>金额以实际投标价为准。（2）</w:t>
            </w:r>
            <w:r>
              <w:rPr>
                <w:rFonts w:hint="eastAsia" w:ascii="宋体" w:hAnsi="宋体" w:eastAsia="宋体" w:cs="宋体"/>
                <w:sz w:val="24"/>
                <w:szCs w:val="24"/>
              </w:rPr>
              <w:t>组成联合体的大中型企业和其他自然人、法人或</w:t>
            </w:r>
            <w:r>
              <w:rPr>
                <w:rFonts w:hint="eastAsia" w:ascii="宋体" w:hAnsi="宋体" w:eastAsia="宋体" w:cs="宋体"/>
                <w:spacing w:val="-1"/>
                <w:sz w:val="24"/>
                <w:szCs w:val="24"/>
              </w:rPr>
              <w:t>者其他组织，与小型、微型企业</w:t>
            </w:r>
            <w:r>
              <w:rPr>
                <w:rFonts w:hint="eastAsia" w:ascii="宋体" w:hAnsi="宋体" w:eastAsia="宋体" w:cs="宋体"/>
                <w:spacing w:val="-2"/>
                <w:sz w:val="24"/>
                <w:szCs w:val="24"/>
              </w:rPr>
              <w:t>之间不得存在投资关系。</w:t>
            </w:r>
          </w:p>
        </w:tc>
      </w:tr>
    </w:tbl>
    <w:p>
      <w:pPr>
        <w:kinsoku/>
        <w:spacing w:before="240" w:beforeLines="10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pPr>
        <w:kinsoku/>
        <w:spacing w:line="360" w:lineRule="auto"/>
        <w:ind w:firstLine="480" w:firstLineChars="200"/>
        <w:outlineLvl w:val="9"/>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供应商应当对提供材料的真实性负责，若有虚假，将追究其法律责任。</w:t>
      </w:r>
    </w:p>
    <w:p>
      <w:pPr>
        <w:kinsoku/>
        <w:spacing w:line="360" w:lineRule="auto"/>
        <w:ind w:firstLine="481" w:firstLineChars="200"/>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三、评审程序</w:t>
      </w:r>
    </w:p>
    <w:p>
      <w:pPr>
        <w:kinsoku/>
        <w:spacing w:line="360" w:lineRule="auto"/>
        <w:ind w:firstLine="481" w:firstLineChars="200"/>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1.资格审查</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 磋商小组依据法律法规和磋商文件的规定，对响应文件中的资格证明文件等进行审查，以确定供应商是否具备响应资格。</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 资格审查中有任意一项未通过的，审查结果为未通过，未通过资格审查的供应商按无效响应处理。</w:t>
      </w:r>
    </w:p>
    <w:p>
      <w:p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 信用记录查询</w:t>
      </w:r>
    </w:p>
    <w:p>
      <w:p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查询渠道：通过“信用中国”网站(www.creditchina.gov.cn)和“中国政府采购网”（www.ccgp.gov.cn）进行查询；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查询截止时点：本项目资格审查时查询；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查询记录：对列入失信被执行人、重大税收违法失信主体名单、政府采购严重违法失信行为记录名单进行查询；</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磋商小组应当按照查询渠道、查询时间节点、查询记录内容进行查询</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对信用记录查询结果中显示被列入失信被执行人、重大税收违法失信主体名单、政府采购严重违法失信行为记录名单的供应商将被拒绝参与政府采购活动。</w:t>
      </w:r>
    </w:p>
    <w:p>
      <w:pPr>
        <w:kinsoku/>
        <w:spacing w:line="36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资格审查表</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：赤峰市生态环境局松山区分局2026年度非道路机械设备及路检柴油货车排放达标检测服务项目（二次）</w:t>
      </w:r>
    </w:p>
    <w:tbl>
      <w:tblPr>
        <w:tblStyle w:val="21"/>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资格审查要求概况</w:t>
            </w:r>
          </w:p>
        </w:tc>
        <w:tc>
          <w:tcPr>
            <w:tcW w:w="4912" w:type="dxa"/>
            <w:shd w:val="clear" w:color="auto" w:fill="auto"/>
            <w:vAlign w:val="center"/>
          </w:tcPr>
          <w:p>
            <w:pPr>
              <w:spacing w:before="65" w:line="36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具有独立承担民事责任的能力</w:t>
            </w:r>
          </w:p>
        </w:tc>
        <w:tc>
          <w:tcPr>
            <w:tcW w:w="4912" w:type="dxa"/>
            <w:shd w:val="clear" w:color="auto" w:fill="auto"/>
            <w:vAlign w:val="center"/>
          </w:tcPr>
          <w:p>
            <w:pPr>
              <w:spacing w:before="65"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审查供应商有效的营业执照或事业单位法人证书或执业许可证或自然人的身份证明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具有良好的商业信誉和健全的财务会计制度</w:t>
            </w:r>
          </w:p>
        </w:tc>
        <w:tc>
          <w:tcPr>
            <w:tcW w:w="4912" w:type="dxa"/>
            <w:shd w:val="clear" w:color="auto" w:fill="auto"/>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审查供应商出具的“具有良好的商业信誉和健全的财务会计制度”的承诺书。（格式自拟）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有依法缴纳税收和社会保障资金的良好记录</w:t>
            </w:r>
          </w:p>
        </w:tc>
        <w:tc>
          <w:tcPr>
            <w:tcW w:w="4912" w:type="dxa"/>
            <w:shd w:val="clear" w:color="auto" w:fill="auto"/>
            <w:vAlign w:val="center"/>
          </w:tcPr>
          <w:p>
            <w:pPr>
              <w:spacing w:before="65" w:line="300" w:lineRule="auto"/>
              <w:ind w:right="7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审查供应商出具的“具有依法缴纳税收和社会保障资金的良好记录”的承诺书。（格式自拟）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具有履行合同所必需的设备和专业技术能力</w:t>
            </w:r>
          </w:p>
        </w:tc>
        <w:tc>
          <w:tcPr>
            <w:tcW w:w="4912" w:type="dxa"/>
            <w:shd w:val="clear" w:color="auto" w:fill="auto"/>
            <w:vAlign w:val="center"/>
          </w:tcPr>
          <w:p>
            <w:pPr>
              <w:spacing w:before="165" w:line="300" w:lineRule="auto"/>
              <w:ind w:right="76"/>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审查供应商出具的“具有履行合同所必需的设备和专业技术能力的书面声明”。</w:t>
            </w:r>
            <w:r>
              <w:rPr>
                <w:rFonts w:hint="eastAsia" w:ascii="宋体" w:hAnsi="宋体" w:eastAsia="宋体" w:cs="宋体"/>
                <w:color w:val="auto"/>
                <w:sz w:val="24"/>
                <w:szCs w:val="24"/>
              </w:rPr>
              <w:t>（格式自拟）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533" w:type="dxa"/>
            <w:shd w:val="clear" w:color="auto" w:fill="auto"/>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参加政府采购活动前 3 年内在经营活动中没有重大违法记录</w:t>
            </w:r>
          </w:p>
        </w:tc>
        <w:tc>
          <w:tcPr>
            <w:tcW w:w="4912" w:type="dxa"/>
            <w:shd w:val="clear" w:color="auto" w:fill="auto"/>
            <w:vAlign w:val="center"/>
          </w:tcPr>
          <w:p>
            <w:pPr>
              <w:spacing w:before="65" w:line="300" w:lineRule="auto"/>
              <w:ind w:right="76"/>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审查供应商出具的“参加政府采购活动前三年内在经营活动中没有重大违法记录的书面声明”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533" w:type="dxa"/>
            <w:shd w:val="clear" w:color="auto" w:fill="auto"/>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信用记录</w:t>
            </w:r>
          </w:p>
        </w:tc>
        <w:tc>
          <w:tcPr>
            <w:tcW w:w="4912" w:type="dxa"/>
            <w:shd w:val="clear" w:color="auto" w:fill="auto"/>
            <w:vAlign w:val="center"/>
          </w:tcPr>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供应商需提供自本项目公告发布至提交响应文件的截止时间内：</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（1）经“信用中国”网站查询的供应商未被列入“失信被执行人”、“重大税收违法失信主体名单”、“政府采购严重违法失信行为记录名单”的网页截图；</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（2）经“中国政府采购网”网站查询的供应商未被列入“政府采购严重违法失信行为记录名单”的网页截图。</w:t>
            </w:r>
          </w:p>
          <w:p>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注：上述截图信息如供应商提供的不完善，磋商小组可在</w:t>
            </w: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lang w:eastAsia="zh-CN"/>
              </w:rPr>
              <w:t>现场进行查询核实。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533" w:type="dxa"/>
            <w:shd w:val="clear" w:color="auto" w:fill="auto"/>
            <w:vAlign w:val="center"/>
          </w:tcPr>
          <w:p>
            <w:pPr>
              <w:kinsoku/>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eastAsia="zh-CN"/>
              </w:rPr>
              <w:t>落实政府采购政策需满足的资格要求</w:t>
            </w:r>
          </w:p>
        </w:tc>
        <w:tc>
          <w:tcPr>
            <w:tcW w:w="4912" w:type="dxa"/>
            <w:shd w:val="clear" w:color="auto" w:fill="auto"/>
            <w:vAlign w:val="center"/>
          </w:tcPr>
          <w:p>
            <w:pPr>
              <w:spacing w:line="360" w:lineRule="auto"/>
              <w:jc w:val="both"/>
              <w:rPr>
                <w:rFonts w:hint="eastAsia" w:ascii="宋体" w:hAnsi="宋体" w:eastAsia="宋体" w:cs="宋体"/>
                <w:color w:val="auto"/>
                <w:sz w:val="24"/>
                <w:szCs w:val="24"/>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3533" w:type="dxa"/>
            <w:shd w:val="clear" w:color="auto" w:fill="auto"/>
            <w:vAlign w:val="center"/>
          </w:tcPr>
          <w:p>
            <w:pPr>
              <w:spacing w:before="166" w:line="30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特定资格要求</w:t>
            </w:r>
          </w:p>
        </w:tc>
        <w:tc>
          <w:tcPr>
            <w:tcW w:w="4912" w:type="dxa"/>
            <w:shd w:val="clear" w:color="auto" w:fill="auto"/>
            <w:vAlign w:val="center"/>
          </w:tcPr>
          <w:p>
            <w:pPr>
              <w:spacing w:before="166" w:line="302" w:lineRule="auto"/>
              <w:ind w:right="78" w:righ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供应商须提供有效的《检验检测机构资质认定证书》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pPr>
              <w:spacing w:before="166" w:line="30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3533" w:type="dxa"/>
            <w:shd w:val="clear" w:color="auto" w:fill="auto"/>
            <w:vAlign w:val="center"/>
          </w:tcPr>
          <w:p>
            <w:pPr>
              <w:kinsoku/>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联合体响应（若有）</w:t>
            </w:r>
          </w:p>
        </w:tc>
        <w:tc>
          <w:tcPr>
            <w:tcW w:w="4912" w:type="dxa"/>
            <w:shd w:val="clear" w:color="auto" w:fill="auto"/>
            <w:vAlign w:val="center"/>
          </w:tcPr>
          <w:p>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符合关于联合体响应的相关规定。</w:t>
            </w:r>
          </w:p>
        </w:tc>
      </w:tr>
    </w:tbl>
    <w:p>
      <w:pPr>
        <w:kinsoku/>
        <w:spacing w:before="240" w:beforeLines="100" w:line="360" w:lineRule="auto"/>
        <w:ind w:firstLine="481" w:firstLineChars="200"/>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2.符合性审查</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磋商小组依据磋商文件的规定，从响应文件的有效性、完整性和对磋商文件的响应程度进行审查，以确定是否对磋商文件的实质性要求作出响应。</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符合性审查中有任意一项未通过的，评审结果为未通过，未通过符合性审查的供应商按无效响应处理。</w:t>
      </w:r>
    </w:p>
    <w:p>
      <w:pPr>
        <w:kinsoku/>
        <w:spacing w:line="360" w:lineRule="auto"/>
        <w:ind w:firstLine="562" w:firstLineChars="20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符合性审查表</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：赤峰市生态环境局松山区分局2026年度非道路机械设备及路检柴油货车排放达标检测服务项目（二次）</w:t>
      </w:r>
    </w:p>
    <w:tbl>
      <w:tblPr>
        <w:tblStyle w:val="21"/>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3045" w:type="dxa"/>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符合审查要求概况</w:t>
            </w:r>
          </w:p>
        </w:tc>
        <w:tc>
          <w:tcPr>
            <w:tcW w:w="5202" w:type="dxa"/>
            <w:vAlign w:val="center"/>
          </w:tcPr>
          <w:p>
            <w:pPr>
              <w:kinsoku/>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评审点具体描述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045" w:type="dxa"/>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磋商保证金缴纳情况</w:t>
            </w:r>
          </w:p>
        </w:tc>
        <w:tc>
          <w:tcPr>
            <w:tcW w:w="5202" w:type="dxa"/>
            <w:vAlign w:val="center"/>
          </w:tcPr>
          <w:p>
            <w:pPr>
              <w:kinsoku/>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本项不作要求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045" w:type="dxa"/>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p>
        </w:tc>
        <w:tc>
          <w:tcPr>
            <w:tcW w:w="5202" w:type="dxa"/>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投标报价（包括分项报价、总报价）只能有一个有效报价且不超过采购预算或最高限价，投标报价不得缺项漏项。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045" w:type="dxa"/>
            <w:vAlign w:val="center"/>
          </w:tcPr>
          <w:p>
            <w:pPr>
              <w:kinsoku/>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响应文件规范性、符合性</w:t>
            </w:r>
          </w:p>
        </w:tc>
        <w:tc>
          <w:tcPr>
            <w:tcW w:w="5202" w:type="dxa"/>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响应文件的签署、盖章、涂改、删除、插字、公章使用等符合竞争性磋商文件要求；响应文件的格式、文字、目录等符合竞争性磋商文件要求或对投标无实质性影响。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045" w:type="dxa"/>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5202" w:type="dxa"/>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审查供应商出具的“主要商务要求承诺书”。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045" w:type="dxa"/>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5202" w:type="dxa"/>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1.明确所投</w:t>
            </w:r>
            <w:r>
              <w:rPr>
                <w:rFonts w:hint="eastAsia" w:ascii="宋体" w:hAnsi="宋体" w:eastAsia="宋体" w:cs="宋体"/>
                <w:color w:val="auto"/>
                <w:sz w:val="24"/>
                <w:szCs w:val="24"/>
                <w:highlight w:val="none"/>
                <w:lang w:val="en-US" w:eastAsia="zh-CN"/>
              </w:rPr>
              <w:t>标的</w:t>
            </w:r>
            <w:r>
              <w:rPr>
                <w:rFonts w:hint="eastAsia" w:ascii="宋体" w:hAnsi="宋体" w:eastAsia="宋体" w:cs="宋体"/>
                <w:color w:val="auto"/>
                <w:sz w:val="24"/>
                <w:szCs w:val="24"/>
                <w:highlight w:val="none"/>
                <w:lang w:eastAsia="zh-CN"/>
              </w:rPr>
              <w:t>的产品品牌</w:t>
            </w:r>
            <w:r>
              <w:rPr>
                <w:rFonts w:hint="eastAsia" w:ascii="宋体" w:hAnsi="宋体" w:eastAsia="宋体" w:cs="宋体"/>
                <w:color w:val="auto"/>
                <w:sz w:val="24"/>
                <w:szCs w:val="24"/>
                <w:lang w:eastAsia="zh-CN"/>
              </w:rPr>
              <w:t>、规格型号或服务内容或工程量；</w:t>
            </w:r>
          </w:p>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2.响应文件应当对磋商文件提出的要求和条件作出明确响应并满足磋商文件全部实质性要求。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pPr>
              <w:kinsoku/>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045" w:type="dxa"/>
            <w:vAlign w:val="center"/>
          </w:tcPr>
          <w:p>
            <w:pPr>
              <w:kinsoku/>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5202" w:type="dxa"/>
            <w:vAlign w:val="center"/>
          </w:tcPr>
          <w:p>
            <w:pPr>
              <w:kinsoku/>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磋商文件要求的其他无效投标情形；围标、串标和法律法规规定的其它无效投标条款。</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3.磋商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磋商小组所有成员应当集中与单一供应商分别进行磋商，并给予所有参加磋商的供应商平等的磋商机会。</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对磋商文件作出的实质性变动是磋商文件的有效组成部分，磋商小组应当及时通过国资智采电子招投标交易平台通知所有参加磋商的供应商。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insoku/>
        <w:spacing w:line="360" w:lineRule="auto"/>
        <w:ind w:firstLine="481" w:firstLineChars="200"/>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4.最后报价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磋商结束后，磋商小组应当要求所有实质性响应的供应商在规定时间内提交最后报价。最后报价是供应商响应文件的有效组成部分。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已提交响应文件的供应商，在提交最后报价之前，可以根据磋商情况退出磋商。</w:t>
      </w:r>
    </w:p>
    <w:p>
      <w:pPr>
        <w:kinsoku/>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磋商结束后，确认继续响应的供应商应在规定时间内提交最后报价。</w:t>
      </w:r>
    </w:p>
    <w:p>
      <w:pPr>
        <w:kinsoku/>
        <w:spacing w:line="360" w:lineRule="auto"/>
        <w:ind w:firstLine="480" w:firstLineChars="200"/>
        <w:outlineLvl w:val="9"/>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eastAsia="zh-CN"/>
        </w:rPr>
        <w:t>未在最终轮次规定时间内进行响应的，视为不再参与该政府采购活动。</w:t>
      </w:r>
    </w:p>
    <w:p>
      <w:pPr>
        <w:kinsoku/>
        <w:spacing w:line="360" w:lineRule="auto"/>
        <w:ind w:firstLine="481" w:firstLineChars="200"/>
        <w:outlineLvl w:val="2"/>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5.报价评审</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评审中出现下列情形之一的，评审委员会应当启动异常低价投标（响应）审查程序：</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1.投标（响应）报价低于全部通过符合性审查供应商投标（响应）报价平均值50%的，即投标（响应）报价&lt;全部通过符合性审查供应商投标（响应）报价平均值×50%；</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2.投标（响应）报价低于通过符合性审查的次低报价供应商投标（响应）报价50%的，即投标（响应）报价&lt;通过符合性审查的次低报价供应商投标（响应）报价×50%；</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3.投标（响应）报价低于采购项目最高限价45%的，即投标（响应）报价&lt;采购项目最高限价×45%；</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4.评审委员会基于专业判断，认为供应商报价过低，有可能影响产品质量或者不能诚信履约的其他情形。</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采购人可以结合具体项目实际情况，提高上述第1项至第3项中启动异常低价投标（响应）审查的数值标准，但是最高不得超过65%。</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相关法律法规对供应商报价有规定的，从其规定。</w:t>
      </w:r>
    </w:p>
    <w:p>
      <w:pPr>
        <w:kinsoku/>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insoku/>
        <w:spacing w:line="360" w:lineRule="auto"/>
        <w:ind w:firstLine="480" w:firstLineChars="200"/>
        <w:outlineLvl w:val="9"/>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.政府采购政策功能落实</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本项目不涉及</w:t>
      </w:r>
      <w:r>
        <w:rPr>
          <w:rFonts w:hint="eastAsia" w:ascii="宋体" w:hAnsi="宋体" w:eastAsia="宋体" w:cs="宋体"/>
          <w:b/>
          <w:bCs/>
          <w:color w:val="auto"/>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依据《政府采购促进中小企业发展管理办法》等规定，对符合条件的小微企业、监狱企业或残疾人福利性单位给予价格扣除。</w:t>
      </w:r>
    </w:p>
    <w:p>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1" w:firstLineChars="200"/>
        <w:jc w:val="both"/>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综合评分</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由磋商小组采用综合评分法对提交最后报价的供应商的响应文件和最后报价进行综合评分（得分四舍五入保留两位小数）。</w:t>
      </w:r>
    </w:p>
    <w:p>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采购包</w:t>
      </w:r>
      <w:r>
        <w:rPr>
          <w:rFonts w:hint="eastAsia" w:ascii="宋体" w:hAnsi="宋体" w:eastAsia="宋体" w:cs="宋体"/>
          <w:color w:val="auto"/>
          <w:sz w:val="24"/>
          <w:szCs w:val="24"/>
          <w:lang w:val="en-US" w:eastAsia="zh-CN"/>
        </w:rPr>
        <w:t>1：赤峰市生态环境局松山区分局2026年度非道路机械设备及路检柴油货车排放达标检测服务项目（二次）</w:t>
      </w:r>
    </w:p>
    <w:tbl>
      <w:tblPr>
        <w:tblStyle w:val="21"/>
        <w:tblW w:w="5010" w:type="pct"/>
        <w:jc w:val="center"/>
        <w:tblLayout w:type="autofit"/>
        <w:tblCellMar>
          <w:top w:w="0" w:type="dxa"/>
          <w:left w:w="11" w:type="dxa"/>
          <w:bottom w:w="0" w:type="dxa"/>
          <w:right w:w="11" w:type="dxa"/>
        </w:tblCellMar>
      </w:tblPr>
      <w:tblGrid>
        <w:gridCol w:w="1073"/>
        <w:gridCol w:w="2502"/>
        <w:gridCol w:w="6213"/>
      </w:tblGrid>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tblPrEx>
          <w:tblCellMar>
            <w:top w:w="0" w:type="dxa"/>
            <w:left w:w="11" w:type="dxa"/>
            <w:bottom w:w="0" w:type="dxa"/>
            <w:right w:w="11" w:type="dxa"/>
          </w:tblCellMar>
        </w:tblPrEx>
        <w:trPr>
          <w:trHeight w:val="567" w:hRule="atLeast"/>
          <w:jc w:val="center"/>
        </w:trPr>
        <w:tc>
          <w:tcPr>
            <w:tcW w:w="1826" w:type="pct"/>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分值构成</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1.技术部分60.0分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2.商务部分20.0分</w:t>
            </w:r>
          </w:p>
          <w:p>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3.报价部分20.0分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sz w:val="21"/>
                <w:szCs w:val="21"/>
                <w:highlight w:val="none"/>
                <w:lang w:val="en-US" w:eastAsia="zh-CN"/>
              </w:rPr>
            </w:pPr>
            <w:r>
              <w:rPr>
                <w:rFonts w:hint="eastAsia" w:ascii="宋体" w:hAnsi="宋体" w:eastAsia="宋体" w:cs="宋体"/>
                <w:b w:val="0"/>
                <w:bCs w:val="0"/>
                <w:color w:val="auto"/>
                <w:spacing w:val="0"/>
                <w:w w:val="100"/>
                <w:sz w:val="21"/>
                <w:szCs w:val="21"/>
                <w:highlight w:val="none"/>
                <w:lang w:val="en-US" w:eastAsia="zh-CN"/>
              </w:rPr>
              <w:t>技术部分</w:t>
            </w:r>
          </w:p>
          <w:p>
            <w:pPr>
              <w:pStyle w:val="17"/>
              <w:pageBreakBefore w:val="0"/>
              <w:wordWrap w:val="0"/>
              <w:topLinePunct w:val="0"/>
              <w:bidi w:val="0"/>
              <w:jc w:val="center"/>
              <w:rPr>
                <w:rFonts w:hint="eastAsia" w:ascii="宋体" w:hAnsi="宋体" w:eastAsia="宋体" w:cs="宋体"/>
                <w:b w:val="0"/>
                <w:bCs w:val="0"/>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整体服务方案</w:t>
            </w:r>
          </w:p>
          <w:p>
            <w:pPr>
              <w:spacing w:line="400" w:lineRule="exact"/>
              <w:jc w:val="center"/>
              <w:rPr>
                <w:rFonts w:hint="eastAsia" w:ascii="宋体" w:hAnsi="宋体" w:eastAsia="宋体" w:cs="宋体"/>
                <w:b w:val="0"/>
                <w:bCs w:val="0"/>
                <w:strike w:val="0"/>
                <w:dstrike w:val="0"/>
                <w:spacing w:val="0"/>
                <w:w w:val="100"/>
                <w:sz w:val="21"/>
                <w:szCs w:val="21"/>
                <w:highlight w:val="none"/>
                <w:lang w:val="en-US" w:eastAsia="zh-CN"/>
              </w:rPr>
            </w:pPr>
            <w:r>
              <w:rPr>
                <w:rFonts w:hint="eastAsia" w:ascii="宋体" w:hAnsi="宋体" w:eastAsia="宋体" w:cs="宋体"/>
                <w:b w:val="0"/>
                <w:bCs w:val="0"/>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strike w:val="0"/>
                <w:dstrike w:val="0"/>
                <w:spacing w:val="0"/>
                <w:w w:val="100"/>
                <w:sz w:val="21"/>
                <w:szCs w:val="21"/>
                <w:highlight w:val="none"/>
                <w:lang w:val="en-US" w:eastAsia="zh-CN"/>
              </w:rPr>
              <w:t>对供应商提供的整体服务方案进行评审，包括但不限于：</w:t>
            </w:r>
            <w:r>
              <w:rPr>
                <w:rFonts w:hint="eastAsia" w:ascii="宋体" w:hAnsi="宋体" w:eastAsia="宋体" w:cs="宋体"/>
                <w:b w:val="0"/>
                <w:bCs w:val="0"/>
                <w:i w:val="0"/>
                <w:iCs w:val="0"/>
                <w:caps w:val="0"/>
                <w:color w:val="0F1115"/>
                <w:spacing w:val="0"/>
                <w:sz w:val="21"/>
                <w:szCs w:val="21"/>
                <w:shd w:val="clear" w:fill="FFFFFF"/>
              </w:rPr>
              <w:t>检测范围</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检测流程</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数据管理方案</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i w:val="0"/>
                <w:iCs w:val="0"/>
                <w:caps w:val="0"/>
                <w:color w:val="0F1115"/>
                <w:spacing w:val="0"/>
                <w:sz w:val="21"/>
                <w:szCs w:val="21"/>
                <w:shd w:val="clear" w:fill="FFFFFF"/>
              </w:rPr>
              <w:t>1. 方案完全满足采购需求，针对性、可操作性强，流程清晰，得</w:t>
            </w:r>
            <w:r>
              <w:rPr>
                <w:rFonts w:hint="eastAsia" w:ascii="宋体" w:hAnsi="宋体" w:eastAsia="宋体" w:cs="宋体"/>
                <w:b w:val="0"/>
                <w:bCs w:val="0"/>
                <w:i w:val="0"/>
                <w:iCs w:val="0"/>
                <w:caps w:val="0"/>
                <w:color w:val="0F1115"/>
                <w:spacing w:val="0"/>
                <w:sz w:val="21"/>
                <w:szCs w:val="21"/>
                <w:shd w:val="clear" w:fill="FFFFFF"/>
                <w:lang w:val="en-US" w:eastAsia="zh-CN"/>
              </w:rPr>
              <w:t>10</w:t>
            </w:r>
            <w:r>
              <w:rPr>
                <w:rFonts w:hint="eastAsia" w:ascii="宋体" w:hAnsi="宋体" w:eastAsia="宋体" w:cs="宋体"/>
                <w:b w:val="0"/>
                <w:bCs w:val="0"/>
                <w:i w:val="0"/>
                <w:iCs w:val="0"/>
                <w:caps w:val="0"/>
                <w:color w:val="0F1115"/>
                <w:spacing w:val="0"/>
                <w:sz w:val="21"/>
                <w:szCs w:val="21"/>
                <w:shd w:val="clear" w:fill="FFFFFF"/>
              </w:rPr>
              <w:t>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方案较完整，有一定针对性，流程较清晰，得7分；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方案基本完整，但细节或针对性一般，得4分；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方案内容粗略，缺乏针对性或关键环节缺失，得1分；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b w:val="0"/>
                <w:bCs w:val="0"/>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服务的难点及应对措施</w:t>
            </w:r>
          </w:p>
          <w:p>
            <w:pPr>
              <w:spacing w:line="400" w:lineRule="exact"/>
              <w:jc w:val="center"/>
              <w:rPr>
                <w:rFonts w:hint="eastAsia" w:ascii="宋体" w:hAnsi="宋体" w:eastAsia="宋体" w:cs="宋体"/>
                <w:b w:val="0"/>
                <w:bCs w:val="0"/>
                <w:strike w:val="0"/>
                <w:dstrike w:val="0"/>
                <w:spacing w:val="0"/>
                <w:w w:val="100"/>
                <w:sz w:val="21"/>
                <w:szCs w:val="21"/>
                <w:highlight w:val="none"/>
                <w:lang w:val="en-US" w:eastAsia="zh-CN"/>
              </w:rPr>
            </w:pPr>
            <w:r>
              <w:rPr>
                <w:rFonts w:hint="eastAsia" w:ascii="宋体" w:hAnsi="宋体" w:eastAsia="宋体" w:cs="宋体"/>
                <w:b w:val="0"/>
                <w:bCs w:val="0"/>
                <w:strike w:val="0"/>
                <w:dstrike w:val="0"/>
                <w:spacing w:val="0"/>
                <w:w w:val="100"/>
                <w:sz w:val="21"/>
                <w:szCs w:val="21"/>
                <w:highlight w:val="none"/>
                <w:lang w:val="en-US" w:eastAsia="zh-CN"/>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val="0"/>
                <w:bCs w:val="0"/>
                <w:i w:val="0"/>
                <w:iCs w:val="0"/>
                <w:caps w:val="0"/>
                <w:color w:val="0F1115"/>
                <w:spacing w:val="0"/>
                <w:sz w:val="21"/>
                <w:szCs w:val="21"/>
                <w:highlight w:val="none"/>
                <w:shd w:val="clear" w:fill="FFFFFF"/>
                <w:lang w:val="en-US" w:eastAsia="zh-CN"/>
              </w:rPr>
            </w:pPr>
            <w:r>
              <w:rPr>
                <w:rFonts w:hint="eastAsia" w:ascii="宋体" w:hAnsi="宋体" w:eastAsia="宋体" w:cs="宋体"/>
                <w:b w:val="0"/>
                <w:bCs w:val="0"/>
                <w:i w:val="0"/>
                <w:iCs w:val="0"/>
                <w:caps w:val="0"/>
                <w:color w:val="0F1115"/>
                <w:spacing w:val="0"/>
                <w:sz w:val="21"/>
                <w:szCs w:val="21"/>
                <w:highlight w:val="none"/>
                <w:shd w:val="clear" w:fill="FFFFFF"/>
              </w:rPr>
              <w:t>对供应商提供的难点分析及应对措施进行评审，包括但不限于：检测对象不配合、检测环境复杂多变等。</w:t>
            </w:r>
            <w:r>
              <w:rPr>
                <w:rFonts w:hint="eastAsia" w:ascii="宋体" w:hAnsi="宋体" w:eastAsia="宋体" w:cs="宋体"/>
                <w:b w:val="0"/>
                <w:bCs w:val="0"/>
                <w:i w:val="0"/>
                <w:iCs w:val="0"/>
                <w:caps w:val="0"/>
                <w:color w:val="0F1115"/>
                <w:spacing w:val="0"/>
                <w:sz w:val="21"/>
                <w:szCs w:val="21"/>
                <w:highlight w:val="none"/>
                <w:shd w:val="clear" w:fill="FFFFFF"/>
              </w:rPr>
              <w:br w:type="textWrapping"/>
            </w:r>
            <w:r>
              <w:rPr>
                <w:rFonts w:hint="eastAsia" w:ascii="宋体" w:hAnsi="宋体" w:eastAsia="宋体" w:cs="宋体"/>
                <w:b w:val="0"/>
                <w:bCs w:val="0"/>
                <w:i w:val="0"/>
                <w:iCs w:val="0"/>
                <w:caps w:val="0"/>
                <w:color w:val="0F1115"/>
                <w:spacing w:val="0"/>
                <w:sz w:val="21"/>
                <w:szCs w:val="21"/>
                <w:highlight w:val="none"/>
                <w:shd w:val="clear" w:fill="FFFFFF"/>
              </w:rPr>
              <w:t>1. 难点分析全面、准确，应对措施具体、可行、有针对性，得10分；</w:t>
            </w:r>
            <w:r>
              <w:rPr>
                <w:rFonts w:hint="eastAsia" w:ascii="宋体" w:hAnsi="宋体" w:eastAsia="宋体" w:cs="宋体"/>
                <w:b w:val="0"/>
                <w:bCs w:val="0"/>
                <w:i w:val="0"/>
                <w:iCs w:val="0"/>
                <w:caps w:val="0"/>
                <w:color w:val="0F1115"/>
                <w:spacing w:val="0"/>
                <w:sz w:val="21"/>
                <w:szCs w:val="21"/>
                <w:highlight w:val="none"/>
                <w:shd w:val="clear" w:fill="FFFFFF"/>
              </w:rPr>
              <w:br w:type="textWrapping"/>
            </w:r>
            <w:r>
              <w:rPr>
                <w:rFonts w:hint="eastAsia" w:ascii="宋体" w:hAnsi="宋体" w:eastAsia="宋体" w:cs="宋体"/>
                <w:b w:val="0"/>
                <w:bCs w:val="0"/>
                <w:i w:val="0"/>
                <w:iCs w:val="0"/>
                <w:caps w:val="0"/>
                <w:color w:val="0F1115"/>
                <w:spacing w:val="0"/>
                <w:sz w:val="21"/>
                <w:szCs w:val="21"/>
                <w:highlight w:val="none"/>
                <w:shd w:val="clear" w:fill="FFFFFF"/>
              </w:rPr>
              <w:t>2. 难点分析较全面，应对措施基本可行，得7分；</w:t>
            </w:r>
            <w:r>
              <w:rPr>
                <w:rFonts w:hint="eastAsia" w:ascii="宋体" w:hAnsi="宋体" w:eastAsia="宋体" w:cs="宋体"/>
                <w:b w:val="0"/>
                <w:bCs w:val="0"/>
                <w:i w:val="0"/>
                <w:iCs w:val="0"/>
                <w:caps w:val="0"/>
                <w:color w:val="0F1115"/>
                <w:spacing w:val="0"/>
                <w:sz w:val="21"/>
                <w:szCs w:val="21"/>
                <w:highlight w:val="none"/>
                <w:shd w:val="clear" w:fill="FFFFFF"/>
              </w:rPr>
              <w:br w:type="textWrapping"/>
            </w:r>
            <w:r>
              <w:rPr>
                <w:rFonts w:hint="eastAsia" w:ascii="宋体" w:hAnsi="宋体" w:eastAsia="宋体" w:cs="宋体"/>
                <w:b w:val="0"/>
                <w:bCs w:val="0"/>
                <w:i w:val="0"/>
                <w:iCs w:val="0"/>
                <w:caps w:val="0"/>
                <w:color w:val="0F1115"/>
                <w:spacing w:val="0"/>
                <w:sz w:val="21"/>
                <w:szCs w:val="21"/>
                <w:highlight w:val="none"/>
                <w:shd w:val="clear" w:fill="FFFFFF"/>
              </w:rPr>
              <w:t>3. 难点分析一般，应对措施较笼统，得4分；</w:t>
            </w:r>
            <w:r>
              <w:rPr>
                <w:rFonts w:hint="eastAsia" w:ascii="宋体" w:hAnsi="宋体" w:eastAsia="宋体" w:cs="宋体"/>
                <w:b w:val="0"/>
                <w:bCs w:val="0"/>
                <w:i w:val="0"/>
                <w:iCs w:val="0"/>
                <w:caps w:val="0"/>
                <w:color w:val="0F1115"/>
                <w:spacing w:val="0"/>
                <w:sz w:val="21"/>
                <w:szCs w:val="21"/>
                <w:highlight w:val="none"/>
                <w:shd w:val="clear" w:fill="FFFFFF"/>
              </w:rPr>
              <w:br w:type="textWrapping"/>
            </w:r>
            <w:r>
              <w:rPr>
                <w:rFonts w:hint="eastAsia" w:ascii="宋体" w:hAnsi="宋体" w:eastAsia="宋体" w:cs="宋体"/>
                <w:b w:val="0"/>
                <w:bCs w:val="0"/>
                <w:i w:val="0"/>
                <w:iCs w:val="0"/>
                <w:caps w:val="0"/>
                <w:color w:val="0F1115"/>
                <w:spacing w:val="0"/>
                <w:sz w:val="21"/>
                <w:szCs w:val="21"/>
                <w:highlight w:val="none"/>
                <w:shd w:val="clear" w:fill="FFFFFF"/>
              </w:rPr>
              <w:t>4. 难点分析缺失或应对措施缺乏可行性，得1分；</w:t>
            </w:r>
            <w:r>
              <w:rPr>
                <w:rFonts w:hint="eastAsia" w:ascii="宋体" w:hAnsi="宋体" w:eastAsia="宋体" w:cs="宋体"/>
                <w:b w:val="0"/>
                <w:bCs w:val="0"/>
                <w:i w:val="0"/>
                <w:iCs w:val="0"/>
                <w:caps w:val="0"/>
                <w:color w:val="0F1115"/>
                <w:spacing w:val="0"/>
                <w:sz w:val="21"/>
                <w:szCs w:val="21"/>
                <w:highlight w:val="none"/>
                <w:shd w:val="clear" w:fill="FFFFFF"/>
              </w:rPr>
              <w:br w:type="textWrapping"/>
            </w:r>
            <w:r>
              <w:rPr>
                <w:rFonts w:hint="eastAsia" w:ascii="宋体" w:hAnsi="宋体" w:eastAsia="宋体" w:cs="宋体"/>
                <w:b w:val="0"/>
                <w:bCs w:val="0"/>
                <w:i w:val="0"/>
                <w:iCs w:val="0"/>
                <w:caps w:val="0"/>
                <w:color w:val="0F1115"/>
                <w:spacing w:val="0"/>
                <w:sz w:val="21"/>
                <w:szCs w:val="21"/>
                <w:highlight w:val="none"/>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17"/>
              <w:pageBreakBefore w:val="0"/>
              <w:wordWrap w:val="0"/>
              <w:topLinePunct w:val="0"/>
              <w:bidi w:val="0"/>
              <w:jc w:val="center"/>
              <w:rPr>
                <w:rFonts w:hint="eastAsia" w:ascii="宋体" w:hAnsi="宋体" w:eastAsia="宋体" w:cs="宋体"/>
                <w:b w:val="0"/>
                <w:bCs w:val="0"/>
                <w:spacing w:val="0"/>
                <w:w w:val="100"/>
                <w:sz w:val="21"/>
                <w:szCs w:val="21"/>
                <w:highlight w:val="none"/>
                <w:lang w:val="en-US" w:eastAsia="zh-CN"/>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val="0"/>
                <w:bCs w:val="0"/>
                <w:strike w:val="0"/>
                <w:dstrike w:val="0"/>
                <w:spacing w:val="0"/>
                <w:w w:val="100"/>
                <w:sz w:val="21"/>
                <w:szCs w:val="21"/>
                <w:highlight w:val="none"/>
                <w:lang w:val="en-US" w:eastAsia="zh-CN"/>
              </w:rPr>
            </w:pPr>
            <w:r>
              <w:rPr>
                <w:rFonts w:hint="eastAsia" w:ascii="宋体" w:hAnsi="宋体" w:eastAsia="宋体" w:cs="宋体"/>
                <w:b w:val="0"/>
                <w:bCs w:val="0"/>
                <w:strike w:val="0"/>
                <w:dstrike w:val="0"/>
                <w:spacing w:val="0"/>
                <w:w w:val="100"/>
                <w:sz w:val="21"/>
                <w:szCs w:val="21"/>
                <w:highlight w:val="none"/>
                <w:lang w:val="en-US" w:eastAsia="zh-CN"/>
              </w:rPr>
              <w:t>3.服务过程中人员及设备的配置(10.0分)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strike w:val="0"/>
                <w:dstrike w:val="0"/>
                <w:spacing w:val="0"/>
                <w:w w:val="100"/>
                <w:sz w:val="21"/>
                <w:szCs w:val="21"/>
                <w:highlight w:val="none"/>
                <w:lang w:val="en-US" w:eastAsia="zh-CN"/>
              </w:rPr>
              <w:t>对供应商提供的人员及设备配置方案进行评审，包括但不限于：</w:t>
            </w:r>
            <w:r>
              <w:rPr>
                <w:rFonts w:hint="eastAsia" w:ascii="宋体" w:hAnsi="宋体" w:eastAsia="宋体" w:cs="宋体"/>
                <w:b w:val="0"/>
                <w:bCs w:val="0"/>
                <w:i w:val="0"/>
                <w:iCs w:val="0"/>
                <w:caps w:val="0"/>
                <w:color w:val="0F1115"/>
                <w:spacing w:val="0"/>
                <w:sz w:val="21"/>
                <w:szCs w:val="21"/>
                <w:shd w:val="clear" w:fill="FFFFFF"/>
              </w:rPr>
              <w:t>人员配置</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设备配置</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检测车辆配置</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i w:val="0"/>
                <w:iCs w:val="0"/>
                <w:caps w:val="0"/>
                <w:color w:val="0F1115"/>
                <w:spacing w:val="0"/>
                <w:sz w:val="21"/>
                <w:szCs w:val="21"/>
                <w:shd w:val="clear" w:fill="FFFFFF"/>
              </w:rPr>
              <w:t>1. 人员配备充足、分工明确；检测设备配备充足满足国家标准，得</w:t>
            </w:r>
            <w:r>
              <w:rPr>
                <w:rFonts w:hint="eastAsia" w:ascii="宋体" w:hAnsi="宋体" w:eastAsia="宋体" w:cs="宋体"/>
                <w:b w:val="0"/>
                <w:bCs w:val="0"/>
                <w:i w:val="0"/>
                <w:iCs w:val="0"/>
                <w:caps w:val="0"/>
                <w:color w:val="0F1115"/>
                <w:spacing w:val="0"/>
                <w:sz w:val="21"/>
                <w:szCs w:val="21"/>
                <w:shd w:val="clear" w:fill="FFFFFF"/>
                <w:lang w:val="en-US" w:eastAsia="zh-CN"/>
              </w:rPr>
              <w:t>10</w:t>
            </w:r>
            <w:r>
              <w:rPr>
                <w:rFonts w:hint="eastAsia" w:ascii="宋体" w:hAnsi="宋体" w:eastAsia="宋体" w:cs="宋体"/>
                <w:b w:val="0"/>
                <w:bCs w:val="0"/>
                <w:i w:val="0"/>
                <w:iCs w:val="0"/>
                <w:caps w:val="0"/>
                <w:color w:val="0F1115"/>
                <w:spacing w:val="0"/>
                <w:sz w:val="21"/>
                <w:szCs w:val="21"/>
                <w:shd w:val="clear" w:fill="FFFFFF"/>
              </w:rPr>
              <w:t>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人员及设备配置较合理，基本满足要求，但有少量不足，得7分；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配置基本符合要求，但人员或设备存在明显缺项，得4分；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配置方案简单，人员或设备严重不足，得1分；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strike w:val="0"/>
                <w:dstrike w:val="0"/>
                <w:spacing w:val="0"/>
                <w:w w:val="100"/>
                <w:sz w:val="21"/>
                <w:szCs w:val="21"/>
                <w:highlight w:val="none"/>
                <w:lang w:val="zh-CN" w:eastAsia="zh-CN"/>
              </w:rPr>
            </w:pPr>
            <w:r>
              <w:rPr>
                <w:rFonts w:hint="eastAsia" w:ascii="宋体" w:hAnsi="宋体" w:eastAsia="宋体" w:cs="宋体"/>
                <w:b w:val="0"/>
                <w:bCs w:val="0"/>
                <w:strike w:val="0"/>
                <w:dstrike w:val="0"/>
                <w:spacing w:val="0"/>
                <w:w w:val="100"/>
                <w:sz w:val="21"/>
                <w:szCs w:val="21"/>
                <w:highlight w:val="none"/>
                <w:lang w:val="en-US" w:eastAsia="zh-CN"/>
              </w:rPr>
              <w:t>4.</w:t>
            </w:r>
            <w:r>
              <w:rPr>
                <w:rFonts w:hint="eastAsia" w:ascii="宋体" w:hAnsi="宋体" w:eastAsia="宋体" w:cs="宋体"/>
                <w:b w:val="0"/>
                <w:bCs w:val="0"/>
                <w:strike w:val="0"/>
                <w:dstrike w:val="0"/>
                <w:spacing w:val="0"/>
                <w:w w:val="100"/>
                <w:sz w:val="21"/>
                <w:szCs w:val="21"/>
                <w:highlight w:val="none"/>
                <w:lang w:val="zh-CN" w:eastAsia="zh-CN"/>
              </w:rPr>
              <w:t>服务进度的规划及保证措施(</w:t>
            </w:r>
            <w:r>
              <w:rPr>
                <w:rFonts w:hint="eastAsia" w:ascii="宋体" w:hAnsi="宋体" w:eastAsia="宋体" w:cs="宋体"/>
                <w:b w:val="0"/>
                <w:bCs w:val="0"/>
                <w:strike w:val="0"/>
                <w:dstrike w:val="0"/>
                <w:spacing w:val="0"/>
                <w:w w:val="100"/>
                <w:sz w:val="21"/>
                <w:szCs w:val="21"/>
                <w:highlight w:val="none"/>
                <w:lang w:val="en-US" w:eastAsia="zh-CN"/>
              </w:rPr>
              <w:t>10</w:t>
            </w:r>
            <w:r>
              <w:rPr>
                <w:rFonts w:hint="eastAsia" w:ascii="宋体" w:hAnsi="宋体" w:eastAsia="宋体" w:cs="宋体"/>
                <w:b w:val="0"/>
                <w:bCs w:val="0"/>
                <w:strike w:val="0"/>
                <w:dstrike w:val="0"/>
                <w:spacing w:val="0"/>
                <w:w w:val="100"/>
                <w:sz w:val="21"/>
                <w:szCs w:val="21"/>
                <w:highlight w:val="none"/>
                <w:lang w:val="zh-CN" w:eastAsia="zh-CN"/>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strike w:val="0"/>
                <w:dstrike w:val="0"/>
                <w:spacing w:val="0"/>
                <w:w w:val="100"/>
                <w:sz w:val="21"/>
                <w:szCs w:val="21"/>
                <w:highlight w:val="none"/>
                <w:lang w:val="zh-CN" w:eastAsia="zh-CN"/>
              </w:rPr>
              <w:t>对供应商提供的进度规划及保证措施进行评审，包括但不限于：</w:t>
            </w:r>
            <w:r>
              <w:rPr>
                <w:rFonts w:hint="eastAsia" w:ascii="宋体" w:hAnsi="宋体" w:eastAsia="宋体" w:cs="宋体"/>
                <w:b w:val="0"/>
                <w:bCs w:val="0"/>
                <w:i w:val="0"/>
                <w:iCs w:val="0"/>
                <w:caps w:val="0"/>
                <w:color w:val="0F1115"/>
                <w:spacing w:val="0"/>
                <w:sz w:val="21"/>
                <w:szCs w:val="21"/>
                <w:shd w:val="clear" w:fill="FFFFFF"/>
              </w:rPr>
              <w:t>进度计划</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进度管控机制</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i w:val="0"/>
                <w:iCs w:val="0"/>
                <w:caps w:val="0"/>
                <w:color w:val="0F1115"/>
                <w:spacing w:val="0"/>
                <w:sz w:val="21"/>
                <w:szCs w:val="21"/>
                <w:shd w:val="clear" w:fill="FFFFFF"/>
              </w:rPr>
              <w:t>1. 进度计划详细、节点明确，资源保障充足，管控机制完善，得10分；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进度计划较合理，保障措施基本到位，得7分；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进度计划较笼统，保障措施一般，得4分；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进度计划粗略，缺乏具体保障措施，得1分；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sz w:val="21"/>
                <w:szCs w:val="21"/>
                <w:highlight w:val="none"/>
              </w:rPr>
            </w:pPr>
          </w:p>
        </w:tc>
        <w:tc>
          <w:tcPr>
            <w:tcW w:w="1277" w:type="pc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strike w:val="0"/>
                <w:dstrike w:val="0"/>
                <w:spacing w:val="0"/>
                <w:w w:val="100"/>
                <w:sz w:val="21"/>
                <w:szCs w:val="21"/>
                <w:highlight w:val="none"/>
                <w:lang w:val="en-US" w:eastAsia="zh-CN"/>
              </w:rPr>
            </w:pPr>
            <w:r>
              <w:rPr>
                <w:rFonts w:hint="eastAsia" w:ascii="宋体" w:hAnsi="宋体" w:eastAsia="宋体" w:cs="宋体"/>
                <w:b w:val="0"/>
                <w:bCs w:val="0"/>
                <w:strike w:val="0"/>
                <w:dstrike w:val="0"/>
                <w:spacing w:val="0"/>
                <w:w w:val="100"/>
                <w:sz w:val="21"/>
                <w:szCs w:val="21"/>
                <w:highlight w:val="none"/>
                <w:lang w:val="en-US" w:eastAsia="zh-CN"/>
              </w:rPr>
              <w:t>5.质量管理体系及保证措施(10.0分)</w:t>
            </w:r>
          </w:p>
        </w:tc>
        <w:tc>
          <w:tcPr>
            <w:tcW w:w="3173" w:type="pct"/>
            <w:tcBorders>
              <w:top w:val="single" w:color="auto" w:sz="4" w:space="0"/>
              <w:left w:val="single" w:color="auto" w:sz="4" w:space="0"/>
              <w:right w:val="single" w:color="auto" w:sz="4" w:space="0"/>
            </w:tcBorders>
            <w:noWrap w:val="0"/>
            <w:vAlign w:val="center"/>
          </w:tcPr>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strike w:val="0"/>
                <w:dstrike w:val="0"/>
                <w:spacing w:val="0"/>
                <w:w w:val="100"/>
                <w:sz w:val="21"/>
                <w:szCs w:val="21"/>
                <w:highlight w:val="none"/>
                <w:lang w:val="en-US" w:eastAsia="zh-CN"/>
              </w:rPr>
              <w:t>对供应商提供的质量管理体系及保证措施进行评审，包括但不限于：</w:t>
            </w:r>
            <w:r>
              <w:rPr>
                <w:rFonts w:hint="eastAsia" w:ascii="宋体" w:hAnsi="宋体" w:eastAsia="宋体" w:cs="宋体"/>
                <w:b w:val="0"/>
                <w:bCs w:val="0"/>
                <w:i w:val="0"/>
                <w:iCs w:val="0"/>
                <w:caps w:val="0"/>
                <w:color w:val="0F1115"/>
                <w:spacing w:val="0"/>
                <w:sz w:val="21"/>
                <w:szCs w:val="21"/>
                <w:shd w:val="clear" w:fill="FFFFFF"/>
              </w:rPr>
              <w:t>过程控制</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质量改进机制</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i w:val="0"/>
                <w:iCs w:val="0"/>
                <w:caps w:val="0"/>
                <w:color w:val="0F1115"/>
                <w:spacing w:val="0"/>
                <w:sz w:val="21"/>
                <w:szCs w:val="21"/>
                <w:shd w:val="clear" w:fill="FFFFFF"/>
              </w:rPr>
              <w:t>1. 质控体系完善，过程控制严格，有持续改进机制，得10分；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质控体系较完整，主要环节有控制措施，得7分；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质控体系基本具备，但细节或执行性一般，得4分；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质控体系缺失或形同虚设，得1分；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sz w:val="21"/>
                <w:szCs w:val="21"/>
                <w:highlight w:val="none"/>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val="0"/>
                <w:bCs w:val="0"/>
                <w:strike w:val="0"/>
                <w:dstrike w:val="0"/>
                <w:spacing w:val="0"/>
                <w:w w:val="100"/>
                <w:sz w:val="21"/>
                <w:szCs w:val="21"/>
                <w:highlight w:val="none"/>
                <w:lang w:val="en-US" w:eastAsia="zh-CN"/>
              </w:rPr>
            </w:pPr>
            <w:r>
              <w:rPr>
                <w:rFonts w:hint="eastAsia" w:ascii="宋体" w:hAnsi="宋体" w:eastAsia="宋体" w:cs="宋体"/>
                <w:b w:val="0"/>
                <w:bCs w:val="0"/>
                <w:strike w:val="0"/>
                <w:dstrike w:val="0"/>
                <w:spacing w:val="0"/>
                <w:w w:val="100"/>
                <w:sz w:val="21"/>
                <w:szCs w:val="21"/>
                <w:highlight w:val="none"/>
                <w:lang w:val="en-US" w:eastAsia="zh-CN"/>
              </w:rPr>
              <w:t>6.应急方案(10.0分)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strike w:val="0"/>
                <w:dstrike w:val="0"/>
                <w:spacing w:val="0"/>
                <w:w w:val="100"/>
                <w:sz w:val="21"/>
                <w:szCs w:val="21"/>
                <w:highlight w:val="none"/>
                <w:lang w:val="en-US" w:eastAsia="zh-CN"/>
              </w:rPr>
              <w:t>对供应商提供的应急方案进行评审，包括但不限于：</w:t>
            </w:r>
            <w:r>
              <w:rPr>
                <w:rFonts w:hint="eastAsia" w:ascii="宋体" w:hAnsi="宋体" w:eastAsia="宋体" w:cs="宋体"/>
                <w:b w:val="0"/>
                <w:bCs w:val="0"/>
                <w:i w:val="0"/>
                <w:iCs w:val="0"/>
                <w:caps w:val="0"/>
                <w:color w:val="0F1115"/>
                <w:spacing w:val="0"/>
                <w:sz w:val="21"/>
                <w:szCs w:val="21"/>
                <w:shd w:val="clear" w:fill="FFFFFF"/>
              </w:rPr>
              <w:t>常见事件处置</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争议处理机制</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应急保障</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widowControl/>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i w:val="0"/>
                <w:iCs w:val="0"/>
                <w:caps w:val="0"/>
                <w:color w:val="0F1115"/>
                <w:spacing w:val="0"/>
                <w:sz w:val="21"/>
                <w:szCs w:val="21"/>
                <w:shd w:val="clear" w:fill="FFFFFF"/>
              </w:rPr>
              <w:t>1. 常见事件覆盖全面，处置流程清晰，争议处理机制完善，应急保障到位，得10分；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覆盖主要事件，处置流程基本清晰，有基本保障，得7分；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覆盖部分事件，处置方案较笼统，得4分；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应急方案严重缺失或缺乏可操作性，得1分；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商务</w:t>
            </w:r>
          </w:p>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部分</w:t>
            </w: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1.类似</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项目业绩</w:t>
            </w:r>
          </w:p>
          <w:p>
            <w:pPr>
              <w:spacing w:line="400" w:lineRule="exact"/>
              <w:jc w:val="cente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w:t>
            </w: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10</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近三年（以合同签订日期为准）供应商每提供1份有效的</w:t>
            </w: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项目业绩合同，得</w:t>
            </w: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5</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分。本项最高得</w:t>
            </w: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10</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分。</w:t>
            </w:r>
          </w:p>
          <w:p>
            <w:pPr>
              <w:spacing w:line="400" w:lineRule="exact"/>
              <w:jc w:val="both"/>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注：需提供</w:t>
            </w: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项目业绩合同扫描件。若合同中未能体现合同签订时间等评审因素的，须同时提供合同甲方加盖公章证明材料扫描件，否则不得分。</w:t>
            </w:r>
          </w:p>
        </w:tc>
      </w:tr>
      <w:tr>
        <w:tblPrEx>
          <w:tblCellMar>
            <w:top w:w="0" w:type="dxa"/>
            <w:left w:w="11" w:type="dxa"/>
            <w:bottom w:w="0" w:type="dxa"/>
            <w:right w:w="11" w:type="dxa"/>
          </w:tblCellMar>
        </w:tblPrEx>
        <w:trPr>
          <w:trHeight w:val="567" w:hRule="atLeast"/>
          <w:jc w:val="center"/>
        </w:trPr>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val="0"/>
                <w:bCs w:val="0"/>
                <w:spacing w:val="0"/>
                <w:w w:val="10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售后服务方案</w:t>
            </w:r>
          </w:p>
          <w:p>
            <w:pPr>
              <w:spacing w:line="400" w:lineRule="exact"/>
              <w:jc w:val="cente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pPr>
            <w:r>
              <w:rPr>
                <w:rFonts w:hint="eastAsia" w:ascii="宋体" w:hAnsi="宋体" w:eastAsia="宋体" w:cs="宋体"/>
                <w:b w:val="0"/>
                <w:bCs w:val="0"/>
                <w:color w:val="auto"/>
                <w:spacing w:val="0"/>
                <w:w w:val="100"/>
                <w:kern w:val="2"/>
                <w:sz w:val="21"/>
                <w:szCs w:val="21"/>
                <w:highlight w:val="none"/>
                <w:u w:val="none"/>
                <w:shd w:val="clear" w:color="auto" w:fill="auto"/>
                <w:lang w:val="en-US" w:eastAsia="zh-CN" w:bidi="ar-SA"/>
              </w:rPr>
              <w:t>(10.0分)</w:t>
            </w:r>
          </w:p>
        </w:tc>
        <w:tc>
          <w:tcPr>
            <w:tcW w:w="3173"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val="0"/>
                <w:bCs w:val="0"/>
                <w:i w:val="0"/>
                <w:iCs w:val="0"/>
                <w:caps w:val="0"/>
                <w:color w:val="0F1115"/>
                <w:spacing w:val="0"/>
                <w:sz w:val="21"/>
                <w:szCs w:val="21"/>
                <w:shd w:val="clear" w:fill="FFFFFF"/>
                <w:lang w:val="en-US" w:eastAsia="zh-CN"/>
              </w:rPr>
            </w:pPr>
            <w:r>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t>对供应商提供的售后服务方案进行评审，包括但不限于：</w:t>
            </w:r>
            <w:r>
              <w:rPr>
                <w:rFonts w:hint="eastAsia" w:ascii="宋体" w:hAnsi="宋体" w:eastAsia="宋体" w:cs="宋体"/>
                <w:b w:val="0"/>
                <w:bCs w:val="0"/>
                <w:i w:val="0"/>
                <w:iCs w:val="0"/>
                <w:caps w:val="0"/>
                <w:color w:val="0F1115"/>
                <w:spacing w:val="0"/>
                <w:sz w:val="21"/>
                <w:szCs w:val="21"/>
                <w:shd w:val="clear" w:fill="FFFFFF"/>
              </w:rPr>
              <w:t>异议与复测</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技术支持与响应</w:t>
            </w:r>
            <w:r>
              <w:rPr>
                <w:rFonts w:hint="eastAsia" w:ascii="宋体" w:hAnsi="宋体" w:eastAsia="宋体" w:cs="宋体"/>
                <w:b w:val="0"/>
                <w:bCs w:val="0"/>
                <w:i w:val="0"/>
                <w:iCs w:val="0"/>
                <w:caps w:val="0"/>
                <w:color w:val="0F1115"/>
                <w:spacing w:val="0"/>
                <w:sz w:val="21"/>
                <w:szCs w:val="21"/>
                <w:shd w:val="clear" w:fill="FFFFFF"/>
                <w:lang w:eastAsia="zh-CN"/>
              </w:rPr>
              <w:t>、</w:t>
            </w:r>
            <w:r>
              <w:rPr>
                <w:rFonts w:hint="eastAsia" w:ascii="宋体" w:hAnsi="宋体" w:eastAsia="宋体" w:cs="宋体"/>
                <w:b w:val="0"/>
                <w:bCs w:val="0"/>
                <w:i w:val="0"/>
                <w:iCs w:val="0"/>
                <w:caps w:val="0"/>
                <w:color w:val="0F1115"/>
                <w:spacing w:val="0"/>
                <w:sz w:val="21"/>
                <w:szCs w:val="21"/>
                <w:shd w:val="clear" w:fill="FFFFFF"/>
              </w:rPr>
              <w:t>服务承诺</w:t>
            </w:r>
            <w:r>
              <w:rPr>
                <w:rFonts w:hint="eastAsia" w:ascii="宋体" w:hAnsi="宋体" w:eastAsia="宋体" w:cs="宋体"/>
                <w:b w:val="0"/>
                <w:bCs w:val="0"/>
                <w:i w:val="0"/>
                <w:iCs w:val="0"/>
                <w:caps w:val="0"/>
                <w:color w:val="0F1115"/>
                <w:spacing w:val="0"/>
                <w:sz w:val="21"/>
                <w:szCs w:val="21"/>
                <w:shd w:val="clear" w:fill="FFFFFF"/>
                <w:lang w:val="en-US" w:eastAsia="zh-CN"/>
              </w:rPr>
              <w:t>等。</w:t>
            </w:r>
          </w:p>
          <w:p>
            <w:pPr>
              <w:spacing w:line="400" w:lineRule="exact"/>
              <w:rPr>
                <w:rFonts w:hint="eastAsia" w:ascii="宋体" w:hAnsi="宋体" w:eastAsia="宋体" w:cs="宋体"/>
                <w:b w:val="0"/>
                <w:bCs w:val="0"/>
                <w:color w:val="auto"/>
                <w:spacing w:val="0"/>
                <w:w w:val="100"/>
                <w:kern w:val="2"/>
                <w:sz w:val="21"/>
                <w:szCs w:val="21"/>
                <w:highlight w:val="none"/>
                <w:u w:val="none"/>
                <w:shd w:val="clear" w:color="auto" w:fill="auto"/>
                <w:lang w:val="zh-CN" w:eastAsia="zh-CN" w:bidi="ar-SA"/>
              </w:rPr>
            </w:pPr>
            <w:r>
              <w:rPr>
                <w:rFonts w:hint="eastAsia" w:ascii="宋体" w:hAnsi="宋体" w:eastAsia="宋体" w:cs="宋体"/>
                <w:b w:val="0"/>
                <w:bCs w:val="0"/>
                <w:i w:val="0"/>
                <w:iCs w:val="0"/>
                <w:caps w:val="0"/>
                <w:color w:val="0F1115"/>
                <w:spacing w:val="0"/>
                <w:sz w:val="21"/>
                <w:szCs w:val="21"/>
                <w:shd w:val="clear" w:fill="FFFFFF"/>
              </w:rPr>
              <w:t>1. 异议复测机制完善，技术支持响应及时，服务承诺完整闭环，得</w:t>
            </w:r>
            <w:r>
              <w:rPr>
                <w:rFonts w:hint="eastAsia" w:ascii="宋体" w:hAnsi="宋体" w:eastAsia="宋体" w:cs="宋体"/>
                <w:b w:val="0"/>
                <w:bCs w:val="0"/>
                <w:i w:val="0"/>
                <w:iCs w:val="0"/>
                <w:caps w:val="0"/>
                <w:color w:val="0F1115"/>
                <w:spacing w:val="0"/>
                <w:sz w:val="21"/>
                <w:szCs w:val="21"/>
                <w:shd w:val="clear" w:fill="FFFFFF"/>
                <w:lang w:val="en-US" w:eastAsia="zh-CN"/>
              </w:rPr>
              <w:t>10</w:t>
            </w:r>
            <w:r>
              <w:rPr>
                <w:rFonts w:hint="eastAsia" w:ascii="宋体" w:hAnsi="宋体" w:eastAsia="宋体" w:cs="宋体"/>
                <w:b w:val="0"/>
                <w:bCs w:val="0"/>
                <w:i w:val="0"/>
                <w:iCs w:val="0"/>
                <w:caps w:val="0"/>
                <w:color w:val="0F1115"/>
                <w:spacing w:val="0"/>
                <w:sz w:val="21"/>
                <w:szCs w:val="21"/>
                <w:shd w:val="clear" w:fill="FFFFFF"/>
              </w:rPr>
              <w:t>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2. 有基本异议处理和响应机制，服务承诺较完整，得</w:t>
            </w:r>
            <w:r>
              <w:rPr>
                <w:rFonts w:hint="eastAsia" w:ascii="宋体" w:hAnsi="宋体" w:eastAsia="宋体" w:cs="宋体"/>
                <w:b w:val="0"/>
                <w:bCs w:val="0"/>
                <w:i w:val="0"/>
                <w:iCs w:val="0"/>
                <w:caps w:val="0"/>
                <w:color w:val="0F1115"/>
                <w:spacing w:val="0"/>
                <w:sz w:val="21"/>
                <w:szCs w:val="21"/>
                <w:shd w:val="clear" w:fill="FFFFFF"/>
                <w:lang w:val="en-US" w:eastAsia="zh-CN"/>
              </w:rPr>
              <w:t>7</w:t>
            </w:r>
            <w:r>
              <w:rPr>
                <w:rFonts w:hint="eastAsia" w:ascii="宋体" w:hAnsi="宋体" w:eastAsia="宋体" w:cs="宋体"/>
                <w:b w:val="0"/>
                <w:bCs w:val="0"/>
                <w:i w:val="0"/>
                <w:iCs w:val="0"/>
                <w:caps w:val="0"/>
                <w:color w:val="0F1115"/>
                <w:spacing w:val="0"/>
                <w:sz w:val="21"/>
                <w:szCs w:val="21"/>
                <w:shd w:val="clear" w:fill="FFFFFF"/>
              </w:rPr>
              <w:t>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3. 售后服务内容简单，缺乏具体承诺，得4分；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4. 售后服务流于形式，基本无实质内容，得1分；</w:t>
            </w:r>
            <w:r>
              <w:rPr>
                <w:rFonts w:hint="eastAsia" w:ascii="宋体" w:hAnsi="宋体" w:eastAsia="宋体" w:cs="宋体"/>
                <w:b w:val="0"/>
                <w:bCs w:val="0"/>
                <w:i w:val="0"/>
                <w:iCs w:val="0"/>
                <w:caps w:val="0"/>
                <w:color w:val="0F1115"/>
                <w:spacing w:val="0"/>
                <w:sz w:val="21"/>
                <w:szCs w:val="21"/>
                <w:shd w:val="clear" w:fill="FFFFFF"/>
              </w:rPr>
              <w:br w:type="textWrapping"/>
            </w:r>
            <w:r>
              <w:rPr>
                <w:rFonts w:hint="eastAsia" w:ascii="宋体" w:hAnsi="宋体" w:eastAsia="宋体" w:cs="宋体"/>
                <w:b w:val="0"/>
                <w:bCs w:val="0"/>
                <w:i w:val="0"/>
                <w:iCs w:val="0"/>
                <w:caps w:val="0"/>
                <w:color w:val="0F1115"/>
                <w:spacing w:val="0"/>
                <w:sz w:val="21"/>
                <w:szCs w:val="21"/>
                <w:shd w:val="clear" w:fill="FFFFFF"/>
              </w:rPr>
              <w:t>5. 未提供任何相关方案，不得分。</w:t>
            </w:r>
          </w:p>
        </w:tc>
      </w:tr>
      <w:tr>
        <w:tblPrEx>
          <w:tblCellMar>
            <w:top w:w="0" w:type="dxa"/>
            <w:left w:w="11" w:type="dxa"/>
            <w:bottom w:w="0" w:type="dxa"/>
            <w:right w:w="11" w:type="dxa"/>
          </w:tblCellMar>
        </w:tblPrEx>
        <w:trPr>
          <w:trHeight w:val="567" w:hRule="atLeast"/>
          <w:jc w:val="center"/>
        </w:trPr>
        <w:tc>
          <w:tcPr>
            <w:tcW w:w="548" w:type="pct"/>
            <w:tcBorders>
              <w:top w:val="single" w:color="auto" w:sz="4" w:space="0"/>
              <w:left w:val="single" w:color="auto" w:sz="4" w:space="0"/>
              <w:bottom w:val="single" w:color="auto" w:sz="4" w:space="0"/>
              <w:right w:val="single" w:color="auto" w:sz="4" w:space="0"/>
            </w:tcBorders>
            <w:noWrap w:val="0"/>
            <w:vAlign w:val="center"/>
          </w:tcPr>
          <w:p>
            <w:pPr>
              <w:pStyle w:val="43"/>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b w:val="0"/>
                <w:bCs w:val="0"/>
                <w:color w:val="auto"/>
                <w:spacing w:val="0"/>
                <w:w w:val="100"/>
                <w:sz w:val="21"/>
                <w:szCs w:val="21"/>
                <w:highlight w:val="none"/>
              </w:rPr>
            </w:pPr>
            <w:r>
              <w:rPr>
                <w:rFonts w:hint="eastAsia" w:ascii="宋体" w:hAnsi="宋体" w:eastAsia="宋体" w:cs="宋体"/>
                <w:b w:val="0"/>
                <w:bCs w:val="0"/>
                <w:color w:val="auto"/>
                <w:spacing w:val="0"/>
                <w:w w:val="100"/>
                <w:sz w:val="21"/>
                <w:szCs w:val="21"/>
                <w:highlight w:val="none"/>
                <w:lang w:val="en-US" w:eastAsia="zh-CN"/>
              </w:rPr>
              <w:t>报价部分</w:t>
            </w:r>
          </w:p>
        </w:tc>
        <w:tc>
          <w:tcPr>
            <w:tcW w:w="1277" w:type="pct"/>
            <w:tcBorders>
              <w:top w:val="single" w:color="auto" w:sz="4" w:space="0"/>
              <w:left w:val="single" w:color="auto" w:sz="4" w:space="0"/>
              <w:bottom w:val="single" w:color="auto" w:sz="4" w:space="0"/>
            </w:tcBorders>
            <w:noWrap w:val="0"/>
            <w:vAlign w:val="center"/>
          </w:tcPr>
          <w:p>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b w:val="0"/>
                <w:bCs w:val="0"/>
                <w:color w:val="auto"/>
                <w:spacing w:val="0"/>
                <w:w w:val="100"/>
                <w:sz w:val="21"/>
                <w:szCs w:val="21"/>
                <w:highlight w:val="none"/>
              </w:rPr>
            </w:pPr>
            <w:r>
              <w:rPr>
                <w:rFonts w:hint="eastAsia" w:ascii="宋体" w:hAnsi="宋体" w:eastAsia="宋体" w:cs="宋体"/>
                <w:b w:val="0"/>
                <w:bCs w:val="0"/>
                <w:color w:val="auto"/>
                <w:spacing w:val="0"/>
                <w:w w:val="100"/>
                <w:sz w:val="21"/>
                <w:szCs w:val="21"/>
                <w:highlight w:val="none"/>
              </w:rPr>
              <w:t>磋商报价得分</w:t>
            </w:r>
          </w:p>
          <w:p>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b w:val="0"/>
                <w:bCs w:val="0"/>
                <w:color w:val="auto"/>
                <w:spacing w:val="0"/>
                <w:w w:val="100"/>
                <w:sz w:val="21"/>
                <w:szCs w:val="21"/>
                <w:highlight w:val="none"/>
              </w:rPr>
            </w:pPr>
            <w:r>
              <w:rPr>
                <w:rFonts w:hint="eastAsia" w:ascii="宋体" w:hAnsi="宋体" w:eastAsia="宋体" w:cs="宋体"/>
                <w:b w:val="0"/>
                <w:bCs w:val="0"/>
                <w:color w:val="auto"/>
                <w:spacing w:val="0"/>
                <w:w w:val="100"/>
                <w:sz w:val="21"/>
                <w:szCs w:val="21"/>
                <w:highlight w:val="none"/>
                <w:lang w:val="en-US" w:eastAsia="zh-CN" w:bidi="en-US"/>
              </w:rPr>
              <w:t>（20.0分）</w:t>
            </w:r>
          </w:p>
        </w:tc>
        <w:tc>
          <w:tcPr>
            <w:tcW w:w="317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b w:val="0"/>
                <w:bCs w:val="0"/>
                <w:color w:val="auto"/>
                <w:spacing w:val="0"/>
                <w:w w:val="100"/>
                <w:sz w:val="21"/>
                <w:szCs w:val="21"/>
                <w:highlight w:val="none"/>
                <w:lang w:eastAsia="zh-CN"/>
              </w:rPr>
            </w:pPr>
            <w:r>
              <w:rPr>
                <w:rFonts w:hint="eastAsia" w:ascii="宋体" w:hAnsi="宋体" w:eastAsia="宋体" w:cs="宋体"/>
                <w:b w:val="0"/>
                <w:bCs w:val="0"/>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w:t>
            </w:r>
            <w:r>
              <w:rPr>
                <w:rFonts w:hint="eastAsia" w:ascii="宋体" w:hAnsi="宋体" w:eastAsia="宋体" w:cs="宋体"/>
                <w:b w:val="0"/>
                <w:bCs w:val="0"/>
                <w:color w:val="auto"/>
                <w:spacing w:val="0"/>
                <w:w w:val="100"/>
                <w:sz w:val="21"/>
                <w:szCs w:val="21"/>
                <w:highlight w:val="none"/>
                <w:lang w:val="en-US" w:eastAsia="zh-CN"/>
              </w:rPr>
              <w:t>20</w:t>
            </w:r>
            <w:r>
              <w:rPr>
                <w:rFonts w:hint="eastAsia" w:ascii="宋体" w:hAnsi="宋体" w:eastAsia="宋体" w:cs="宋体"/>
                <w:b w:val="0"/>
                <w:bCs w:val="0"/>
                <w:color w:val="auto"/>
                <w:spacing w:val="0"/>
                <w:w w:val="100"/>
                <w:sz w:val="21"/>
                <w:szCs w:val="21"/>
                <w:highlight w:val="none"/>
                <w:lang w:val="en-US"/>
              </w:rPr>
              <w:t>％）×100 。</w:t>
            </w:r>
          </w:p>
        </w:tc>
      </w:tr>
    </w:tbl>
    <w:p>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1" w:firstLineChars="200"/>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.汇总、排序</w:t>
      </w:r>
    </w:p>
    <w:p>
      <w:pPr>
        <w:kinsoku/>
        <w:spacing w:line="360" w:lineRule="auto"/>
        <w:ind w:firstLine="480" w:firstLineChars="200"/>
        <w:rPr>
          <w:rFonts w:hint="eastAsia" w:ascii="宋体" w:hAnsi="宋体" w:eastAsia="宋体" w:cs="宋体"/>
          <w:color w:val="auto"/>
          <w:sz w:val="24"/>
          <w:szCs w:val="24"/>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hAnsi="宋体" w:eastAsia="宋体" w:cs="宋体"/>
          <w:color w:val="auto"/>
          <w:sz w:val="24"/>
          <w:szCs w:val="24"/>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rPr>
      </w:pPr>
      <w:bookmarkStart w:id="5" w:name="_Toc15246"/>
      <w:r>
        <w:rPr>
          <w:rFonts w:hint="eastAsia" w:ascii="宋体" w:hAnsi="宋体" w:eastAsia="宋体" w:cs="宋体"/>
          <w:b/>
          <w:bCs/>
          <w:color w:val="auto"/>
          <w:sz w:val="28"/>
          <w:szCs w:val="28"/>
        </w:rPr>
        <w:t>第六章  合同</w:t>
      </w:r>
      <w:bookmarkEnd w:id="5"/>
    </w:p>
    <w:p>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6" w:name="_Toc16343"/>
      <w:bookmarkStart w:id="7" w:name="_Toc4992"/>
      <w:bookmarkStart w:id="8" w:name="_Toc199841597"/>
      <w:bookmarkStart w:id="9" w:name="_Toc1689"/>
      <w:bookmarkStart w:id="10" w:name="_Toc25832"/>
      <w:r>
        <w:rPr>
          <w:rFonts w:hint="eastAsia" w:ascii="宋体" w:hAnsi="宋体" w:eastAsia="宋体" w:cs="宋体"/>
          <w:b/>
          <w:kern w:val="2"/>
          <w:sz w:val="24"/>
          <w:szCs w:val="24"/>
          <w:highlight w:val="none"/>
          <w:lang w:val="en-US" w:eastAsia="zh-CN" w:bidi="ar-SA"/>
        </w:rPr>
        <w:t>一、合同要求</w:t>
      </w:r>
      <w:bookmarkEnd w:id="6"/>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11" w:name="_Toc199841598"/>
      <w:bookmarkStart w:id="12" w:name="_Toc7550"/>
      <w:bookmarkStart w:id="13" w:name="_Toc2180"/>
      <w:bookmarkStart w:id="14" w:name="_Toc11213"/>
      <w:bookmarkStart w:id="15" w:name="_Toc3945"/>
      <w:bookmarkStart w:id="16" w:name="_Toc541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日内</w:t>
      </w:r>
      <w:r>
        <w:rPr>
          <w:rFonts w:hint="eastAsia" w:ascii="宋体" w:hAnsi="宋体" w:eastAsia="宋体" w:cs="宋体"/>
          <w:color w:val="0000FF"/>
          <w:kern w:val="2"/>
          <w:sz w:val="24"/>
          <w:szCs w:val="24"/>
          <w:highlight w:val="none"/>
          <w:lang w:eastAsia="zh-CN"/>
        </w:rPr>
        <w:t>，</w:t>
      </w:r>
      <w:r>
        <w:rPr>
          <w:rFonts w:hint="eastAsia" w:ascii="宋体" w:hAnsi="宋体" w:eastAsia="宋体" w:cs="宋体"/>
          <w:kern w:val="2"/>
          <w:sz w:val="24"/>
          <w:szCs w:val="24"/>
          <w:highlight w:val="none"/>
          <w:lang w:eastAsia="zh-CN"/>
        </w:rPr>
        <w:t>按照磋商文件和成交服务商响应文件的规定，与成交服务商签订书面合同。所签订的合同不得对磋商文件确定的事项和成交服务商响应文件作实质性修改。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17" w:name="_Toc28207"/>
      <w:bookmarkStart w:id="18" w:name="_Toc962"/>
      <w:bookmarkStart w:id="19" w:name="_Toc1433"/>
      <w:bookmarkStart w:id="20" w:name="_Toc7533"/>
      <w:bookmarkStart w:id="21" w:name="_Toc199841599"/>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pPr>
        <w:pStyle w:val="44"/>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p>
    <w:p>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pPr>
              <w:pStyle w:val="15"/>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pPr>
              <w:pStyle w:val="15"/>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pPr>
              <w:pStyle w:val="15"/>
              <w:widowControl w:val="0"/>
              <w:spacing w:line="240" w:lineRule="auto"/>
              <w:jc w:val="both"/>
              <w:rPr>
                <w:rFonts w:hint="eastAsia" w:ascii="宋体" w:hAnsi="宋体" w:eastAsia="宋体" w:cs="宋体"/>
                <w:sz w:val="21"/>
                <w:szCs w:val="21"/>
                <w:highlight w:val="none"/>
                <w:vertAlign w:val="baseline"/>
              </w:rPr>
            </w:pPr>
          </w:p>
        </w:tc>
      </w:tr>
    </w:tbl>
    <w:p>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pPr>
        <w:kinsoku/>
        <w:spacing w:line="360" w:lineRule="auto"/>
        <w:ind w:left="0" w:leftChars="0" w:right="0" w:rightChars="0" w:firstLine="0" w:firstLineChars="0"/>
        <w:jc w:val="center"/>
        <w:outlineLvl w:val="0"/>
        <w:rPr>
          <w:rFonts w:hint="eastAsia" w:ascii="宋体" w:hAnsi="宋体" w:eastAsia="宋体" w:cs="宋体"/>
          <w:color w:val="auto"/>
          <w:sz w:val="24"/>
          <w:szCs w:val="24"/>
          <w:lang w:eastAsia="zh-CN"/>
        </w:rPr>
      </w:pPr>
      <w:bookmarkStart w:id="22" w:name="_Toc22415"/>
      <w:r>
        <w:rPr>
          <w:rFonts w:hint="eastAsia" w:ascii="宋体" w:hAnsi="宋体" w:eastAsia="宋体" w:cs="宋体"/>
          <w:b/>
          <w:bCs/>
          <w:color w:val="auto"/>
          <w:sz w:val="28"/>
          <w:szCs w:val="28"/>
          <w:lang w:eastAsia="zh-CN"/>
        </w:rPr>
        <w:t>第七章  响应文件格式与要求</w:t>
      </w:r>
      <w:bookmarkEnd w:id="22"/>
    </w:p>
    <w:p>
      <w:pPr>
        <w:kinsoku/>
        <w:spacing w:line="360" w:lineRule="auto"/>
        <w:ind w:left="0" w:leftChars="0" w:right="0" w:rightChars="0"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供应商按照以下格式编制响应文件。</w:t>
      </w:r>
    </w:p>
    <w:p>
      <w:pPr>
        <w:kinsoku/>
        <w:spacing w:line="360" w:lineRule="auto"/>
        <w:ind w:firstLine="480" w:firstLineChars="200"/>
        <w:rPr>
          <w:rFonts w:hint="eastAsia" w:ascii="宋体" w:hAnsi="宋体" w:eastAsia="宋体" w:cs="宋体"/>
          <w:color w:val="auto"/>
          <w:sz w:val="24"/>
          <w:szCs w:val="24"/>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响应文件封面格式：</w:t>
      </w:r>
    </w:p>
    <w:p>
      <w:pPr>
        <w:kinsoku/>
        <w:spacing w:line="360" w:lineRule="auto"/>
        <w:ind w:firstLine="722" w:firstLineChars="200"/>
        <w:jc w:val="center"/>
        <w:rPr>
          <w:rFonts w:hint="eastAsia" w:ascii="宋体" w:hAnsi="宋体" w:eastAsia="宋体" w:cs="宋体"/>
          <w:b/>
          <w:bCs/>
          <w:color w:val="auto"/>
          <w:sz w:val="36"/>
          <w:szCs w:val="36"/>
          <w:lang w:eastAsia="zh-CN"/>
        </w:rPr>
      </w:pPr>
    </w:p>
    <w:p>
      <w:pPr>
        <w:kinsoku/>
        <w:spacing w:line="360" w:lineRule="auto"/>
        <w:ind w:firstLine="722" w:firstLineChars="200"/>
        <w:jc w:val="center"/>
        <w:rPr>
          <w:rFonts w:hint="eastAsia" w:ascii="宋体" w:hAnsi="宋体" w:eastAsia="宋体" w:cs="宋体"/>
          <w:b/>
          <w:bCs/>
          <w:color w:val="auto"/>
          <w:sz w:val="36"/>
          <w:szCs w:val="36"/>
          <w:lang w:eastAsia="zh-CN"/>
        </w:rPr>
      </w:pPr>
    </w:p>
    <w:p>
      <w:pPr>
        <w:kinsoku/>
        <w:spacing w:line="360" w:lineRule="auto"/>
        <w:ind w:firstLine="722" w:firstLineChars="200"/>
        <w:jc w:val="center"/>
        <w:rPr>
          <w:rFonts w:hint="eastAsia" w:ascii="宋体" w:hAnsi="宋体" w:eastAsia="宋体" w:cs="宋体"/>
          <w:b/>
          <w:bCs/>
          <w:color w:val="auto"/>
          <w:sz w:val="36"/>
          <w:szCs w:val="36"/>
          <w:lang w:eastAsia="zh-CN"/>
        </w:rPr>
      </w:pPr>
    </w:p>
    <w:p>
      <w:pPr>
        <w:kinsoku/>
        <w:spacing w:line="360" w:lineRule="auto"/>
        <w:ind w:left="0" w:leftChars="0" w:right="0" w:rightChars="0" w:firstLine="0" w:firstLineChars="0"/>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（项目名称）</w:t>
      </w:r>
    </w:p>
    <w:p>
      <w:pPr>
        <w:kinsoku/>
        <w:spacing w:line="36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b/>
          <w:bCs/>
          <w:color w:val="auto"/>
          <w:sz w:val="36"/>
          <w:szCs w:val="36"/>
          <w:lang w:eastAsia="zh-CN"/>
        </w:rPr>
        <w:t>响应文件</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    号：第    包（项目划分采购包时使用）</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   月   日</w:t>
      </w:r>
    </w:p>
    <w:p>
      <w:pPr>
        <w:kinsoku/>
        <w:spacing w:line="360" w:lineRule="auto"/>
        <w:ind w:firstLine="480" w:firstLineChars="200"/>
        <w:rPr>
          <w:rFonts w:hint="eastAsia" w:ascii="宋体" w:hAnsi="宋体" w:eastAsia="宋体" w:cs="宋体"/>
          <w:color w:val="auto"/>
          <w:sz w:val="24"/>
          <w:szCs w:val="24"/>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响应文件目录格式：</w:t>
      </w:r>
    </w:p>
    <w:p>
      <w:pPr>
        <w:kinsoku/>
        <w:spacing w:line="360" w:lineRule="auto"/>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目  录</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一、响应承诺书</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二、首轮报价表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三、分项报价表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四、授权委托书</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五、缴纳磋商保证金证明材料</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六、供应商基本情况表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七、具有独立承担民事责任的能力的证明材料</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八、具有良好的商业信誉和健全的财务会计制度的相关材料</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九、依法缴纳税收和社会保障资金的良好记录的相关材料</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十、具有履行合同所必需的设备和专业技术能力的相关材料</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十一、参加政府采购活动前三年内在经营活动中没有重大违法记录的书面声明</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十二、联合体协议书</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十三、中小企业声明函</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十四、监狱企业证明文件</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十五、残疾人福利性单位声明函</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十六、主要商务要求承诺书</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十七、技术偏离表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十八、项目组成人员一览表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十九、项目实施方案、质量保证及售后服务承诺等</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二十、供应商业绩情况表</w:t>
      </w:r>
    </w:p>
    <w:p>
      <w:pPr>
        <w:kinsoku/>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二十一、其他证明材料</w:t>
      </w:r>
    </w:p>
    <w:p>
      <w:pPr>
        <w:kinsoku/>
        <w:spacing w:line="360" w:lineRule="auto"/>
        <w:ind w:firstLine="440" w:firstLineChars="200"/>
        <w:rPr>
          <w:rFonts w:hint="eastAsia" w:ascii="宋体" w:hAnsi="宋体" w:eastAsia="宋体" w:cs="宋体"/>
          <w:color w:val="auto"/>
          <w:sz w:val="22"/>
          <w:szCs w:val="22"/>
          <w:lang w:eastAsia="zh-CN"/>
        </w:rPr>
      </w:pPr>
    </w:p>
    <w:p>
      <w:pPr>
        <w:kinsoku/>
        <w:spacing w:line="360" w:lineRule="auto"/>
        <w:ind w:firstLine="480" w:firstLineChars="200"/>
        <w:rPr>
          <w:rFonts w:hint="eastAsia" w:ascii="宋体" w:hAnsi="宋体" w:eastAsia="宋体" w:cs="宋体"/>
          <w:color w:val="auto"/>
          <w:sz w:val="24"/>
          <w:szCs w:val="24"/>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响应文件正文格式：</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一、响应承诺书</w:t>
      </w:r>
    </w:p>
    <w:p>
      <w:pPr>
        <w:kinsoku/>
        <w:spacing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（采购单位名称和采购代理机构名称）</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你方组织的</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（项目名称）的采购，项目编号：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，我方自愿参与，并就有关事项郑重承诺如下：</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一、我方完全理解并接受该项目磋商文件的所有要求。</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二、我方严格遵守《中华人民共和国政府采购法》《中华人民共和国民法典》及相关法律、法规的规定，如有违反，承担相应的法律责任。</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三、我方在报价表中的报价为响应总报价。</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四、我方同意提供贵方要求的与磋商有关的任何数据和资料。</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五、我方将按照磋商文件、响应文件等要求，签订并严格执行政府采购合同。</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七、我方承诺未为本项目提供整体设计、规范编制或者项目管理、监理、检测等服务。</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八、我方提供的响应文件内容全部真实有效，如有虚假或隐瞒，我方愿意承担一切法律责任。</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九、若我方成交，愿意按有关规定及磋商文件要求缴纳代理服务费。若采购人支付代理服务费，则此条不适用。</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详细地址：</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邮政编码：</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    话：</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电子邮箱：</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供应商开户银行：</w:t>
      </w:r>
    </w:p>
    <w:p>
      <w:pPr>
        <w:kinsoku/>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账号/行号：</w:t>
      </w:r>
    </w:p>
    <w:p>
      <w:pPr>
        <w:kinsoku/>
        <w:spacing w:line="440" w:lineRule="exact"/>
        <w:ind w:firstLine="4080" w:firstLineChars="17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p>
    <w:p>
      <w:pPr>
        <w:kinsoku/>
        <w:spacing w:line="440" w:lineRule="exact"/>
        <w:ind w:firstLine="4080" w:firstLineChars="17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lang w:eastAsia="zh-CN"/>
        </w:rPr>
        <w:t>）：</w:t>
      </w:r>
    </w:p>
    <w:p>
      <w:pPr>
        <w:kinsoku/>
        <w:spacing w:line="440" w:lineRule="exact"/>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    月    日</w:t>
      </w:r>
    </w:p>
    <w:p>
      <w:pPr>
        <w:kinsoku/>
        <w:spacing w:line="440" w:lineRule="exact"/>
        <w:ind w:firstLine="480" w:firstLineChars="200"/>
        <w:rPr>
          <w:rFonts w:hint="eastAsia" w:ascii="宋体" w:hAnsi="宋体" w:eastAsia="宋体" w:cs="宋体"/>
          <w:color w:val="auto"/>
          <w:sz w:val="24"/>
          <w:szCs w:val="24"/>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二、首轮报价表</w:t>
      </w:r>
    </w:p>
    <w:p>
      <w:pPr>
        <w:kinsoku/>
        <w:spacing w:line="360" w:lineRule="auto"/>
        <w:ind w:firstLine="480" w:firstLineChars="200"/>
        <w:jc w:val="center"/>
        <w:rPr>
          <w:rFonts w:hint="eastAsia" w:ascii="宋体" w:hAnsi="宋体" w:eastAsia="宋体" w:cs="宋体"/>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w:t>
      </w:r>
    </w:p>
    <w:tbl>
      <w:tblPr>
        <w:tblStyle w:val="21"/>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2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采购项目名称/包名称</w:t>
            </w:r>
          </w:p>
        </w:tc>
        <w:tc>
          <w:tcPr>
            <w:tcW w:w="2243"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总报价（元）</w:t>
            </w:r>
          </w:p>
        </w:tc>
        <w:tc>
          <w:tcPr>
            <w:tcW w:w="1763"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交货或</w:t>
            </w:r>
            <w:r>
              <w:rPr>
                <w:rFonts w:hint="eastAsia" w:ascii="宋体" w:hAnsi="宋体" w:eastAsia="宋体" w:cs="宋体"/>
                <w:color w:val="auto"/>
                <w:sz w:val="24"/>
                <w:szCs w:val="24"/>
              </w:rPr>
              <w:t>服务</w:t>
            </w:r>
            <w:r>
              <w:rPr>
                <w:rFonts w:hint="eastAsia" w:ascii="宋体" w:hAnsi="宋体" w:eastAsia="宋体" w:cs="宋体"/>
                <w:color w:val="auto"/>
                <w:sz w:val="24"/>
                <w:szCs w:val="24"/>
                <w:lang w:eastAsia="zh-CN"/>
              </w:rPr>
              <w:t>期限</w:t>
            </w:r>
          </w:p>
        </w:tc>
        <w:tc>
          <w:tcPr>
            <w:tcW w:w="1929"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交货或</w:t>
            </w:r>
            <w:r>
              <w:rPr>
                <w:rFonts w:hint="eastAsia" w:ascii="宋体" w:hAnsi="宋体" w:eastAsia="宋体" w:cs="宋体"/>
                <w:color w:val="auto"/>
                <w:sz w:val="24"/>
                <w:szCs w:val="24"/>
              </w:rPr>
              <w:t>服务地点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23" w:type="dxa"/>
            <w:vAlign w:val="center"/>
          </w:tcPr>
          <w:p>
            <w:pPr>
              <w:jc w:val="center"/>
              <w:rPr>
                <w:rFonts w:hint="eastAsia" w:ascii="宋体" w:hAnsi="宋体" w:eastAsia="宋体" w:cs="宋体"/>
                <w:color w:val="auto"/>
                <w:sz w:val="24"/>
                <w:szCs w:val="24"/>
              </w:rPr>
            </w:pPr>
          </w:p>
        </w:tc>
        <w:tc>
          <w:tcPr>
            <w:tcW w:w="2243" w:type="dxa"/>
            <w:vAlign w:val="center"/>
          </w:tcPr>
          <w:p>
            <w:pPr>
              <w:jc w:val="center"/>
              <w:rPr>
                <w:rFonts w:hint="eastAsia" w:ascii="宋体" w:hAnsi="宋体" w:eastAsia="宋体" w:cs="宋体"/>
                <w:color w:val="auto"/>
                <w:sz w:val="24"/>
                <w:szCs w:val="24"/>
              </w:rPr>
            </w:pPr>
          </w:p>
        </w:tc>
        <w:tc>
          <w:tcPr>
            <w:tcW w:w="1763" w:type="dxa"/>
            <w:vAlign w:val="center"/>
          </w:tcPr>
          <w:p>
            <w:pPr>
              <w:jc w:val="center"/>
              <w:rPr>
                <w:rFonts w:hint="eastAsia" w:ascii="宋体" w:hAnsi="宋体" w:eastAsia="宋体" w:cs="宋体"/>
                <w:color w:val="auto"/>
                <w:sz w:val="24"/>
                <w:szCs w:val="24"/>
              </w:rPr>
            </w:pPr>
          </w:p>
        </w:tc>
        <w:tc>
          <w:tcPr>
            <w:tcW w:w="1929"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23" w:type="dxa"/>
            <w:vAlign w:val="center"/>
          </w:tcPr>
          <w:p>
            <w:pPr>
              <w:jc w:val="center"/>
              <w:rPr>
                <w:rFonts w:hint="eastAsia" w:ascii="宋体" w:hAnsi="宋体" w:eastAsia="宋体" w:cs="宋体"/>
                <w:color w:val="auto"/>
                <w:sz w:val="24"/>
                <w:szCs w:val="24"/>
              </w:rPr>
            </w:pPr>
          </w:p>
        </w:tc>
        <w:tc>
          <w:tcPr>
            <w:tcW w:w="2243" w:type="dxa"/>
            <w:vAlign w:val="center"/>
          </w:tcPr>
          <w:p>
            <w:pPr>
              <w:jc w:val="center"/>
              <w:rPr>
                <w:rFonts w:hint="eastAsia" w:ascii="宋体" w:hAnsi="宋体" w:eastAsia="宋体" w:cs="宋体"/>
                <w:color w:val="auto"/>
                <w:sz w:val="24"/>
                <w:szCs w:val="24"/>
              </w:rPr>
            </w:pPr>
          </w:p>
        </w:tc>
        <w:tc>
          <w:tcPr>
            <w:tcW w:w="1763" w:type="dxa"/>
            <w:vAlign w:val="center"/>
          </w:tcPr>
          <w:p>
            <w:pPr>
              <w:jc w:val="center"/>
              <w:rPr>
                <w:rFonts w:hint="eastAsia" w:ascii="宋体" w:hAnsi="宋体" w:eastAsia="宋体" w:cs="宋体"/>
                <w:color w:val="auto"/>
                <w:sz w:val="24"/>
                <w:szCs w:val="24"/>
              </w:rPr>
            </w:pPr>
          </w:p>
        </w:tc>
        <w:tc>
          <w:tcPr>
            <w:tcW w:w="1929"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723" w:type="dxa"/>
            <w:vAlign w:val="center"/>
          </w:tcPr>
          <w:p>
            <w:pPr>
              <w:jc w:val="center"/>
              <w:rPr>
                <w:rFonts w:hint="eastAsia" w:ascii="宋体" w:hAnsi="宋体" w:eastAsia="宋体" w:cs="宋体"/>
                <w:color w:val="auto"/>
                <w:sz w:val="24"/>
                <w:szCs w:val="24"/>
              </w:rPr>
            </w:pPr>
          </w:p>
        </w:tc>
        <w:tc>
          <w:tcPr>
            <w:tcW w:w="2243" w:type="dxa"/>
            <w:vAlign w:val="center"/>
          </w:tcPr>
          <w:p>
            <w:pPr>
              <w:jc w:val="center"/>
              <w:rPr>
                <w:rFonts w:hint="eastAsia" w:ascii="宋体" w:hAnsi="宋体" w:eastAsia="宋体" w:cs="宋体"/>
                <w:color w:val="auto"/>
                <w:sz w:val="24"/>
                <w:szCs w:val="24"/>
              </w:rPr>
            </w:pPr>
          </w:p>
        </w:tc>
        <w:tc>
          <w:tcPr>
            <w:tcW w:w="1763" w:type="dxa"/>
            <w:vAlign w:val="center"/>
          </w:tcPr>
          <w:p>
            <w:pPr>
              <w:jc w:val="center"/>
              <w:rPr>
                <w:rFonts w:hint="eastAsia" w:ascii="宋体" w:hAnsi="宋体" w:eastAsia="宋体" w:cs="宋体"/>
                <w:color w:val="auto"/>
                <w:sz w:val="24"/>
                <w:szCs w:val="24"/>
              </w:rPr>
            </w:pPr>
          </w:p>
        </w:tc>
        <w:tc>
          <w:tcPr>
            <w:tcW w:w="1929" w:type="dxa"/>
            <w:vAlign w:val="center"/>
          </w:tcPr>
          <w:p>
            <w:pPr>
              <w:jc w:val="center"/>
              <w:rPr>
                <w:rFonts w:hint="eastAsia" w:ascii="宋体" w:hAnsi="宋体" w:eastAsia="宋体" w:cs="宋体"/>
                <w:color w:val="auto"/>
                <w:sz w:val="24"/>
                <w:szCs w:val="24"/>
              </w:rPr>
            </w:pPr>
          </w:p>
        </w:tc>
      </w:tr>
    </w:tbl>
    <w:p>
      <w:pPr>
        <w:kinsoku/>
        <w:spacing w:before="240" w:beforeLines="100" w:line="360" w:lineRule="auto"/>
        <w:ind w:firstLine="5880" w:firstLineChars="2450"/>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供应商（盖章）：          </w:t>
      </w:r>
    </w:p>
    <w:p>
      <w:pPr>
        <w:kinsoku/>
        <w:spacing w:line="360" w:lineRule="auto"/>
        <w:ind w:firstLine="5880" w:firstLineChars="2450"/>
        <w:rPr>
          <w:rFonts w:hint="eastAsia" w:ascii="宋体" w:hAnsi="宋体" w:eastAsia="宋体" w:cs="宋体"/>
          <w:color w:val="auto"/>
          <w:sz w:val="24"/>
          <w:szCs w:val="24"/>
        </w:rPr>
      </w:pPr>
      <w:r>
        <w:rPr>
          <w:rFonts w:hint="eastAsia" w:ascii="宋体" w:hAnsi="宋体" w:eastAsia="宋体" w:cs="宋体"/>
          <w:color w:val="auto"/>
          <w:sz w:val="24"/>
          <w:szCs w:val="24"/>
        </w:rPr>
        <w:t>日期：</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分项报价表</w:t>
      </w:r>
    </w:p>
    <w:p>
      <w:pPr>
        <w:kinsoku/>
        <w:spacing w:line="360" w:lineRule="auto"/>
        <w:ind w:left="0" w:leftChars="0" w:right="0" w:rightChars="0" w:firstLine="0" w:firstLineChars="0"/>
        <w:jc w:val="center"/>
        <w:rPr>
          <w:rFonts w:hint="eastAsia" w:ascii="宋体" w:hAnsi="宋体" w:eastAsia="宋体" w:cs="宋体"/>
          <w:color w:val="auto"/>
          <w:sz w:val="24"/>
          <w:szCs w:val="24"/>
          <w:highlight w:val="none"/>
        </w:rPr>
      </w:pPr>
    </w:p>
    <w:p>
      <w:pPr>
        <w:kinsoku/>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kinsoku/>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insoku/>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p>
      <w:pPr>
        <w:kinsoku/>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供应商名称：                                货币及单位：人民币/元</w:t>
      </w:r>
    </w:p>
    <w:tbl>
      <w:tblPr>
        <w:tblStyle w:val="39"/>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pPr>
              <w:jc w:val="center"/>
              <w:rPr>
                <w:rFonts w:hint="eastAsia" w:ascii="宋体" w:hAnsi="宋体" w:eastAsia="宋体" w:cs="宋体"/>
                <w:color w:val="auto"/>
                <w:sz w:val="24"/>
                <w:szCs w:val="24"/>
                <w:highlight w:val="none"/>
              </w:rPr>
            </w:pPr>
          </w:p>
        </w:tc>
        <w:tc>
          <w:tcPr>
            <w:tcW w:w="1296" w:type="dxa"/>
            <w:vAlign w:val="center"/>
          </w:tcPr>
          <w:p>
            <w:pPr>
              <w:jc w:val="center"/>
              <w:rPr>
                <w:rFonts w:hint="eastAsia" w:ascii="宋体" w:hAnsi="宋体" w:eastAsia="宋体" w:cs="宋体"/>
                <w:color w:val="auto"/>
                <w:sz w:val="24"/>
                <w:szCs w:val="24"/>
                <w:highlight w:val="none"/>
              </w:rPr>
            </w:pPr>
          </w:p>
        </w:tc>
        <w:tc>
          <w:tcPr>
            <w:tcW w:w="1058"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c>
          <w:tcPr>
            <w:tcW w:w="1323"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09" w:type="dxa"/>
            <w:vAlign w:val="center"/>
          </w:tcPr>
          <w:p>
            <w:pPr>
              <w:jc w:val="cente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pPr>
              <w:jc w:val="center"/>
              <w:rPr>
                <w:rFonts w:hint="eastAsia" w:ascii="宋体" w:hAnsi="宋体" w:eastAsia="宋体" w:cs="宋体"/>
                <w:color w:val="auto"/>
                <w:sz w:val="24"/>
                <w:szCs w:val="24"/>
                <w:highlight w:val="none"/>
              </w:rPr>
            </w:pPr>
          </w:p>
        </w:tc>
        <w:tc>
          <w:tcPr>
            <w:tcW w:w="1296" w:type="dxa"/>
            <w:vAlign w:val="center"/>
          </w:tcPr>
          <w:p>
            <w:pPr>
              <w:jc w:val="center"/>
              <w:rPr>
                <w:rFonts w:hint="eastAsia" w:ascii="宋体" w:hAnsi="宋体" w:eastAsia="宋体" w:cs="宋体"/>
                <w:color w:val="auto"/>
                <w:sz w:val="24"/>
                <w:szCs w:val="24"/>
                <w:highlight w:val="none"/>
              </w:rPr>
            </w:pPr>
          </w:p>
        </w:tc>
        <w:tc>
          <w:tcPr>
            <w:tcW w:w="1058"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c>
          <w:tcPr>
            <w:tcW w:w="1323"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09" w:type="dxa"/>
            <w:vAlign w:val="center"/>
          </w:tcPr>
          <w:p>
            <w:pPr>
              <w:jc w:val="center"/>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51" w:type="dxa"/>
            <w:vAlign w:val="center"/>
          </w:tcPr>
          <w:p>
            <w:pPr>
              <w:jc w:val="center"/>
              <w:rPr>
                <w:rFonts w:hint="eastAsia" w:ascii="宋体" w:hAnsi="宋体" w:eastAsia="宋体" w:cs="宋体"/>
                <w:color w:val="auto"/>
                <w:sz w:val="24"/>
                <w:szCs w:val="24"/>
                <w:highlight w:val="none"/>
              </w:rPr>
            </w:pPr>
          </w:p>
        </w:tc>
        <w:tc>
          <w:tcPr>
            <w:tcW w:w="1296" w:type="dxa"/>
            <w:vAlign w:val="center"/>
          </w:tcPr>
          <w:p>
            <w:pPr>
              <w:jc w:val="center"/>
              <w:rPr>
                <w:rFonts w:hint="eastAsia" w:ascii="宋体" w:hAnsi="宋体" w:eastAsia="宋体" w:cs="宋体"/>
                <w:color w:val="auto"/>
                <w:sz w:val="24"/>
                <w:szCs w:val="24"/>
                <w:highlight w:val="none"/>
              </w:rPr>
            </w:pPr>
          </w:p>
        </w:tc>
        <w:tc>
          <w:tcPr>
            <w:tcW w:w="1058" w:type="dxa"/>
            <w:vAlign w:val="center"/>
          </w:tcPr>
          <w:p>
            <w:pPr>
              <w:jc w:val="center"/>
              <w:rPr>
                <w:rFonts w:hint="eastAsia" w:ascii="宋体" w:hAnsi="宋体" w:eastAsia="宋体" w:cs="宋体"/>
                <w:color w:val="auto"/>
                <w:sz w:val="24"/>
                <w:szCs w:val="24"/>
                <w:highlight w:val="none"/>
              </w:rPr>
            </w:pPr>
          </w:p>
        </w:tc>
        <w:tc>
          <w:tcPr>
            <w:tcW w:w="1020" w:type="dxa"/>
            <w:vAlign w:val="center"/>
          </w:tcPr>
          <w:p>
            <w:pPr>
              <w:jc w:val="center"/>
              <w:rPr>
                <w:rFonts w:hint="eastAsia" w:ascii="宋体" w:hAnsi="宋体" w:eastAsia="宋体" w:cs="宋体"/>
                <w:color w:val="auto"/>
                <w:sz w:val="24"/>
                <w:szCs w:val="24"/>
                <w:highlight w:val="none"/>
              </w:rPr>
            </w:pPr>
          </w:p>
        </w:tc>
        <w:tc>
          <w:tcPr>
            <w:tcW w:w="1323"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10" w:type="dxa"/>
            <w:vAlign w:val="center"/>
          </w:tcPr>
          <w:p>
            <w:pPr>
              <w:jc w:val="center"/>
              <w:rPr>
                <w:rFonts w:hint="eastAsia" w:ascii="宋体" w:hAnsi="宋体" w:eastAsia="宋体" w:cs="宋体"/>
                <w:color w:val="auto"/>
                <w:sz w:val="24"/>
                <w:szCs w:val="24"/>
                <w:highlight w:val="none"/>
              </w:rPr>
            </w:pPr>
          </w:p>
        </w:tc>
        <w:tc>
          <w:tcPr>
            <w:tcW w:w="809" w:type="dxa"/>
            <w:vAlign w:val="center"/>
          </w:tcPr>
          <w:p>
            <w:pPr>
              <w:jc w:val="center"/>
              <w:rPr>
                <w:rFonts w:hint="eastAsia" w:ascii="宋体" w:hAnsi="宋体" w:eastAsia="宋体" w:cs="宋体"/>
                <w:color w:val="auto"/>
                <w:sz w:val="24"/>
                <w:szCs w:val="24"/>
                <w:highlight w:val="none"/>
              </w:rPr>
            </w:pPr>
          </w:p>
        </w:tc>
      </w:tr>
    </w:tbl>
    <w:p>
      <w:pPr>
        <w:kinsoku/>
        <w:spacing w:before="240" w:beforeLines="100" w:line="360" w:lineRule="auto"/>
        <w:jc w:val="center"/>
        <w:rPr>
          <w:rFonts w:hint="eastAsia" w:ascii="宋体" w:hAnsi="宋体" w:eastAsia="宋体" w:cs="宋体"/>
          <w:color w:val="auto"/>
          <w:sz w:val="24"/>
          <w:szCs w:val="24"/>
          <w:highlight w:val="none"/>
        </w:rPr>
      </w:pPr>
    </w:p>
    <w:p>
      <w:pPr>
        <w:kinsoku/>
        <w:spacing w:before="240" w:beforeLines="100" w:line="360" w:lineRule="auto"/>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供应商（盖章）：          </w:t>
      </w:r>
    </w:p>
    <w:p>
      <w:pPr>
        <w:kinsoku/>
        <w:spacing w:line="360" w:lineRule="auto"/>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insoku/>
        <w:spacing w:line="360" w:lineRule="auto"/>
        <w:ind w:firstLine="480" w:firstLineChars="200"/>
        <w:rPr>
          <w:rFonts w:hint="eastAsia" w:ascii="宋体" w:hAnsi="宋体" w:eastAsia="宋体" w:cs="宋体"/>
          <w:color w:val="auto"/>
          <w:sz w:val="24"/>
          <w:szCs w:val="24"/>
          <w:highlight w:val="none"/>
        </w:rPr>
      </w:pPr>
    </w:p>
    <w:p>
      <w:pPr>
        <w:kinsoku/>
        <w:spacing w:line="360" w:lineRule="auto"/>
        <w:ind w:firstLine="480" w:firstLineChars="200"/>
        <w:rPr>
          <w:rFonts w:hint="eastAsia" w:ascii="宋体" w:hAnsi="宋体" w:eastAsia="宋体" w:cs="宋体"/>
          <w:color w:val="auto"/>
          <w:sz w:val="24"/>
          <w:szCs w:val="24"/>
          <w:highlight w:val="none"/>
        </w:rPr>
      </w:pPr>
    </w:p>
    <w:p>
      <w:pPr>
        <w:kinsoku/>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insoku/>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“服务名称”填写可标的名称；</w:t>
      </w:r>
    </w:p>
    <w:p>
      <w:pPr>
        <w:kinsoku/>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2.“服务范围”</w:t>
      </w:r>
      <w:r>
        <w:rPr>
          <w:rFonts w:hint="eastAsia" w:ascii="宋体" w:hAns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hAnsi="宋体" w:eastAsia="宋体" w:cs="宋体"/>
          <w:color w:val="auto"/>
          <w:sz w:val="24"/>
          <w:szCs w:val="24"/>
          <w:highlight w:val="none"/>
          <w:lang w:eastAsia="zh-CN"/>
        </w:rPr>
        <w:t>”可</w:t>
      </w:r>
      <w:r>
        <w:rPr>
          <w:rFonts w:hint="eastAsia" w:ascii="宋体" w:hAnsi="宋体" w:eastAsia="宋体" w:cs="宋体"/>
          <w:color w:val="auto"/>
          <w:sz w:val="24"/>
          <w:szCs w:val="24"/>
          <w:highlight w:val="none"/>
        </w:rPr>
        <w:t>填写“响应</w:t>
      </w:r>
      <w:r>
        <w:rPr>
          <w:rFonts w:hint="eastAsia" w:ascii="宋体" w:hAnsi="宋体" w:eastAsia="宋体" w:cs="宋体"/>
          <w:color w:val="auto"/>
          <w:sz w:val="24"/>
          <w:szCs w:val="24"/>
          <w:highlight w:val="none"/>
          <w:lang w:eastAsia="zh-CN"/>
        </w:rPr>
        <w:t>采购文件要求”。</w:t>
      </w:r>
    </w:p>
    <w:p>
      <w:pPr>
        <w:kinsoku/>
        <w:spacing w:line="360" w:lineRule="auto"/>
        <w:ind w:firstLine="480" w:firstLineChars="200"/>
        <w:rPr>
          <w:rFonts w:hint="eastAsia" w:ascii="宋体" w:hAnsi="宋体" w:eastAsia="宋体" w:cs="宋体"/>
          <w:color w:val="auto"/>
          <w:sz w:val="24"/>
          <w:szCs w:val="24"/>
        </w:rPr>
      </w:pPr>
    </w:p>
    <w:p>
      <w:pPr>
        <w:kinsoku/>
        <w:spacing w:line="360" w:lineRule="auto"/>
        <w:ind w:firstLine="480" w:firstLineChars="200"/>
        <w:rPr>
          <w:rFonts w:hint="eastAsia" w:ascii="宋体" w:hAnsi="宋体" w:eastAsia="宋体" w:cs="宋体"/>
          <w:color w:val="auto"/>
          <w:sz w:val="24"/>
          <w:szCs w:val="24"/>
        </w:rPr>
      </w:pPr>
    </w:p>
    <w:p>
      <w:pPr>
        <w:kinsoku/>
        <w:spacing w:line="360" w:lineRule="auto"/>
        <w:ind w:firstLine="480" w:firstLineChars="200"/>
        <w:rPr>
          <w:rFonts w:hint="eastAsia" w:ascii="宋体" w:hAnsi="宋体" w:eastAsia="宋体" w:cs="宋体"/>
          <w:color w:val="auto"/>
          <w:sz w:val="24"/>
          <w:szCs w:val="24"/>
        </w:rPr>
      </w:pPr>
    </w:p>
    <w:p>
      <w:pPr>
        <w:kinsoku/>
        <w:spacing w:line="360" w:lineRule="auto"/>
        <w:ind w:firstLine="480" w:firstLineChars="200"/>
        <w:rPr>
          <w:rFonts w:hint="eastAsia" w:ascii="宋体" w:hAnsi="宋体" w:eastAsia="宋体" w:cs="宋体"/>
          <w:color w:val="auto"/>
          <w:sz w:val="24"/>
          <w:szCs w:val="24"/>
        </w:rPr>
      </w:pPr>
    </w:p>
    <w:p>
      <w:pPr>
        <w:kinsoku/>
        <w:spacing w:line="360" w:lineRule="auto"/>
        <w:ind w:firstLine="480" w:firstLineChars="200"/>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四、授权委托书</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（姓名）系</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（供应商名称）的法定代表人，现委托</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（姓名）为我方代理人，参加</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（项目名称）的采购，项目编号：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。代理人根据授权，以我方名义签署、澄清确认、递交、撤回、修改磋商项目响应文件、签订合同和处理有关事宜，其法律后果由我方承担。委托期限：</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代理人无转委托权。</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  应  商（盖章）：</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eastAsia="zh-CN"/>
        </w:rPr>
        <w:t xml:space="preserve">                         </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授权委托人（</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eastAsia="zh-CN"/>
        </w:rPr>
        <w:t xml:space="preserve">                         </w:t>
      </w:r>
    </w:p>
    <w:p>
      <w:pPr>
        <w:kinsoku/>
        <w:spacing w:line="360" w:lineRule="auto"/>
        <w:ind w:firstLine="480" w:firstLineChars="200"/>
        <w:rPr>
          <w:rFonts w:hint="eastAsia" w:ascii="宋体" w:hAnsi="宋体" w:eastAsia="宋体" w:cs="宋体"/>
          <w:color w:val="auto"/>
          <w:sz w:val="24"/>
          <w:szCs w:val="24"/>
          <w:lang w:eastAsia="zh-CN"/>
        </w:rPr>
      </w:pPr>
    </w:p>
    <w:tbl>
      <w:tblPr>
        <w:tblStyle w:val="21"/>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法定代表人身份证扫描件正面</w:t>
            </w:r>
          </w:p>
        </w:tc>
        <w:tc>
          <w:tcPr>
            <w:tcW w:w="4436"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法定代表人身份证扫描件反面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授权委托人身份证扫描件正面</w:t>
            </w:r>
          </w:p>
        </w:tc>
        <w:tc>
          <w:tcPr>
            <w:tcW w:w="4436" w:type="dxa"/>
            <w:shd w:val="clear" w:color="auto" w:fill="auto"/>
            <w:vAlign w:val="center"/>
          </w:tcPr>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授权委托人身份证扫描件反面</w:t>
            </w:r>
          </w:p>
        </w:tc>
      </w:tr>
    </w:tbl>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p>
    <w:p>
      <w:pPr>
        <w:kinsoku/>
        <w:spacing w:line="360" w:lineRule="auto"/>
        <w:ind w:firstLine="480" w:firstLineChars="200"/>
        <w:rPr>
          <w:rFonts w:hint="eastAsia" w:ascii="宋体" w:hAnsi="宋体" w:eastAsia="宋体" w:cs="宋体"/>
          <w:color w:val="auto"/>
          <w:sz w:val="24"/>
          <w:szCs w:val="24"/>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五、缴纳磋商保证金证明材料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供应商应提供缴纳磋商保证金的证明材料原件扫描件。</w:t>
      </w:r>
    </w:p>
    <w:p>
      <w:pPr>
        <w:kinsoku/>
        <w:spacing w:line="360" w:lineRule="auto"/>
        <w:ind w:firstLine="480" w:firstLineChars="200"/>
        <w:rPr>
          <w:rFonts w:hint="eastAsia" w:ascii="宋体" w:hAnsi="宋体" w:eastAsia="宋体" w:cs="宋体"/>
          <w:color w:val="auto"/>
          <w:sz w:val="24"/>
          <w:szCs w:val="24"/>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rPr>
      </w:pPr>
      <w:r>
        <w:rPr>
          <w:rFonts w:hint="eastAsia" w:ascii="宋体" w:hAnsi="宋体" w:eastAsia="宋体" w:cs="宋体"/>
          <w:b/>
          <w:bCs/>
          <w:color w:val="auto"/>
          <w:sz w:val="28"/>
          <w:szCs w:val="28"/>
        </w:rPr>
        <w:t>六、供应商基本情况表</w:t>
      </w:r>
    </w:p>
    <w:tbl>
      <w:tblPr>
        <w:tblStyle w:val="21"/>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2192" w:type="dxa"/>
            <w:vAlign w:val="center"/>
          </w:tcPr>
          <w:p>
            <w:pPr>
              <w:jc w:val="center"/>
              <w:rPr>
                <w:rFonts w:hint="eastAsia" w:ascii="宋体" w:hAnsi="宋体" w:eastAsia="宋体" w:cs="宋体"/>
                <w:color w:val="auto"/>
                <w:sz w:val="24"/>
                <w:szCs w:val="24"/>
              </w:rPr>
            </w:pPr>
          </w:p>
        </w:tc>
        <w:tc>
          <w:tcPr>
            <w:tcW w:w="219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198"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w:t>
            </w:r>
          </w:p>
        </w:tc>
        <w:tc>
          <w:tcPr>
            <w:tcW w:w="2192" w:type="dxa"/>
            <w:vAlign w:val="center"/>
          </w:tcPr>
          <w:p>
            <w:pPr>
              <w:jc w:val="center"/>
              <w:rPr>
                <w:rFonts w:hint="eastAsia" w:ascii="宋体" w:hAnsi="宋体" w:eastAsia="宋体" w:cs="宋体"/>
                <w:color w:val="auto"/>
                <w:sz w:val="24"/>
                <w:szCs w:val="24"/>
              </w:rPr>
            </w:pPr>
          </w:p>
        </w:tc>
        <w:tc>
          <w:tcPr>
            <w:tcW w:w="219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注册时间</w:t>
            </w:r>
          </w:p>
        </w:tc>
        <w:tc>
          <w:tcPr>
            <w:tcW w:w="2198"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192" w:type="dxa"/>
            <w:vAlign w:val="center"/>
          </w:tcPr>
          <w:p>
            <w:pPr>
              <w:jc w:val="center"/>
              <w:rPr>
                <w:rFonts w:hint="eastAsia" w:ascii="宋体" w:hAnsi="宋体" w:eastAsia="宋体" w:cs="宋体"/>
                <w:color w:val="auto"/>
                <w:sz w:val="24"/>
                <w:szCs w:val="24"/>
              </w:rPr>
            </w:pPr>
          </w:p>
        </w:tc>
        <w:tc>
          <w:tcPr>
            <w:tcW w:w="219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198"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2192" w:type="dxa"/>
            <w:vAlign w:val="center"/>
          </w:tcPr>
          <w:p>
            <w:pPr>
              <w:jc w:val="center"/>
              <w:rPr>
                <w:rFonts w:hint="eastAsia" w:ascii="宋体" w:hAnsi="宋体" w:eastAsia="宋体" w:cs="宋体"/>
                <w:color w:val="auto"/>
                <w:sz w:val="24"/>
                <w:szCs w:val="24"/>
              </w:rPr>
            </w:pPr>
          </w:p>
        </w:tc>
        <w:tc>
          <w:tcPr>
            <w:tcW w:w="2192"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198" w:type="dxa"/>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6582" w:type="dxa"/>
            <w:gridSpan w:val="3"/>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开户银行账号</w:t>
            </w:r>
          </w:p>
        </w:tc>
        <w:tc>
          <w:tcPr>
            <w:tcW w:w="6582" w:type="dxa"/>
            <w:gridSpan w:val="3"/>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主营范围：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企业资质：</w:t>
            </w:r>
          </w:p>
        </w:tc>
      </w:tr>
    </w:tbl>
    <w:p>
      <w:pPr>
        <w:kinsoku/>
        <w:spacing w:line="360" w:lineRule="auto"/>
        <w:ind w:firstLine="480" w:firstLineChars="200"/>
        <w:rPr>
          <w:rFonts w:hint="eastAsia" w:ascii="宋体" w:hAnsi="宋体" w:eastAsia="宋体" w:cs="宋体"/>
          <w:color w:val="auto"/>
          <w:sz w:val="24"/>
          <w:szCs w:val="24"/>
        </w:rPr>
      </w:pPr>
    </w:p>
    <w:p>
      <w:pPr>
        <w:kinsoku/>
        <w:spacing w:line="360" w:lineRule="auto"/>
        <w:ind w:firstLine="480" w:firstLineChars="200"/>
        <w:rPr>
          <w:rFonts w:hint="eastAsia" w:ascii="宋体" w:hAnsi="宋体" w:eastAsia="宋体" w:cs="宋体"/>
          <w:color w:val="auto"/>
          <w:sz w:val="24"/>
          <w:szCs w:val="24"/>
        </w:rPr>
        <w:sectPr>
          <w:footerReference r:id="rId1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七、具有独立承担民事责任的能力的证明材料</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hAnsi="宋体" w:eastAsia="宋体" w:cs="宋体"/>
          <w:color w:val="auto"/>
          <w:sz w:val="24"/>
          <w:szCs w:val="24"/>
          <w:lang w:eastAsia="zh-CN"/>
        </w:rPr>
        <w:t>供应商为法人或者其他组织的，提供营业执照等证明文件；供应商为自然人的，提供身份证明。</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八、具有良好的商业信誉和健全的财务会计制度的相关材料</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供应商提供具有良好的商业信誉和健全的财务会计制度的相关材料。</w:t>
      </w:r>
    </w:p>
    <w:p>
      <w:pPr>
        <w:kinsoku/>
        <w:spacing w:line="360" w:lineRule="auto"/>
        <w:ind w:firstLine="480" w:firstLineChars="200"/>
        <w:rPr>
          <w:rFonts w:hint="eastAsia" w:ascii="宋体" w:hAnsi="宋体" w:eastAsia="宋体" w:cs="宋体"/>
          <w:color w:val="auto"/>
          <w:sz w:val="24"/>
          <w:szCs w:val="24"/>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九、依法缴纳税收和社会保障资金的良好记录的相关材料</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供应商提供依法缴纳税收和社会保障资金的相关材料。</w:t>
      </w:r>
    </w:p>
    <w:p>
      <w:pPr>
        <w:kinsoku/>
        <w:spacing w:line="360" w:lineRule="auto"/>
        <w:ind w:firstLine="480" w:firstLineChars="200"/>
        <w:rPr>
          <w:rFonts w:hint="eastAsia" w:ascii="宋体" w:hAnsi="宋体" w:eastAsia="宋体" w:cs="宋体"/>
          <w:color w:val="auto"/>
          <w:sz w:val="24"/>
          <w:szCs w:val="24"/>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十、具有履行合同所必需的设备和专业技术能力的相关材料</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供应商提供具有履行合同所必需的设备和专业技术能力的相关材料。</w:t>
      </w:r>
    </w:p>
    <w:p>
      <w:pPr>
        <w:kinsoku/>
        <w:spacing w:line="360" w:lineRule="auto"/>
        <w:ind w:firstLine="480" w:firstLineChars="200"/>
        <w:rPr>
          <w:rFonts w:hint="eastAsia" w:ascii="宋体" w:hAnsi="宋体" w:eastAsia="宋体" w:cs="宋体"/>
          <w:color w:val="auto"/>
          <w:sz w:val="24"/>
          <w:szCs w:val="24"/>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十一、参加政府采购活动前三年内在经营活动中没有重大违法记录的书面声明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本公司（单位）自愿参加本次政府采购活动，</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（项目名称），项目编号：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，严格遵守《中华人民共和国政府采购法》《中华人民共和国政府采购法实施条例》及相关法律、法规和规章制度，在参加此次政府采购活动前三年内，本公司在经营活动中无重大违法记录。</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特此声明</w:t>
      </w: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80" w:firstLineChars="200"/>
        <w:rPr>
          <w:rFonts w:hint="eastAsia" w:ascii="宋体" w:hAnsi="宋体" w:eastAsia="宋体" w:cs="宋体"/>
          <w:color w:val="auto"/>
          <w:sz w:val="24"/>
          <w:szCs w:val="24"/>
          <w:lang w:eastAsia="zh-CN"/>
        </w:rPr>
      </w:pPr>
    </w:p>
    <w:p>
      <w:pPr>
        <w:kinsoku/>
        <w:spacing w:line="360" w:lineRule="auto"/>
        <w:ind w:firstLine="4560" w:firstLineChars="19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p>
    <w:p>
      <w:pPr>
        <w:kinsoku/>
        <w:spacing w:line="360" w:lineRule="auto"/>
        <w:ind w:left="0" w:leftChars="0" w:firstLine="2520" w:firstLineChars="10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法定代表人或授权委托人（签字</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lang w:eastAsia="zh-CN"/>
        </w:rPr>
        <w:t>）：</w:t>
      </w:r>
    </w:p>
    <w:p>
      <w:pPr>
        <w:kinsoku/>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    月    日</w:t>
      </w:r>
    </w:p>
    <w:p>
      <w:pPr>
        <w:kinsoku/>
        <w:spacing w:line="360" w:lineRule="auto"/>
        <w:ind w:firstLine="480" w:firstLineChars="200"/>
        <w:rPr>
          <w:rFonts w:hint="eastAsia" w:ascii="宋体" w:hAnsi="宋体" w:eastAsia="宋体" w:cs="宋体"/>
          <w:color w:val="auto"/>
          <w:sz w:val="24"/>
          <w:szCs w:val="24"/>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十二、联合体协议书</w:t>
      </w:r>
    </w:p>
    <w:p>
      <w:pPr>
        <w:kinsoku/>
        <w:wordWrap w:val="0"/>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（所有成员单位名称）自愿组成一个联合体，以一个供应商的身份共同参加</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（项目名称）的采购，项目编：</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。联合体各方共同与采购人签订采购合同，就采购合同约定的事项对采购人承担连带责任。现就联合体参加采购事宜订立如下协议。</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（某成员单位名称）为联合体牵头人。</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2.联合体各成员单位授权牵头人代表联合体参加采购活动，提交和接收相关的资料，负责合同实施阶段的组织和协调工作，以及处理与本项目有关的事宜。</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3.联合体牵头人在本项目中签署的文件和处理的事宜，联合体各成员单位均予以承认。联合体各成员单位将严格按照磋商文件、响应文件和合同的要求全面履行义务，并向采购人承担连带责任。</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4.联合体各成员单位内部的职责分工如下：</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5.如要求缴纳保证金，以牵头人名义缴纳，对联合体各方均具有约束力。</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6.本协议书自签署之日起生效，合同履行完毕后自动失效。</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7.本协议书一式</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份，联合体各成员单位和采购人各执一份。</w:t>
      </w: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协议书由法定代表人签字的，应附法定代表人身份证明；由授权代表签字的，应附授权委托书。</w:t>
      </w:r>
    </w:p>
    <w:p>
      <w:pPr>
        <w:kinsoku/>
        <w:spacing w:line="480" w:lineRule="exact"/>
        <w:ind w:firstLine="480" w:firstLineChars="200"/>
        <w:rPr>
          <w:rFonts w:hint="eastAsia" w:ascii="宋体" w:hAnsi="宋体" w:eastAsia="宋体" w:cs="宋体"/>
          <w:color w:val="auto"/>
          <w:sz w:val="24"/>
          <w:szCs w:val="24"/>
          <w:lang w:eastAsia="zh-CN"/>
        </w:rPr>
      </w:pPr>
    </w:p>
    <w:p>
      <w:pPr>
        <w:kinsoku/>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所有成员单位法定代表人或其授权代表（签字并盖章）：</w:t>
      </w:r>
    </w:p>
    <w:p>
      <w:pPr>
        <w:kinsoku/>
        <w:spacing w:line="480" w:lineRule="exact"/>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    月    日</w:t>
      </w:r>
    </w:p>
    <w:p>
      <w:pPr>
        <w:kinsoku/>
        <w:spacing w:line="360" w:lineRule="auto"/>
        <w:ind w:firstLine="480" w:firstLineChars="200"/>
        <w:rPr>
          <w:rFonts w:hint="eastAsia" w:ascii="宋体" w:hAnsi="宋体" w:eastAsia="宋体" w:cs="宋体"/>
          <w:color w:val="auto"/>
          <w:sz w:val="24"/>
          <w:szCs w:val="24"/>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hAnsi="宋体" w:eastAsia="宋体" w:cs="宋体"/>
          <w:b/>
          <w:bCs/>
          <w:color w:val="auto"/>
          <w:sz w:val="28"/>
          <w:szCs w:val="28"/>
          <w:lang w:eastAsia="zh-CN"/>
        </w:rPr>
      </w:pPr>
      <w:r>
        <w:rPr>
          <w:rFonts w:hint="eastAsia" w:ascii="宋体" w:hAnsi="宋体" w:eastAsia="宋体" w:cs="宋体"/>
          <w:color w:val="auto"/>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十三、</w:t>
      </w:r>
      <w:r>
        <w:rPr>
          <w:rFonts w:hint="eastAsia" w:ascii="宋体" w:hAnsi="宋体" w:eastAsia="宋体" w:cs="宋体"/>
          <w:b/>
          <w:bCs/>
          <w:color w:val="auto"/>
          <w:sz w:val="28"/>
          <w:szCs w:val="28"/>
          <w:highlight w:val="none"/>
        </w:rPr>
        <w:t>中小企业声明函（工程、服务）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万元 </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 xml:space="preserve"> ，属于（中型企业、小型企业、微型企业）；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vertAlign w:val="superscript"/>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注：1.从业人员、营业收入、资产总额填报上一年度数据，无上一年数据的新成立企业可不填报。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2.中型、小型、微型企业请在投标文件中附此函。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3.供应商提供《中小企业声明函》内容不实的，属于“隐瞒真实情况，提供虚假资料”的情形，依照有关规定追究相应责任。</w:t>
      </w:r>
    </w:p>
    <w:p>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r>
        <w:rPr>
          <w:rFonts w:hint="eastAsia" w:ascii="宋体" w:hAnsi="宋体" w:eastAsia="宋体" w:cs="宋体"/>
          <w:b/>
          <w:bCs/>
          <w:color w:val="auto"/>
          <w:sz w:val="28"/>
          <w:szCs w:val="28"/>
          <w:lang w:eastAsia="zh-CN"/>
        </w:rPr>
        <w:t>十四、监狱企业证明文件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提供由省级以上监狱管理局、戒毒管理局（含新疆生产建设兵团）出具的属于监狱企业的证明文件。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lang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（以下格式文件由供应商根据需要选用）</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8"/>
          <w:szCs w:val="28"/>
        </w:rPr>
        <w:t>十五、残疾人福利性单位声明函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6"/>
          <w:kern w:val="0"/>
          <w:sz w:val="26"/>
          <w:szCs w:val="26"/>
        </w:rPr>
        <w:t>本单位郑重声</w:t>
      </w:r>
      <w:r>
        <w:rPr>
          <w:rFonts w:hint="eastAsia" w:ascii="宋体" w:hAnsi="宋体" w:eastAsia="宋体" w:cs="宋体"/>
          <w:color w:val="auto"/>
          <w:spacing w:val="4"/>
          <w:kern w:val="0"/>
          <w:sz w:val="26"/>
          <w:szCs w:val="26"/>
        </w:rPr>
        <w:t>明</w:t>
      </w:r>
      <w:r>
        <w:rPr>
          <w:rFonts w:hint="eastAsia" w:ascii="宋体" w:hAnsi="宋体" w:eastAsia="宋体" w:cs="宋体"/>
          <w:color w:val="auto"/>
          <w:spacing w:val="3"/>
          <w:kern w:val="0"/>
          <w:sz w:val="26"/>
          <w:szCs w:val="26"/>
        </w:rPr>
        <w:t>，根据《财政部 民政部 中国残疾人联合会关于</w:t>
      </w:r>
      <w:r>
        <w:rPr>
          <w:rFonts w:hint="eastAsia" w:ascii="宋体" w:hAnsi="宋体" w:eastAsia="宋体" w:cs="宋体"/>
          <w:color w:val="auto"/>
          <w:spacing w:val="2"/>
          <w:kern w:val="0"/>
          <w:sz w:val="26"/>
          <w:szCs w:val="26"/>
        </w:rPr>
        <w:t>促进残疾人就业</w:t>
      </w:r>
      <w:r>
        <w:rPr>
          <w:rFonts w:hint="eastAsia" w:ascii="宋体" w:hAnsi="宋体" w:eastAsia="宋体" w:cs="宋体"/>
          <w:color w:val="auto"/>
          <w:spacing w:val="1"/>
          <w:kern w:val="0"/>
          <w:sz w:val="26"/>
          <w:szCs w:val="26"/>
        </w:rPr>
        <w:t>政府采购政策的通知》(财库〔2017〕141号)的规</w:t>
      </w:r>
      <w:r>
        <w:rPr>
          <w:rFonts w:hint="eastAsia" w:ascii="宋体" w:hAnsi="宋体" w:eastAsia="宋体" w:cs="宋体"/>
          <w:color w:val="auto"/>
          <w:spacing w:val="9"/>
          <w:kern w:val="0"/>
          <w:sz w:val="26"/>
          <w:szCs w:val="26"/>
        </w:rPr>
        <w:t>定，本单位为符合条件的残疾人福利性单位，且本单位参加</w:t>
      </w:r>
      <w:r>
        <w:rPr>
          <w:rFonts w:hint="eastAsia" w:ascii="宋体" w:hAnsi="宋体" w:eastAsia="宋体" w:cs="宋体"/>
          <w:color w:val="auto"/>
          <w:spacing w:val="9"/>
          <w:kern w:val="0"/>
          <w:sz w:val="26"/>
          <w:szCs w:val="26"/>
          <w:u w:val="single"/>
          <w:lang w:val="en-US" w:eastAsia="zh-CN"/>
        </w:rPr>
        <w:t xml:space="preserve">    </w:t>
      </w:r>
      <w:r>
        <w:rPr>
          <w:rFonts w:hint="eastAsia" w:ascii="宋体" w:hAnsi="宋体" w:eastAsia="宋体" w:cs="宋体"/>
          <w:color w:val="auto"/>
          <w:spacing w:val="9"/>
          <w:kern w:val="0"/>
          <w:sz w:val="26"/>
          <w:szCs w:val="26"/>
        </w:rPr>
        <w:t>单</w:t>
      </w:r>
      <w:r>
        <w:rPr>
          <w:rFonts w:hint="eastAsia" w:ascii="宋体" w:hAnsi="宋体" w:eastAsia="宋体" w:cs="宋体"/>
          <w:color w:val="auto"/>
          <w:spacing w:val="2"/>
          <w:kern w:val="0"/>
          <w:sz w:val="26"/>
          <w:szCs w:val="26"/>
        </w:rPr>
        <w:t>位</w:t>
      </w:r>
      <w:r>
        <w:rPr>
          <w:rFonts w:hint="eastAsia" w:ascii="宋体" w:hAnsi="宋体" w:eastAsia="宋体" w:cs="宋体"/>
          <w:color w:val="auto"/>
          <w:spacing w:val="16"/>
          <w:kern w:val="0"/>
          <w:sz w:val="26"/>
          <w:szCs w:val="26"/>
        </w:rPr>
        <w:t>的</w:t>
      </w:r>
      <w:r>
        <w:rPr>
          <w:rFonts w:hint="eastAsia" w:ascii="宋体" w:hAnsi="宋体" w:eastAsia="宋体" w:cs="宋体"/>
          <w:color w:val="auto"/>
          <w:spacing w:val="8"/>
          <w:kern w:val="0"/>
          <w:sz w:val="26"/>
          <w:szCs w:val="26"/>
          <w:u w:val="single"/>
          <w:lang w:val="en-US" w:eastAsia="zh-CN"/>
        </w:rPr>
        <w:t xml:space="preserve">    </w:t>
      </w:r>
      <w:r>
        <w:rPr>
          <w:rFonts w:hint="eastAsia" w:ascii="宋体" w:hAnsi="宋体" w:eastAsia="宋体" w:cs="宋体"/>
          <w:color w:val="auto"/>
          <w:spacing w:val="8"/>
          <w:kern w:val="0"/>
          <w:sz w:val="26"/>
          <w:szCs w:val="26"/>
        </w:rPr>
        <w:t>项目采购活动提供本单位制造的货物(由本单位承担工程/提供</w:t>
      </w:r>
      <w:r>
        <w:rPr>
          <w:rFonts w:hint="eastAsia" w:ascii="宋体" w:hAnsi="宋体" w:eastAsia="宋体" w:cs="宋体"/>
          <w:color w:val="auto"/>
          <w:spacing w:val="17"/>
          <w:kern w:val="0"/>
          <w:sz w:val="26"/>
          <w:szCs w:val="26"/>
        </w:rPr>
        <w:t>服</w:t>
      </w:r>
      <w:r>
        <w:rPr>
          <w:rFonts w:hint="eastAsia" w:ascii="宋体" w:hAnsi="宋体" w:eastAsia="宋体" w:cs="宋体"/>
          <w:color w:val="auto"/>
          <w:spacing w:val="13"/>
          <w:kern w:val="0"/>
          <w:sz w:val="26"/>
          <w:szCs w:val="26"/>
        </w:rPr>
        <w:t>务)，或者提供其他残疾人福利性单位制造的货物(不包括使用非残</w:t>
      </w:r>
      <w:r>
        <w:rPr>
          <w:rFonts w:hint="eastAsia" w:ascii="宋体" w:hAnsi="宋体" w:eastAsia="宋体" w:cs="宋体"/>
          <w:color w:val="auto"/>
          <w:spacing w:val="12"/>
          <w:kern w:val="0"/>
          <w:sz w:val="26"/>
          <w:szCs w:val="26"/>
        </w:rPr>
        <w:t>疾</w:t>
      </w:r>
      <w:r>
        <w:rPr>
          <w:rFonts w:hint="eastAsia" w:ascii="宋体" w:hAnsi="宋体" w:eastAsia="宋体" w:cs="宋体"/>
          <w:color w:val="auto"/>
          <w:spacing w:val="9"/>
          <w:kern w:val="0"/>
          <w:sz w:val="26"/>
          <w:szCs w:val="26"/>
        </w:rPr>
        <w:t>人福利性单位注册商标的货物)。</w:t>
      </w:r>
    </w:p>
    <w:p>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rPr>
      </w:pPr>
      <w:r>
        <w:rPr>
          <w:rFonts w:hint="eastAsia" w:ascii="宋体" w:hAnsi="宋体" w:eastAsia="宋体" w:cs="宋体"/>
          <w:color w:val="auto"/>
          <w:spacing w:val="10"/>
          <w:kern w:val="0"/>
          <w:sz w:val="26"/>
          <w:szCs w:val="26"/>
        </w:rPr>
        <w:t>本单位对</w:t>
      </w:r>
      <w:r>
        <w:rPr>
          <w:rFonts w:hint="eastAsia" w:ascii="宋体" w:hAnsi="宋体" w:eastAsia="宋体" w:cs="宋体"/>
          <w:color w:val="auto"/>
          <w:spacing w:val="5"/>
          <w:kern w:val="0"/>
          <w:sz w:val="26"/>
          <w:szCs w:val="26"/>
        </w:rPr>
        <w:t>上述声明的真实性负责。如有虚假，将依法承担相应责</w:t>
      </w:r>
      <w:r>
        <w:rPr>
          <w:rFonts w:hint="eastAsia" w:ascii="宋体" w:hAnsi="宋体" w:eastAsia="宋体" w:cs="宋体"/>
          <w:color w:val="auto"/>
          <w:spacing w:val="3"/>
          <w:kern w:val="0"/>
          <w:sz w:val="26"/>
          <w:szCs w:val="26"/>
        </w:rPr>
        <w:t>任</w:t>
      </w:r>
      <w:r>
        <w:rPr>
          <w:rFonts w:hint="eastAsia" w:ascii="宋体" w:hAnsi="宋体" w:eastAsia="宋体" w:cs="宋体"/>
          <w:color w:val="auto"/>
          <w:spacing w:val="2"/>
          <w:kern w:val="0"/>
          <w:sz w:val="26"/>
          <w:szCs w:val="26"/>
        </w:rPr>
        <w:t>。</w:t>
      </w: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rPr>
      </w:pPr>
    </w:p>
    <w:p>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rPr>
      </w:pPr>
      <w:r>
        <w:rPr>
          <w:rFonts w:hint="eastAsia" w:ascii="宋体" w:hAnsi="宋体" w:eastAsia="宋体" w:cs="宋体"/>
          <w:color w:val="auto"/>
          <w:spacing w:val="24"/>
          <w:kern w:val="0"/>
          <w:position w:val="24"/>
          <w:sz w:val="26"/>
          <w:szCs w:val="26"/>
        </w:rPr>
        <w:t>单</w:t>
      </w:r>
      <w:r>
        <w:rPr>
          <w:rFonts w:hint="eastAsia" w:ascii="宋体" w:hAnsi="宋体" w:eastAsia="宋体" w:cs="宋体"/>
          <w:color w:val="auto"/>
          <w:spacing w:val="17"/>
          <w:kern w:val="0"/>
          <w:position w:val="24"/>
          <w:sz w:val="26"/>
          <w:szCs w:val="26"/>
        </w:rPr>
        <w:t>位名称(盖章)：</w:t>
      </w:r>
    </w:p>
    <w:p>
      <w:pPr>
        <w:ind w:left="0" w:leftChars="0" w:firstLine="5257" w:firstLineChars="2120"/>
        <w:rPr>
          <w:rFonts w:hint="eastAsia" w:ascii="宋体" w:hAnsi="宋体" w:eastAsia="宋体" w:cs="宋体"/>
          <w:b/>
          <w:bCs/>
          <w:color w:val="auto"/>
          <w:sz w:val="28"/>
          <w:szCs w:val="28"/>
          <w:lang w:eastAsia="zh-CN"/>
        </w:rPr>
      </w:pPr>
      <w:r>
        <w:rPr>
          <w:rFonts w:hint="eastAsia" w:ascii="宋体" w:hAnsi="宋体" w:eastAsia="宋体" w:cs="宋体"/>
          <w:color w:val="auto"/>
          <w:spacing w:val="-6"/>
          <w:kern w:val="0"/>
          <w:sz w:val="26"/>
          <w:szCs w:val="26"/>
        </w:rPr>
        <w:t>日</w:t>
      </w:r>
      <w:r>
        <w:rPr>
          <w:rFonts w:hint="eastAsia" w:ascii="宋体" w:hAnsi="宋体" w:eastAsia="宋体" w:cs="宋体"/>
          <w:color w:val="auto"/>
          <w:spacing w:val="-4"/>
          <w:kern w:val="0"/>
          <w:sz w:val="26"/>
          <w:szCs w:val="26"/>
        </w:rPr>
        <w:t xml:space="preserve"> </w:t>
      </w:r>
      <w:r>
        <w:rPr>
          <w:rFonts w:hint="eastAsia" w:ascii="宋体" w:hAnsi="宋体" w:eastAsia="宋体" w:cs="宋体"/>
          <w:color w:val="auto"/>
          <w:spacing w:val="-3"/>
          <w:kern w:val="0"/>
          <w:sz w:val="26"/>
          <w:szCs w:val="26"/>
        </w:rPr>
        <w:t>期：</w:t>
      </w:r>
      <w:r>
        <w:rPr>
          <w:rFonts w:hint="eastAsia" w:ascii="宋体" w:hAnsi="宋体" w:eastAsia="宋体" w:cs="宋体"/>
          <w:b/>
          <w:bCs/>
          <w:color w:val="auto"/>
          <w:sz w:val="28"/>
          <w:szCs w:val="28"/>
          <w:lang w:eastAsia="zh-CN"/>
        </w:rPr>
        <w:br w:type="page"/>
      </w:r>
    </w:p>
    <w:p>
      <w:pPr>
        <w:kinsoku/>
        <w:spacing w:line="480" w:lineRule="auto"/>
        <w:ind w:left="0" w:leftChars="0" w:right="0" w:rightChars="0" w:firstLine="0" w:firstLineChars="0"/>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十六、主要商务要求承诺书</w:t>
      </w:r>
    </w:p>
    <w:p>
      <w:pPr>
        <w:kinsoku/>
        <w:wordWrap w:val="0"/>
        <w:spacing w:line="48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我公司承诺可以完全满足</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(项目名称），项目编号：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磋商文件的所有主要商务条款要求，包括交货或服务期限、交货或服务地点、付款方式、验收要求、履约保证金等。若有不符合或未按承诺履行的，承担相应法律后果。</w:t>
      </w:r>
    </w:p>
    <w:p>
      <w:pPr>
        <w:kinsoku/>
        <w:spacing w:line="48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如有优于磋商文件主要商务要求的请在此承诺书中说明。</w:t>
      </w:r>
    </w:p>
    <w:p>
      <w:pPr>
        <w:kinsoku/>
        <w:spacing w:line="48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具体优于内容（如服务期限、地点，质保期等）。</w:t>
      </w:r>
    </w:p>
    <w:p>
      <w:pPr>
        <w:kinsoku/>
        <w:spacing w:line="48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特此承诺</w:t>
      </w:r>
    </w:p>
    <w:p>
      <w:pPr>
        <w:kinsoku/>
        <w:spacing w:line="360" w:lineRule="auto"/>
        <w:ind w:firstLine="4320" w:firstLineChars="18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p>
    <w:p>
      <w:pPr>
        <w:kinsoku/>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年   月   日</w:t>
      </w:r>
    </w:p>
    <w:p>
      <w:pPr>
        <w:kinsoku/>
        <w:spacing w:line="360" w:lineRule="auto"/>
        <w:ind w:firstLine="480" w:firstLineChars="200"/>
        <w:rPr>
          <w:rFonts w:hint="eastAsia" w:ascii="宋体" w:hAnsi="宋体" w:eastAsia="宋体" w:cs="宋体"/>
          <w:color w:val="auto"/>
          <w:sz w:val="24"/>
          <w:szCs w:val="24"/>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十七、技术偏离表</w:t>
      </w:r>
    </w:p>
    <w:tbl>
      <w:tblPr>
        <w:tblStyle w:val="21"/>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序号</w:t>
            </w:r>
          </w:p>
        </w:tc>
        <w:tc>
          <w:tcPr>
            <w:tcW w:w="1307"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标的名称</w:t>
            </w:r>
          </w:p>
        </w:tc>
        <w:tc>
          <w:tcPr>
            <w:tcW w:w="2283" w:type="dxa"/>
            <w:gridSpan w:val="2"/>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技术要求</w:t>
            </w:r>
          </w:p>
        </w:tc>
        <w:tc>
          <w:tcPr>
            <w:tcW w:w="2611"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响应内容</w:t>
            </w:r>
          </w:p>
        </w:tc>
        <w:tc>
          <w:tcPr>
            <w:tcW w:w="1467"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偏离程度</w:t>
            </w:r>
          </w:p>
        </w:tc>
        <w:tc>
          <w:tcPr>
            <w:tcW w:w="934"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1307" w:type="dxa"/>
            <w:vMerge w:val="restart"/>
            <w:tcBorders>
              <w:bottom w:val="nil"/>
            </w:tcBorders>
            <w:shd w:val="clear" w:color="auto" w:fill="auto"/>
            <w:vAlign w:val="center"/>
          </w:tcPr>
          <w:p>
            <w:pPr>
              <w:jc w:val="cente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w:t>
            </w: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1.1…</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rFonts w:hint="eastAsia" w:ascii="宋体" w:hAnsi="宋体" w:eastAsia="宋体" w:cs="宋体"/>
                <w:color w:val="auto"/>
              </w:rPr>
            </w:pPr>
          </w:p>
        </w:tc>
        <w:tc>
          <w:tcPr>
            <w:tcW w:w="1307" w:type="dxa"/>
            <w:vMerge w:val="continue"/>
            <w:tcBorders>
              <w:top w:val="nil"/>
              <w:bottom w:val="nil"/>
            </w:tcBorders>
            <w:shd w:val="clear" w:color="auto" w:fill="auto"/>
            <w:vAlign w:val="center"/>
          </w:tcPr>
          <w:p>
            <w:pP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1.2…</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pPr>
              <w:rPr>
                <w:rFonts w:hint="eastAsia" w:ascii="宋体" w:hAnsi="宋体" w:eastAsia="宋体" w:cs="宋体"/>
                <w:color w:val="auto"/>
              </w:rPr>
            </w:pPr>
          </w:p>
        </w:tc>
        <w:tc>
          <w:tcPr>
            <w:tcW w:w="1307" w:type="dxa"/>
            <w:vMerge w:val="continue"/>
            <w:tcBorders>
              <w:top w:val="nil"/>
            </w:tcBorders>
            <w:shd w:val="clear" w:color="auto" w:fill="auto"/>
            <w:vAlign w:val="center"/>
          </w:tcPr>
          <w:p>
            <w:pP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1307" w:type="dxa"/>
            <w:vMerge w:val="restart"/>
            <w:tcBorders>
              <w:bottom w:val="nil"/>
            </w:tcBorders>
            <w:shd w:val="clear" w:color="auto" w:fill="auto"/>
            <w:vAlign w:val="center"/>
          </w:tcPr>
          <w:p>
            <w:pPr>
              <w:jc w:val="cente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w:t>
            </w: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2.1…</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pPr>
              <w:rPr>
                <w:rFonts w:hint="eastAsia" w:ascii="宋体" w:hAnsi="宋体" w:eastAsia="宋体" w:cs="宋体"/>
                <w:color w:val="auto"/>
              </w:rPr>
            </w:pPr>
          </w:p>
        </w:tc>
        <w:tc>
          <w:tcPr>
            <w:tcW w:w="1307" w:type="dxa"/>
            <w:vMerge w:val="continue"/>
            <w:tcBorders>
              <w:top w:val="nil"/>
              <w:bottom w:val="nil"/>
            </w:tcBorders>
            <w:shd w:val="clear" w:color="auto" w:fill="auto"/>
            <w:vAlign w:val="center"/>
          </w:tcPr>
          <w:p>
            <w:pP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2.2…</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pPr>
              <w:rPr>
                <w:rFonts w:hint="eastAsia" w:ascii="宋体" w:hAnsi="宋体" w:eastAsia="宋体" w:cs="宋体"/>
                <w:color w:val="auto"/>
              </w:rPr>
            </w:pPr>
          </w:p>
        </w:tc>
        <w:tc>
          <w:tcPr>
            <w:tcW w:w="1307" w:type="dxa"/>
            <w:vMerge w:val="continue"/>
            <w:tcBorders>
              <w:top w:val="nil"/>
            </w:tcBorders>
            <w:shd w:val="clear" w:color="auto" w:fill="auto"/>
            <w:vAlign w:val="center"/>
          </w:tcPr>
          <w:p>
            <w:pP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p>
        </w:tc>
        <w:tc>
          <w:tcPr>
            <w:tcW w:w="1239" w:type="dxa"/>
            <w:shd w:val="clear" w:color="auto" w:fill="auto"/>
            <w:vAlign w:val="center"/>
          </w:tcPr>
          <w:p>
            <w:pPr>
              <w:jc w:val="center"/>
              <w:rPr>
                <w:rFonts w:hint="eastAsia" w:ascii="宋体" w:hAnsi="宋体" w:eastAsia="宋体" w:cs="宋体"/>
                <w:color w:val="auto"/>
              </w:rPr>
            </w:pPr>
            <w:r>
              <w:rPr>
                <w:rFonts w:hint="eastAsia" w:ascii="宋体" w:hAnsi="宋体" w:eastAsia="宋体" w:cs="宋体"/>
                <w:color w:val="auto"/>
              </w:rPr>
              <w:t>…</w:t>
            </w: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pPr>
              <w:jc w:val="center"/>
              <w:rPr>
                <w:rFonts w:hint="eastAsia" w:ascii="宋体" w:hAnsi="宋体" w:eastAsia="宋体" w:cs="宋体"/>
                <w:color w:val="auto"/>
              </w:rPr>
            </w:pPr>
          </w:p>
        </w:tc>
        <w:tc>
          <w:tcPr>
            <w:tcW w:w="1307" w:type="dxa"/>
            <w:shd w:val="clear" w:color="auto" w:fill="auto"/>
            <w:vAlign w:val="center"/>
          </w:tcPr>
          <w:p>
            <w:pPr>
              <w:jc w:val="center"/>
              <w:rPr>
                <w:rFonts w:hint="eastAsia" w:ascii="宋体" w:hAnsi="宋体" w:eastAsia="宋体" w:cs="宋体"/>
                <w:color w:val="auto"/>
              </w:rPr>
            </w:pPr>
          </w:p>
        </w:tc>
        <w:tc>
          <w:tcPr>
            <w:tcW w:w="1044" w:type="dxa"/>
            <w:shd w:val="clear" w:color="auto" w:fill="auto"/>
            <w:vAlign w:val="center"/>
          </w:tcPr>
          <w:p>
            <w:pPr>
              <w:jc w:val="center"/>
              <w:rPr>
                <w:rFonts w:hint="eastAsia" w:ascii="宋体" w:hAnsi="宋体" w:eastAsia="宋体" w:cs="宋体"/>
                <w:color w:val="auto"/>
              </w:rPr>
            </w:pPr>
          </w:p>
        </w:tc>
        <w:tc>
          <w:tcPr>
            <w:tcW w:w="1239" w:type="dxa"/>
            <w:shd w:val="clear" w:color="auto" w:fill="auto"/>
            <w:vAlign w:val="center"/>
          </w:tcPr>
          <w:p>
            <w:pPr>
              <w:jc w:val="center"/>
              <w:rPr>
                <w:rFonts w:hint="eastAsia" w:ascii="宋体" w:hAnsi="宋体" w:eastAsia="宋体" w:cs="宋体"/>
                <w:color w:val="auto"/>
              </w:rPr>
            </w:pPr>
          </w:p>
        </w:tc>
        <w:tc>
          <w:tcPr>
            <w:tcW w:w="2611" w:type="dxa"/>
            <w:shd w:val="clear" w:color="auto" w:fill="auto"/>
            <w:vAlign w:val="center"/>
          </w:tcPr>
          <w:p>
            <w:pPr>
              <w:jc w:val="center"/>
              <w:rPr>
                <w:rFonts w:hint="eastAsia" w:ascii="宋体" w:hAnsi="宋体" w:eastAsia="宋体" w:cs="宋体"/>
                <w:color w:val="auto"/>
              </w:rPr>
            </w:pPr>
          </w:p>
        </w:tc>
        <w:tc>
          <w:tcPr>
            <w:tcW w:w="1467" w:type="dxa"/>
            <w:shd w:val="clear" w:color="auto" w:fill="auto"/>
            <w:vAlign w:val="center"/>
          </w:tcPr>
          <w:p>
            <w:pPr>
              <w:jc w:val="center"/>
              <w:rPr>
                <w:rFonts w:hint="eastAsia" w:ascii="宋体" w:hAnsi="宋体" w:eastAsia="宋体" w:cs="宋体"/>
                <w:color w:val="auto"/>
              </w:rPr>
            </w:pPr>
          </w:p>
        </w:tc>
        <w:tc>
          <w:tcPr>
            <w:tcW w:w="934" w:type="dxa"/>
            <w:shd w:val="clear" w:color="auto" w:fill="auto"/>
            <w:vAlign w:val="center"/>
          </w:tcPr>
          <w:p>
            <w:pPr>
              <w:jc w:val="center"/>
              <w:rPr>
                <w:rFonts w:hint="eastAsia" w:ascii="宋体" w:hAnsi="宋体" w:eastAsia="宋体" w:cs="宋体"/>
                <w:color w:val="auto"/>
              </w:rPr>
            </w:pPr>
          </w:p>
        </w:tc>
      </w:tr>
    </w:tbl>
    <w:p>
      <w:pPr>
        <w:kinsoku/>
        <w:spacing w:before="240" w:beforeLines="10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1.“技术要求”栏应详细列明磋商文件中的技术要求。</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2.“响应内容”栏填写供应商对磋商文件提出的技术要求作出的明确响应，并列明具体响应数值或内容，只注明符合、满足等无具体内容表述的，将视为未实质性满足磋商文件要求。</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3.“偏离程度”栏填写满足、响应或正偏离、负偏离。</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4.“备注”栏填写偏离情况的具体说明。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5.本表填写内容与分项报价明细表不一致的，以分项报价明细表内容为准。</w:t>
      </w:r>
    </w:p>
    <w:p>
      <w:pPr>
        <w:kinsoku/>
        <w:spacing w:line="360" w:lineRule="auto"/>
        <w:ind w:firstLine="480" w:firstLineChars="200"/>
        <w:rPr>
          <w:rFonts w:hint="eastAsia" w:ascii="宋体" w:hAnsi="宋体" w:eastAsia="宋体" w:cs="宋体"/>
          <w:color w:val="auto"/>
          <w:sz w:val="24"/>
          <w:szCs w:val="24"/>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十八、项目组成人员一览表</w:t>
      </w:r>
    </w:p>
    <w:tbl>
      <w:tblPr>
        <w:tblStyle w:val="21"/>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66"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233"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本项目拟任职务</w:t>
            </w:r>
          </w:p>
        </w:tc>
        <w:tc>
          <w:tcPr>
            <w:tcW w:w="765"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2061"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职称或执业资格</w:t>
            </w:r>
          </w:p>
        </w:tc>
        <w:tc>
          <w:tcPr>
            <w:tcW w:w="1256"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w:t>
            </w:r>
          </w:p>
        </w:tc>
        <w:tc>
          <w:tcPr>
            <w:tcW w:w="125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66" w:type="dxa"/>
            <w:shd w:val="clear" w:color="auto" w:fill="auto"/>
            <w:vAlign w:val="center"/>
          </w:tcPr>
          <w:p>
            <w:pPr>
              <w:jc w:val="center"/>
              <w:rPr>
                <w:rFonts w:hint="eastAsia" w:ascii="宋体" w:hAnsi="宋体" w:eastAsia="宋体" w:cs="宋体"/>
                <w:color w:val="auto"/>
                <w:sz w:val="24"/>
                <w:szCs w:val="24"/>
              </w:rPr>
            </w:pPr>
          </w:p>
        </w:tc>
        <w:tc>
          <w:tcPr>
            <w:tcW w:w="2233" w:type="dxa"/>
            <w:shd w:val="clear" w:color="auto" w:fill="auto"/>
            <w:vAlign w:val="center"/>
          </w:tcPr>
          <w:p>
            <w:pPr>
              <w:jc w:val="center"/>
              <w:rPr>
                <w:rFonts w:hint="eastAsia" w:ascii="宋体" w:hAnsi="宋体" w:eastAsia="宋体" w:cs="宋体"/>
                <w:color w:val="auto"/>
                <w:sz w:val="24"/>
                <w:szCs w:val="24"/>
              </w:rPr>
            </w:pPr>
          </w:p>
        </w:tc>
        <w:tc>
          <w:tcPr>
            <w:tcW w:w="765" w:type="dxa"/>
            <w:shd w:val="clear" w:color="auto" w:fill="auto"/>
            <w:vAlign w:val="center"/>
          </w:tcPr>
          <w:p>
            <w:pPr>
              <w:jc w:val="center"/>
              <w:rPr>
                <w:rFonts w:hint="eastAsia" w:ascii="宋体" w:hAnsi="宋体" w:eastAsia="宋体" w:cs="宋体"/>
                <w:color w:val="auto"/>
                <w:sz w:val="24"/>
                <w:szCs w:val="24"/>
              </w:rPr>
            </w:pPr>
          </w:p>
        </w:tc>
        <w:tc>
          <w:tcPr>
            <w:tcW w:w="2061" w:type="dxa"/>
            <w:shd w:val="clear" w:color="auto" w:fill="auto"/>
            <w:vAlign w:val="center"/>
          </w:tcPr>
          <w:p>
            <w:pPr>
              <w:jc w:val="center"/>
              <w:rPr>
                <w:rFonts w:hint="eastAsia" w:ascii="宋体" w:hAnsi="宋体" w:eastAsia="宋体" w:cs="宋体"/>
                <w:color w:val="auto"/>
                <w:sz w:val="24"/>
                <w:szCs w:val="24"/>
              </w:rPr>
            </w:pPr>
          </w:p>
        </w:tc>
        <w:tc>
          <w:tcPr>
            <w:tcW w:w="1256" w:type="dxa"/>
            <w:shd w:val="clear" w:color="auto" w:fill="auto"/>
            <w:vAlign w:val="center"/>
          </w:tcPr>
          <w:p>
            <w:pPr>
              <w:jc w:val="center"/>
              <w:rPr>
                <w:rFonts w:hint="eastAsia" w:ascii="宋体" w:hAnsi="宋体" w:eastAsia="宋体" w:cs="宋体"/>
                <w:color w:val="auto"/>
                <w:sz w:val="24"/>
                <w:szCs w:val="24"/>
              </w:rPr>
            </w:pPr>
          </w:p>
        </w:tc>
        <w:tc>
          <w:tcPr>
            <w:tcW w:w="125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66" w:type="dxa"/>
            <w:shd w:val="clear" w:color="auto" w:fill="auto"/>
            <w:vAlign w:val="center"/>
          </w:tcPr>
          <w:p>
            <w:pPr>
              <w:jc w:val="center"/>
              <w:rPr>
                <w:rFonts w:hint="eastAsia" w:ascii="宋体" w:hAnsi="宋体" w:eastAsia="宋体" w:cs="宋体"/>
                <w:color w:val="auto"/>
                <w:sz w:val="24"/>
                <w:szCs w:val="24"/>
              </w:rPr>
            </w:pPr>
          </w:p>
        </w:tc>
        <w:tc>
          <w:tcPr>
            <w:tcW w:w="2233" w:type="dxa"/>
            <w:shd w:val="clear" w:color="auto" w:fill="auto"/>
            <w:vAlign w:val="center"/>
          </w:tcPr>
          <w:p>
            <w:pPr>
              <w:jc w:val="center"/>
              <w:rPr>
                <w:rFonts w:hint="eastAsia" w:ascii="宋体" w:hAnsi="宋体" w:eastAsia="宋体" w:cs="宋体"/>
                <w:color w:val="auto"/>
                <w:sz w:val="24"/>
                <w:szCs w:val="24"/>
              </w:rPr>
            </w:pPr>
          </w:p>
        </w:tc>
        <w:tc>
          <w:tcPr>
            <w:tcW w:w="765" w:type="dxa"/>
            <w:shd w:val="clear" w:color="auto" w:fill="auto"/>
            <w:vAlign w:val="center"/>
          </w:tcPr>
          <w:p>
            <w:pPr>
              <w:jc w:val="center"/>
              <w:rPr>
                <w:rFonts w:hint="eastAsia" w:ascii="宋体" w:hAnsi="宋体" w:eastAsia="宋体" w:cs="宋体"/>
                <w:color w:val="auto"/>
                <w:sz w:val="24"/>
                <w:szCs w:val="24"/>
              </w:rPr>
            </w:pPr>
          </w:p>
        </w:tc>
        <w:tc>
          <w:tcPr>
            <w:tcW w:w="2061" w:type="dxa"/>
            <w:shd w:val="clear" w:color="auto" w:fill="auto"/>
            <w:vAlign w:val="center"/>
          </w:tcPr>
          <w:p>
            <w:pPr>
              <w:jc w:val="center"/>
              <w:rPr>
                <w:rFonts w:hint="eastAsia" w:ascii="宋体" w:hAnsi="宋体" w:eastAsia="宋体" w:cs="宋体"/>
                <w:color w:val="auto"/>
                <w:sz w:val="24"/>
                <w:szCs w:val="24"/>
              </w:rPr>
            </w:pPr>
          </w:p>
        </w:tc>
        <w:tc>
          <w:tcPr>
            <w:tcW w:w="1256" w:type="dxa"/>
            <w:shd w:val="clear" w:color="auto" w:fill="auto"/>
            <w:vAlign w:val="center"/>
          </w:tcPr>
          <w:p>
            <w:pPr>
              <w:jc w:val="center"/>
              <w:rPr>
                <w:rFonts w:hint="eastAsia" w:ascii="宋体" w:hAnsi="宋体" w:eastAsia="宋体" w:cs="宋体"/>
                <w:color w:val="auto"/>
                <w:sz w:val="24"/>
                <w:szCs w:val="24"/>
              </w:rPr>
            </w:pPr>
          </w:p>
        </w:tc>
        <w:tc>
          <w:tcPr>
            <w:tcW w:w="125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66" w:type="dxa"/>
            <w:shd w:val="clear" w:color="auto" w:fill="auto"/>
            <w:vAlign w:val="center"/>
          </w:tcPr>
          <w:p>
            <w:pPr>
              <w:jc w:val="center"/>
              <w:rPr>
                <w:rFonts w:hint="eastAsia" w:ascii="宋体" w:hAnsi="宋体" w:eastAsia="宋体" w:cs="宋体"/>
                <w:color w:val="auto"/>
                <w:sz w:val="24"/>
                <w:szCs w:val="24"/>
              </w:rPr>
            </w:pPr>
          </w:p>
        </w:tc>
        <w:tc>
          <w:tcPr>
            <w:tcW w:w="2233" w:type="dxa"/>
            <w:shd w:val="clear" w:color="auto" w:fill="auto"/>
            <w:vAlign w:val="center"/>
          </w:tcPr>
          <w:p>
            <w:pPr>
              <w:jc w:val="center"/>
              <w:rPr>
                <w:rFonts w:hint="eastAsia" w:ascii="宋体" w:hAnsi="宋体" w:eastAsia="宋体" w:cs="宋体"/>
                <w:color w:val="auto"/>
                <w:sz w:val="24"/>
                <w:szCs w:val="24"/>
              </w:rPr>
            </w:pPr>
          </w:p>
        </w:tc>
        <w:tc>
          <w:tcPr>
            <w:tcW w:w="765" w:type="dxa"/>
            <w:shd w:val="clear" w:color="auto" w:fill="auto"/>
            <w:vAlign w:val="center"/>
          </w:tcPr>
          <w:p>
            <w:pPr>
              <w:jc w:val="center"/>
              <w:rPr>
                <w:rFonts w:hint="eastAsia" w:ascii="宋体" w:hAnsi="宋体" w:eastAsia="宋体" w:cs="宋体"/>
                <w:color w:val="auto"/>
                <w:sz w:val="24"/>
                <w:szCs w:val="24"/>
              </w:rPr>
            </w:pPr>
          </w:p>
        </w:tc>
        <w:tc>
          <w:tcPr>
            <w:tcW w:w="2061" w:type="dxa"/>
            <w:shd w:val="clear" w:color="auto" w:fill="auto"/>
            <w:vAlign w:val="center"/>
          </w:tcPr>
          <w:p>
            <w:pPr>
              <w:jc w:val="center"/>
              <w:rPr>
                <w:rFonts w:hint="eastAsia" w:ascii="宋体" w:hAnsi="宋体" w:eastAsia="宋体" w:cs="宋体"/>
                <w:color w:val="auto"/>
                <w:sz w:val="24"/>
                <w:szCs w:val="24"/>
              </w:rPr>
            </w:pPr>
          </w:p>
        </w:tc>
        <w:tc>
          <w:tcPr>
            <w:tcW w:w="1256" w:type="dxa"/>
            <w:shd w:val="clear" w:color="auto" w:fill="auto"/>
            <w:vAlign w:val="center"/>
          </w:tcPr>
          <w:p>
            <w:pPr>
              <w:jc w:val="center"/>
              <w:rPr>
                <w:rFonts w:hint="eastAsia" w:ascii="宋体" w:hAnsi="宋体" w:eastAsia="宋体" w:cs="宋体"/>
                <w:color w:val="auto"/>
                <w:sz w:val="24"/>
                <w:szCs w:val="24"/>
              </w:rPr>
            </w:pPr>
          </w:p>
        </w:tc>
        <w:tc>
          <w:tcPr>
            <w:tcW w:w="125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66" w:type="dxa"/>
            <w:shd w:val="clear" w:color="auto" w:fill="auto"/>
            <w:vAlign w:val="center"/>
          </w:tcPr>
          <w:p>
            <w:pPr>
              <w:jc w:val="center"/>
              <w:rPr>
                <w:rFonts w:hint="eastAsia" w:ascii="宋体" w:hAnsi="宋体" w:eastAsia="宋体" w:cs="宋体"/>
                <w:color w:val="auto"/>
                <w:sz w:val="24"/>
                <w:szCs w:val="24"/>
              </w:rPr>
            </w:pPr>
          </w:p>
        </w:tc>
        <w:tc>
          <w:tcPr>
            <w:tcW w:w="2233" w:type="dxa"/>
            <w:shd w:val="clear" w:color="auto" w:fill="auto"/>
            <w:vAlign w:val="center"/>
          </w:tcPr>
          <w:p>
            <w:pPr>
              <w:jc w:val="center"/>
              <w:rPr>
                <w:rFonts w:hint="eastAsia" w:ascii="宋体" w:hAnsi="宋体" w:eastAsia="宋体" w:cs="宋体"/>
                <w:color w:val="auto"/>
                <w:sz w:val="24"/>
                <w:szCs w:val="24"/>
              </w:rPr>
            </w:pPr>
          </w:p>
        </w:tc>
        <w:tc>
          <w:tcPr>
            <w:tcW w:w="765" w:type="dxa"/>
            <w:shd w:val="clear" w:color="auto" w:fill="auto"/>
            <w:vAlign w:val="center"/>
          </w:tcPr>
          <w:p>
            <w:pPr>
              <w:jc w:val="center"/>
              <w:rPr>
                <w:rFonts w:hint="eastAsia" w:ascii="宋体" w:hAnsi="宋体" w:eastAsia="宋体" w:cs="宋体"/>
                <w:color w:val="auto"/>
                <w:sz w:val="24"/>
                <w:szCs w:val="24"/>
              </w:rPr>
            </w:pPr>
          </w:p>
        </w:tc>
        <w:tc>
          <w:tcPr>
            <w:tcW w:w="2061" w:type="dxa"/>
            <w:shd w:val="clear" w:color="auto" w:fill="auto"/>
            <w:vAlign w:val="center"/>
          </w:tcPr>
          <w:p>
            <w:pPr>
              <w:jc w:val="center"/>
              <w:rPr>
                <w:rFonts w:hint="eastAsia" w:ascii="宋体" w:hAnsi="宋体" w:eastAsia="宋体" w:cs="宋体"/>
                <w:color w:val="auto"/>
                <w:sz w:val="24"/>
                <w:szCs w:val="24"/>
              </w:rPr>
            </w:pPr>
          </w:p>
        </w:tc>
        <w:tc>
          <w:tcPr>
            <w:tcW w:w="1256" w:type="dxa"/>
            <w:shd w:val="clear" w:color="auto" w:fill="auto"/>
            <w:vAlign w:val="center"/>
          </w:tcPr>
          <w:p>
            <w:pPr>
              <w:jc w:val="center"/>
              <w:rPr>
                <w:rFonts w:hint="eastAsia" w:ascii="宋体" w:hAnsi="宋体" w:eastAsia="宋体" w:cs="宋体"/>
                <w:color w:val="auto"/>
                <w:sz w:val="24"/>
                <w:szCs w:val="24"/>
              </w:rPr>
            </w:pPr>
          </w:p>
        </w:tc>
        <w:tc>
          <w:tcPr>
            <w:tcW w:w="1258" w:type="dxa"/>
            <w:shd w:val="clear" w:color="auto" w:fill="auto"/>
            <w:vAlign w:val="center"/>
          </w:tcPr>
          <w:p>
            <w:pPr>
              <w:jc w:val="center"/>
              <w:rPr>
                <w:rFonts w:hint="eastAsia" w:ascii="宋体" w:hAnsi="宋体" w:eastAsia="宋体" w:cs="宋体"/>
                <w:color w:val="auto"/>
                <w:sz w:val="24"/>
                <w:szCs w:val="24"/>
              </w:rPr>
            </w:pPr>
          </w:p>
        </w:tc>
      </w:tr>
    </w:tbl>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根据上述人员情况及磋商文件要求在本表后附相关证明材料。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1.“本项目拟任职务”栏可包括：项目负责人、项目联系人、项目服务人员或技术人员等。</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2.如供应商成交，须按本表项目组成人员操作，不得随意更换。</w:t>
      </w:r>
    </w:p>
    <w:p>
      <w:pPr>
        <w:kinsoku/>
        <w:spacing w:line="360" w:lineRule="auto"/>
        <w:ind w:firstLine="480" w:firstLineChars="200"/>
        <w:rPr>
          <w:rFonts w:hint="eastAsia" w:ascii="宋体" w:hAnsi="宋体" w:eastAsia="宋体" w:cs="宋体"/>
          <w:color w:val="auto"/>
          <w:sz w:val="24"/>
          <w:szCs w:val="24"/>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十九、项目实施方案、质量保证及售后服务承诺等</w:t>
      </w:r>
    </w:p>
    <w:p>
      <w:pPr>
        <w:kinsoku/>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（内容和格式自拟）</w:t>
      </w:r>
    </w:p>
    <w:p>
      <w:pPr>
        <w:kinsoku/>
        <w:spacing w:line="360" w:lineRule="auto"/>
        <w:ind w:firstLine="480" w:firstLineChars="200"/>
        <w:rPr>
          <w:rFonts w:hint="eastAsia" w:ascii="宋体" w:hAnsi="宋体" w:eastAsia="宋体" w:cs="宋体"/>
          <w:color w:val="auto"/>
          <w:sz w:val="24"/>
          <w:szCs w:val="24"/>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二十、供应商业绩情况表</w:t>
      </w:r>
    </w:p>
    <w:tbl>
      <w:tblPr>
        <w:tblStyle w:val="21"/>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41"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使用单位</w:t>
            </w:r>
          </w:p>
        </w:tc>
        <w:tc>
          <w:tcPr>
            <w:tcW w:w="1941"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业绩名称</w:t>
            </w:r>
          </w:p>
        </w:tc>
        <w:tc>
          <w:tcPr>
            <w:tcW w:w="1941"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w:t>
            </w:r>
          </w:p>
        </w:tc>
        <w:tc>
          <w:tcPr>
            <w:tcW w:w="194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8" w:type="dxa"/>
            <w:shd w:val="clear" w:color="auto" w:fill="auto"/>
            <w:vAlign w:val="center"/>
          </w:tcPr>
          <w:p>
            <w:pPr>
              <w:jc w:val="center"/>
              <w:rPr>
                <w:rFonts w:hint="eastAsia" w:ascii="宋体" w:hAnsi="宋体" w:eastAsia="宋体" w:cs="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1" w:type="dxa"/>
            <w:shd w:val="clear" w:color="auto" w:fill="auto"/>
            <w:vAlign w:val="center"/>
          </w:tcPr>
          <w:p>
            <w:pPr>
              <w:jc w:val="center"/>
              <w:rPr>
                <w:rFonts w:hint="eastAsia" w:ascii="宋体" w:hAnsi="宋体" w:eastAsia="宋体" w:cs="宋体"/>
                <w:color w:val="auto"/>
                <w:sz w:val="24"/>
                <w:szCs w:val="24"/>
              </w:rPr>
            </w:pPr>
          </w:p>
        </w:tc>
        <w:tc>
          <w:tcPr>
            <w:tcW w:w="1948" w:type="dxa"/>
            <w:shd w:val="clear" w:color="auto" w:fill="auto"/>
            <w:vAlign w:val="center"/>
          </w:tcPr>
          <w:p>
            <w:pPr>
              <w:jc w:val="center"/>
              <w:rPr>
                <w:rFonts w:hint="eastAsia" w:ascii="宋体" w:hAnsi="宋体" w:eastAsia="宋体" w:cs="宋体"/>
                <w:color w:val="auto"/>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供应商根据上述业绩情况及磋商文件要求后附相关证明材料。</w:t>
      </w:r>
    </w:p>
    <w:p>
      <w:pPr>
        <w:kinsoku/>
        <w:spacing w:line="360" w:lineRule="auto"/>
        <w:ind w:firstLine="480" w:firstLineChars="200"/>
        <w:rPr>
          <w:rFonts w:hint="eastAsia" w:ascii="宋体" w:hAnsi="宋体" w:eastAsia="宋体" w:cs="宋体"/>
          <w:color w:val="auto"/>
          <w:sz w:val="24"/>
          <w:szCs w:val="24"/>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（以下格式文件由供应商根据需要选用）</w:t>
      </w:r>
    </w:p>
    <w:p>
      <w:pPr>
        <w:kinsoku/>
        <w:spacing w:line="360" w:lineRule="auto"/>
        <w:ind w:left="0" w:leftChars="0" w:right="0" w:rightChars="0" w:firstLine="0" w:firstLineChars="0"/>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8"/>
          <w:szCs w:val="28"/>
          <w:lang w:eastAsia="zh-CN"/>
        </w:rPr>
        <w:t>二十一、其他证明材料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1.磋商文件要求提供的其他资料。</w:t>
      </w:r>
    </w:p>
    <w:p>
      <w:pPr>
        <w:kinsoku/>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2otJk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valIl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KWFC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ub1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KQpYUI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64f+HQIAACsEAAAOAAAAZHJz&#10;L2Uyb0RvYy54bWytU82O0zAQviPxDpbvNGlXrEr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vXub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brh/4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l5S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9JwOW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qZ1mI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TSgxTGNGp29fT9+fTj++&#10;ELwBoMaFGfw2Dp6xfWPbgka/F4Mp4D213kqv042mCFyA9vGCsGgj4XgcTyfTaQ4Th21QkCK7fnc+&#10;xLfCapKEgnqMsEOWHdYhnl0Hl5TN2FWtVDdGZUhT0JuXr/P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pnWY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pb80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8oY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ilvz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5u20HQIAACs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c0OJZgozOn39cvr24/T9&#10;M8EbAGqtn8FvY+EZutemK2hwezGYPN5j613lVLzRFIEL0D5eEBZdIByP4+lkOs1h4rANClJk1+/W&#10;+fBGGEWiUFCHESZk2WHtw9l1cInZtFk1UqYxSk3agt6+fJ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Tm7bQ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JAsI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v66oY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YkCwg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UwiK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e0O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pTCI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OFkURY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Omt6o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5YTN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jlhM0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qJ2Jx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v0bQoGwIAACsEAAAOAAAAZHJz&#10;L2Uyb0RvYy54bWytU8uO0zAU3SPxD5b3NGnR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fX2T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v0bQoGwIAACsEAAAOAAAAAAAAAAEAIAAAADU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ke42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kw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4ke42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HTBA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AQdMEA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MpAKU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LW7l30AAAAAIBAAAPAAAAAAAAAAEAIAAAADgAAABkcnMv&#10;ZG93bnJldi54bWxQSwECFAAUAAAACACHTuJAIcfMefUBAADBAwAADgAAAAAAAAABACAAAAA1AQAA&#10;ZHJzL2Uyb0RvYy54bWxQSwUGAAAAAAYABgBZAQAAnA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q7wH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mwk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FarvA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aVq7HgIAACs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TF/n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kaVq7HgIAACsEAAAOAAAAAAAAAAEAIAAAADUBAABkcnMvZTJvRG9jLnhtbFBL&#10;BQYAAAAABgAGAFkBAADF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4Kgg7HQIAACsEAAAOAAAAZHJz&#10;L2Uyb0RvYy54bWytU82O0zAQviPxDpbvNGkX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5ISzRRmdPr65fTtx+n7&#10;Z4I3ANRaP4PfxsIzdK9NV9Dg9mIwebzH1rvKqXijKQIXoH28ICy6QDgex9PJdJrDxGEbFKTIrt+t&#10;8+GNMIpEoaAOI0zIssPah7Pr4BKzabNqpExjlJq0Bb29eZW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gqCDs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6O6H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c0u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o7ocdAgAAKwQAAA4AAAAAAAAAAQAgAAAANQ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210"/>
  <w:drawingGridVerticalSpacing w:val="99999992"/>
  <w:displayHorizontalDrawingGridEvery w:val="1"/>
  <w:displayVerticalDrawingGridEvery w:val="1"/>
  <w:noPunctuationKerning w:val="true"/>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1D17C5"/>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8F67BB"/>
    <w:rsid w:val="10A2678D"/>
    <w:rsid w:val="10A342B4"/>
    <w:rsid w:val="10B06929"/>
    <w:rsid w:val="10BA4BD5"/>
    <w:rsid w:val="10CA0971"/>
    <w:rsid w:val="10D12BCF"/>
    <w:rsid w:val="10EF7769"/>
    <w:rsid w:val="10F36FE9"/>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A423A8"/>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7D4190"/>
    <w:rsid w:val="1B8D003A"/>
    <w:rsid w:val="1B8D1060"/>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2B7B0B"/>
    <w:rsid w:val="1D444728"/>
    <w:rsid w:val="1D4B1610"/>
    <w:rsid w:val="1D6E79F7"/>
    <w:rsid w:val="1D81336E"/>
    <w:rsid w:val="1DAB5DAA"/>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B66AE8"/>
    <w:rsid w:val="21F030D1"/>
    <w:rsid w:val="220A75A6"/>
    <w:rsid w:val="22600256"/>
    <w:rsid w:val="2274264E"/>
    <w:rsid w:val="22B12860"/>
    <w:rsid w:val="22CB7258"/>
    <w:rsid w:val="23156613"/>
    <w:rsid w:val="231E370F"/>
    <w:rsid w:val="234E4553"/>
    <w:rsid w:val="23741495"/>
    <w:rsid w:val="238008AB"/>
    <w:rsid w:val="23DC4779"/>
    <w:rsid w:val="23E6478B"/>
    <w:rsid w:val="23EC5421"/>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9C33F0"/>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7A79DB"/>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3170E0"/>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B073DC2"/>
    <w:rsid w:val="3B137FF8"/>
    <w:rsid w:val="3B395FEA"/>
    <w:rsid w:val="3B536111"/>
    <w:rsid w:val="3B924F66"/>
    <w:rsid w:val="3B9D63DC"/>
    <w:rsid w:val="3BAE1209"/>
    <w:rsid w:val="3BAE3989"/>
    <w:rsid w:val="3BBA0580"/>
    <w:rsid w:val="3BD7212D"/>
    <w:rsid w:val="3BD74C8E"/>
    <w:rsid w:val="3BFA097C"/>
    <w:rsid w:val="3BFD3F4B"/>
    <w:rsid w:val="3C1119BE"/>
    <w:rsid w:val="3C325F6A"/>
    <w:rsid w:val="3C533D2C"/>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981CE8"/>
    <w:rsid w:val="3EC43D05"/>
    <w:rsid w:val="3ED27D87"/>
    <w:rsid w:val="3EDC080D"/>
    <w:rsid w:val="3EE020AB"/>
    <w:rsid w:val="3EE8492E"/>
    <w:rsid w:val="3EED5823"/>
    <w:rsid w:val="3EF17F10"/>
    <w:rsid w:val="3F1735F3"/>
    <w:rsid w:val="3F240F03"/>
    <w:rsid w:val="3F287AAC"/>
    <w:rsid w:val="3F312907"/>
    <w:rsid w:val="3F447019"/>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235E2"/>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193AB6"/>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3B22BD"/>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9F7D09"/>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CB0003"/>
    <w:rsid w:val="55EE2EA8"/>
    <w:rsid w:val="55F028DC"/>
    <w:rsid w:val="55FD30EB"/>
    <w:rsid w:val="561A1EEF"/>
    <w:rsid w:val="56582A17"/>
    <w:rsid w:val="5687388E"/>
    <w:rsid w:val="569972B8"/>
    <w:rsid w:val="569A4B00"/>
    <w:rsid w:val="56AC41D2"/>
    <w:rsid w:val="56AD6028"/>
    <w:rsid w:val="56C1680E"/>
    <w:rsid w:val="56E2065A"/>
    <w:rsid w:val="56E338D3"/>
    <w:rsid w:val="56F97D56"/>
    <w:rsid w:val="56FD47C7"/>
    <w:rsid w:val="570E41BB"/>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EC2EB6"/>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D3710F"/>
    <w:rsid w:val="5DF52F95"/>
    <w:rsid w:val="5DF54CD0"/>
    <w:rsid w:val="5E20206C"/>
    <w:rsid w:val="5E2A6A47"/>
    <w:rsid w:val="5E3528F0"/>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D9037C"/>
    <w:rsid w:val="5FF74A0F"/>
    <w:rsid w:val="60017C7C"/>
    <w:rsid w:val="60104F22"/>
    <w:rsid w:val="60116111"/>
    <w:rsid w:val="601B4E22"/>
    <w:rsid w:val="60235E44"/>
    <w:rsid w:val="60251BBC"/>
    <w:rsid w:val="60292CCF"/>
    <w:rsid w:val="604858AA"/>
    <w:rsid w:val="605D7F9C"/>
    <w:rsid w:val="607C320C"/>
    <w:rsid w:val="60981E16"/>
    <w:rsid w:val="60A725D1"/>
    <w:rsid w:val="60B26BFD"/>
    <w:rsid w:val="60B50B1F"/>
    <w:rsid w:val="60D07D7A"/>
    <w:rsid w:val="60D64C64"/>
    <w:rsid w:val="6110461A"/>
    <w:rsid w:val="6138147B"/>
    <w:rsid w:val="61393D48"/>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20B46"/>
    <w:rsid w:val="65F71DB5"/>
    <w:rsid w:val="66150BC3"/>
    <w:rsid w:val="662F3849"/>
    <w:rsid w:val="6635242D"/>
    <w:rsid w:val="665A1E94"/>
    <w:rsid w:val="667C62AE"/>
    <w:rsid w:val="667D0FD4"/>
    <w:rsid w:val="669E7BD0"/>
    <w:rsid w:val="66A15C58"/>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C06926"/>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6A0BA5"/>
    <w:rsid w:val="6C7A503E"/>
    <w:rsid w:val="6C9C4FB4"/>
    <w:rsid w:val="6CA02C98"/>
    <w:rsid w:val="6CF74C85"/>
    <w:rsid w:val="6D194857"/>
    <w:rsid w:val="6D3F3B91"/>
    <w:rsid w:val="6D401DE3"/>
    <w:rsid w:val="6D463172"/>
    <w:rsid w:val="6DB23417"/>
    <w:rsid w:val="6DB327B5"/>
    <w:rsid w:val="6DD16EDF"/>
    <w:rsid w:val="6DD43CBA"/>
    <w:rsid w:val="6DDA24CA"/>
    <w:rsid w:val="6E1F7C4B"/>
    <w:rsid w:val="6E364F94"/>
    <w:rsid w:val="6E8937A9"/>
    <w:rsid w:val="6ECE17D3"/>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3FA5630"/>
    <w:rsid w:val="740B04E1"/>
    <w:rsid w:val="74100F6E"/>
    <w:rsid w:val="742064CB"/>
    <w:rsid w:val="74264E1B"/>
    <w:rsid w:val="742A559B"/>
    <w:rsid w:val="743704F7"/>
    <w:rsid w:val="74384AB6"/>
    <w:rsid w:val="744523D5"/>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F05BB"/>
    <w:rsid w:val="77C27899"/>
    <w:rsid w:val="78596547"/>
    <w:rsid w:val="78743289"/>
    <w:rsid w:val="7879089F"/>
    <w:rsid w:val="789C633C"/>
    <w:rsid w:val="78B24F5D"/>
    <w:rsid w:val="78D12489"/>
    <w:rsid w:val="78D464FE"/>
    <w:rsid w:val="78E3111F"/>
    <w:rsid w:val="79200C4B"/>
    <w:rsid w:val="7925E937"/>
    <w:rsid w:val="79704F04"/>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F0C5FC9"/>
    <w:rsid w:val="7F3B6D7B"/>
    <w:rsid w:val="7F506F1B"/>
    <w:rsid w:val="7F587460"/>
    <w:rsid w:val="7F7D04DF"/>
    <w:rsid w:val="7F995383"/>
    <w:rsid w:val="7FBD5515"/>
    <w:rsid w:val="7FBF128D"/>
    <w:rsid w:val="7FCB5E84"/>
    <w:rsid w:val="7FFC4290"/>
    <w:rsid w:val="FFFAB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paragraph" w:styleId="5">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0"/>
    <w:pPr>
      <w:ind w:firstLine="200" w:firstLineChars="200"/>
    </w:pPr>
  </w:style>
  <w:style w:type="paragraph" w:styleId="8">
    <w:name w:val="Body Text"/>
    <w:basedOn w:val="1"/>
    <w:next w:val="9"/>
    <w:qFormat/>
    <w:uiPriority w:val="0"/>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Quote1"/>
    <w:basedOn w:val="1"/>
    <w:next w:val="1"/>
    <w:qFormat/>
    <w:uiPriority w:val="0"/>
    <w:pPr>
      <w:widowControl/>
      <w:wordWrap w:val="0"/>
      <w:spacing w:before="200" w:after="160"/>
      <w:ind w:left="864" w:right="864"/>
      <w:jc w:val="center"/>
    </w:pPr>
    <w:rPr>
      <w:rFonts w:ascii="宋体"/>
      <w:i/>
      <w:color w:val="404040"/>
    </w:rPr>
  </w:style>
  <w:style w:type="paragraph" w:styleId="11">
    <w:name w:val="Body Text Indent"/>
    <w:basedOn w:val="1"/>
    <w:next w:val="1"/>
    <w:qFormat/>
    <w:uiPriority w:val="0"/>
    <w:pPr>
      <w:spacing w:after="120"/>
      <w:ind w:left="200" w:leftChars="200"/>
    </w:p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tabs>
        <w:tab w:val="left" w:pos="1140"/>
      </w:tabs>
      <w:ind w:firstLine="200" w:firstLineChars="200"/>
    </w:pPr>
    <w:rPr>
      <w:sz w:val="28"/>
      <w:szCs w:val="20"/>
    </w:rPr>
  </w:style>
  <w:style w:type="paragraph" w:styleId="14">
    <w:name w:val="footer"/>
    <w:basedOn w:val="1"/>
    <w:qFormat/>
    <w:uiPriority w:val="0"/>
    <w:pPr>
      <w:tabs>
        <w:tab w:val="center" w:pos="4153"/>
        <w:tab w:val="right" w:pos="8306"/>
      </w:tabs>
    </w:pPr>
    <w:rPr>
      <w:sz w:val="18"/>
    </w:rPr>
  </w:style>
  <w:style w:type="paragraph" w:styleId="15">
    <w:name w:val="toc 1"/>
    <w:basedOn w:val="1"/>
    <w:next w:val="1"/>
    <w:qFormat/>
    <w:uiPriority w:val="0"/>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8">
    <w:name w:val="Normal (Web)"/>
    <w:basedOn w:val="1"/>
    <w:semiHidden/>
    <w:unhideWhenUsed/>
    <w:qFormat/>
    <w:uiPriority w:val="99"/>
    <w:rPr>
      <w:sz w:val="24"/>
    </w:rPr>
  </w:style>
  <w:style w:type="paragraph" w:styleId="19">
    <w:name w:val="Body Text First Indent"/>
    <w:basedOn w:val="8"/>
    <w:next w:val="20"/>
    <w:qFormat/>
    <w:uiPriority w:val="99"/>
    <w:pPr>
      <w:ind w:firstLine="420" w:firstLineChars="100"/>
    </w:pPr>
    <w:rPr>
      <w:kern w:val="0"/>
      <w:sz w:val="24"/>
    </w:rPr>
  </w:style>
  <w:style w:type="paragraph" w:styleId="20">
    <w:name w:val="Body Text First Indent 2"/>
    <w:basedOn w:val="11"/>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UserStyle_1"/>
    <w:basedOn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customStyle="1" w:styleId="29">
    <w:name w:val="wang正文"/>
    <w:basedOn w:val="1"/>
    <w:qFormat/>
    <w:uiPriority w:val="0"/>
    <w:pPr>
      <w:tabs>
        <w:tab w:val="left" w:pos="6840"/>
      </w:tabs>
      <w:topLinePunct/>
      <w:ind w:firstLine="420"/>
    </w:pPr>
    <w:rPr>
      <w:kern w:val="0"/>
      <w:szCs w:val="20"/>
    </w:rPr>
  </w:style>
  <w:style w:type="paragraph" w:customStyle="1" w:styleId="30">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Table Text"/>
    <w:basedOn w:val="1"/>
    <w:qFormat/>
    <w:uiPriority w:val="0"/>
    <w:rPr>
      <w:rFonts w:ascii="宋体" w:eastAsia="宋体" w:cs="宋体"/>
      <w:sz w:val="19"/>
      <w:szCs w:val="19"/>
    </w:rPr>
  </w:style>
  <w:style w:type="paragraph" w:customStyle="1" w:styleId="33">
    <w:name w:val="Table Paragraph"/>
    <w:basedOn w:val="1"/>
    <w:qFormat/>
    <w:uiPriority w:val="0"/>
    <w:rPr>
      <w:rFonts w:ascii="楷体" w:eastAsia="楷体" w:cs="楷体"/>
      <w:lang w:val="zh-CN" w:eastAsia="zh-CN" w:bidi="zh-CN"/>
    </w:rPr>
  </w:style>
  <w:style w:type="paragraph" w:customStyle="1" w:styleId="34">
    <w:name w:val="列表段落1"/>
    <w:basedOn w:val="1"/>
    <w:qFormat/>
    <w:uiPriority w:val="0"/>
    <w:pPr>
      <w:ind w:firstLine="200" w:firstLineChars="200"/>
    </w:pPr>
  </w:style>
  <w:style w:type="paragraph" w:customStyle="1" w:styleId="35">
    <w:name w:val="普通(网站)1"/>
    <w:basedOn w:val="1"/>
    <w:qFormat/>
    <w:uiPriority w:val="0"/>
    <w:pPr>
      <w:spacing w:before="100" w:after="100"/>
    </w:pPr>
    <w:rPr>
      <w:rFonts w:ascii="Arial Unicode MS" w:eastAsia="Arial Unicode MS" w:cs="Arial Unicode MS"/>
      <w:sz w:val="24"/>
    </w:rPr>
  </w:style>
  <w:style w:type="paragraph" w:customStyle="1" w:styleId="36">
    <w:name w:val="样式 首行缩进:  2 字符"/>
    <w:basedOn w:val="1"/>
    <w:qFormat/>
    <w:uiPriority w:val="0"/>
    <w:pPr>
      <w:ind w:firstLine="200" w:firstLineChars="200"/>
    </w:pPr>
    <w:rPr>
      <w:rFonts w:ascii="宋体" w:hAnsi="宋体"/>
      <w:sz w:val="32"/>
      <w:szCs w:val="32"/>
    </w:rPr>
  </w:style>
  <w:style w:type="paragraph" w:customStyle="1" w:styleId="37">
    <w:name w:val="引文目录标题1"/>
    <w:basedOn w:val="1"/>
    <w:qFormat/>
    <w:uiPriority w:val="0"/>
    <w:pPr>
      <w:spacing w:before="120"/>
    </w:pPr>
  </w:style>
  <w:style w:type="paragraph" w:customStyle="1" w:styleId="38">
    <w:name w:val="列出段落1"/>
    <w:basedOn w:val="1"/>
    <w:qFormat/>
    <w:uiPriority w:val="0"/>
    <w:pPr>
      <w:ind w:firstLine="420" w:firstLineChars="200"/>
    </w:pPr>
    <w:rPr>
      <w:szCs w:val="21"/>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5"/>
    <w:qFormat/>
    <w:uiPriority w:val="0"/>
    <w:rPr>
      <w:rFonts w:hint="eastAsia" w:asciiTheme="minorHAnsi" w:hAnsiTheme="minorHAnsi" w:eastAsiaTheme="minorEastAsia" w:cstheme="minorBidi"/>
      <w:lang w:val="en-US" w:eastAsia="zh-CN"/>
    </w:rPr>
  </w:style>
  <w:style w:type="paragraph" w:customStyle="1" w:styleId="41">
    <w:name w:val="null3"/>
    <w:qFormat/>
    <w:uiPriority w:val="0"/>
    <w:rPr>
      <w:rFonts w:hint="eastAsia" w:asciiTheme="minorHAnsi" w:hAnsiTheme="minorHAnsi" w:eastAsiaTheme="minorEastAsia" w:cstheme="minorBidi"/>
      <w:lang w:val="en-US" w:eastAsia="zh-Hans"/>
    </w:rPr>
  </w:style>
  <w:style w:type="paragraph" w:customStyle="1" w:styleId="42">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3">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4">
    <w:name w:val="List Paragraph"/>
    <w:basedOn w:val="1"/>
    <w:qFormat/>
    <w:uiPriority w:val="34"/>
    <w:pPr>
      <w:ind w:firstLine="420" w:firstLineChars="200"/>
    </w:pPr>
    <w:rPr>
      <w:szCs w:val="20"/>
    </w:rPr>
  </w:style>
  <w:style w:type="character" w:customStyle="1" w:styleId="45">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20096</Words>
  <Characters>20881</Characters>
  <Lines>185</Lines>
  <Paragraphs>52</Paragraphs>
  <TotalTime>23</TotalTime>
  <ScaleCrop>false</ScaleCrop>
  <LinksUpToDate>false</LinksUpToDate>
  <CharactersWithSpaces>21548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2024-04-17T07:11:00Z</dcterms:created>
  <dc:creator>崔 旺</dc:creator>
  <cp:lastModifiedBy>stj</cp:lastModifiedBy>
  <dcterms:modified xsi:type="dcterms:W3CDTF">2026-07-07T16:14:18Z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2052-11.8.2.10458</vt:lpwstr>
  </property>
  <property fmtid="{D5CDD505-2E9C-101B-9397-08002B2CF9AE}" pid="5" name="ICV">
    <vt:lpwstr>62C3539A0A5145DF9C7513757FF8EC80_13</vt:lpwstr>
  </property>
  <property fmtid="{D5CDD505-2E9C-101B-9397-08002B2CF9AE}" pid="6" name="KSOTemplateDocerSaveRecord">
    <vt:lpwstr>eyJoZGlkIjoiNzIyNjU3ZTEyNTFlM2UwOTMzMTdiZGI4ODZmMWEyY2EiLCJ1c2VySWQiOiIxNDAwMTQ3Mzc4In0=</vt:lpwstr>
  </property>
</Properties>
</file>