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77CBC4">
      <w:pPr>
        <w:pStyle w:val="4"/>
        <w:keepNext w:val="0"/>
        <w:keepLines w:val="0"/>
        <w:pageBreakBefore w:val="0"/>
        <w:overflowPunct/>
        <w:topLinePunct w:val="0"/>
        <w:bidi w:val="0"/>
        <w:spacing w:line="360" w:lineRule="auto"/>
        <w:rPr>
          <w:rFonts w:hint="eastAsia" w:ascii="宋体" w:hAnsi="宋体" w:eastAsia="宋体" w:cs="宋体"/>
          <w:color w:val="auto"/>
          <w:sz w:val="22"/>
          <w:szCs w:val="22"/>
        </w:rPr>
      </w:pPr>
      <w:bookmarkStart w:id="29" w:name="_GoBack"/>
    </w:p>
    <w:p w14:paraId="3EFD81F3">
      <w:pPr>
        <w:pStyle w:val="4"/>
        <w:keepNext w:val="0"/>
        <w:keepLines w:val="0"/>
        <w:pageBreakBefore w:val="0"/>
        <w:overflowPunct/>
        <w:topLinePunct w:val="0"/>
        <w:bidi w:val="0"/>
        <w:spacing w:line="360" w:lineRule="auto"/>
        <w:rPr>
          <w:rFonts w:hint="eastAsia" w:ascii="宋体" w:hAnsi="宋体" w:eastAsia="宋体" w:cs="宋体"/>
          <w:color w:val="auto"/>
          <w:sz w:val="22"/>
          <w:szCs w:val="22"/>
        </w:rPr>
      </w:pPr>
    </w:p>
    <w:p w14:paraId="41F7FA30">
      <w:pPr>
        <w:pStyle w:val="4"/>
        <w:keepNext w:val="0"/>
        <w:keepLines w:val="0"/>
        <w:pageBreakBefore w:val="0"/>
        <w:overflowPunct/>
        <w:topLinePunct w:val="0"/>
        <w:bidi w:val="0"/>
        <w:spacing w:line="360" w:lineRule="auto"/>
        <w:jc w:val="center"/>
        <w:outlineLvl w:val="0"/>
        <w:rPr>
          <w:rFonts w:hint="eastAsia" w:ascii="宋体" w:hAnsi="宋体" w:eastAsia="宋体" w:cs="宋体"/>
          <w:b/>
          <w:bCs/>
          <w:color w:val="auto"/>
          <w:spacing w:val="23"/>
          <w:sz w:val="40"/>
          <w:szCs w:val="40"/>
          <w:lang w:eastAsia="zh-CN"/>
        </w:rPr>
      </w:pPr>
      <w:r>
        <w:rPr>
          <w:rFonts w:hint="eastAsia" w:ascii="宋体" w:hAnsi="宋体" w:eastAsia="宋体" w:cs="宋体"/>
          <w:b/>
          <w:bCs/>
          <w:color w:val="auto"/>
          <w:spacing w:val="23"/>
          <w:sz w:val="40"/>
          <w:szCs w:val="40"/>
          <w:lang w:eastAsia="zh-CN"/>
        </w:rPr>
        <w:t>赤峰市生态环境局敖汉旗分局2026年实验室</w:t>
      </w:r>
    </w:p>
    <w:p w14:paraId="3C2E0D28">
      <w:pPr>
        <w:pStyle w:val="4"/>
        <w:keepNext w:val="0"/>
        <w:keepLines w:val="0"/>
        <w:pageBreakBefore w:val="0"/>
        <w:overflowPunct/>
        <w:topLinePunct w:val="0"/>
        <w:bidi w:val="0"/>
        <w:spacing w:line="360" w:lineRule="auto"/>
        <w:jc w:val="center"/>
        <w:outlineLvl w:val="0"/>
        <w:rPr>
          <w:rFonts w:hint="eastAsia" w:ascii="宋体" w:hAnsi="宋体" w:eastAsia="宋体" w:cs="宋体"/>
          <w:b/>
          <w:bCs/>
          <w:color w:val="auto"/>
          <w:spacing w:val="23"/>
          <w:sz w:val="40"/>
          <w:szCs w:val="40"/>
          <w:lang w:eastAsia="zh-CN"/>
        </w:rPr>
      </w:pPr>
      <w:r>
        <w:rPr>
          <w:rFonts w:hint="eastAsia" w:ascii="宋体" w:hAnsi="宋体" w:eastAsia="宋体" w:cs="宋体"/>
          <w:b/>
          <w:bCs/>
          <w:color w:val="auto"/>
          <w:spacing w:val="23"/>
          <w:sz w:val="40"/>
          <w:szCs w:val="40"/>
          <w:lang w:eastAsia="zh-CN"/>
        </w:rPr>
        <w:t>耗材采购</w:t>
      </w:r>
    </w:p>
    <w:p w14:paraId="5BFDF4D5">
      <w:pPr>
        <w:keepNext w:val="0"/>
        <w:keepLines w:val="0"/>
        <w:pageBreakBefore w:val="0"/>
        <w:overflowPunct/>
        <w:topLinePunct w:val="0"/>
        <w:bidi w:val="0"/>
        <w:spacing w:line="360" w:lineRule="auto"/>
        <w:rPr>
          <w:rFonts w:hint="eastAsia" w:ascii="宋体" w:hAnsi="宋体" w:eastAsia="宋体" w:cs="宋体"/>
          <w:b/>
          <w:bCs/>
          <w:color w:val="auto"/>
          <w:spacing w:val="23"/>
          <w:sz w:val="40"/>
          <w:szCs w:val="40"/>
          <w:lang w:eastAsia="zh-CN"/>
        </w:rPr>
      </w:pPr>
    </w:p>
    <w:p w14:paraId="4B1FE234">
      <w:pPr>
        <w:keepNext w:val="0"/>
        <w:keepLines w:val="0"/>
        <w:pageBreakBefore w:val="0"/>
        <w:overflowPunct/>
        <w:topLinePunct w:val="0"/>
        <w:bidi w:val="0"/>
        <w:spacing w:line="360" w:lineRule="auto"/>
        <w:rPr>
          <w:rFonts w:hint="eastAsia" w:ascii="宋体" w:hAnsi="宋体" w:eastAsia="宋体" w:cs="宋体"/>
          <w:b/>
          <w:bCs/>
          <w:color w:val="auto"/>
          <w:spacing w:val="23"/>
          <w:sz w:val="40"/>
          <w:szCs w:val="40"/>
          <w:lang w:eastAsia="zh-CN"/>
        </w:rPr>
      </w:pPr>
    </w:p>
    <w:p w14:paraId="40C78257">
      <w:pPr>
        <w:keepNext w:val="0"/>
        <w:keepLines w:val="0"/>
        <w:pageBreakBefore w:val="0"/>
        <w:overflowPunct/>
        <w:topLinePunct w:val="0"/>
        <w:bidi w:val="0"/>
        <w:spacing w:before="101" w:line="360" w:lineRule="auto"/>
        <w:jc w:val="center"/>
        <w:outlineLvl w:val="0"/>
        <w:rPr>
          <w:rFonts w:hint="eastAsia" w:ascii="宋体" w:hAnsi="宋体" w:eastAsia="宋体" w:cs="宋体"/>
          <w:b/>
          <w:bCs/>
          <w:color w:val="auto"/>
          <w:sz w:val="40"/>
          <w:szCs w:val="40"/>
        </w:rPr>
      </w:pPr>
      <w:bookmarkStart w:id="0" w:name="_Toc7619"/>
      <w:r>
        <w:rPr>
          <w:rFonts w:hint="eastAsia" w:ascii="宋体" w:hAnsi="宋体" w:eastAsia="宋体" w:cs="宋体"/>
          <w:b/>
          <w:bCs/>
          <w:color w:val="auto"/>
          <w:spacing w:val="9"/>
          <w:sz w:val="52"/>
          <w:szCs w:val="52"/>
        </w:rPr>
        <w:t>竞争性谈判文件</w:t>
      </w:r>
      <w:bookmarkEnd w:id="0"/>
    </w:p>
    <w:p w14:paraId="4D00D5CD">
      <w:pPr>
        <w:keepNext w:val="0"/>
        <w:keepLines w:val="0"/>
        <w:pageBreakBefore w:val="0"/>
        <w:overflowPunct/>
        <w:topLinePunct w:val="0"/>
        <w:bidi w:val="0"/>
        <w:spacing w:before="298" w:line="360" w:lineRule="auto"/>
        <w:jc w:val="center"/>
        <w:rPr>
          <w:rFonts w:hint="eastAsia" w:ascii="宋体" w:hAnsi="宋体" w:eastAsia="宋体" w:cs="宋体"/>
          <w:color w:val="auto"/>
          <w:sz w:val="28"/>
          <w:szCs w:val="28"/>
        </w:rPr>
      </w:pPr>
      <w:r>
        <w:rPr>
          <w:rFonts w:hint="eastAsia" w:ascii="宋体" w:hAnsi="宋体" w:eastAsia="宋体" w:cs="宋体"/>
          <w:b/>
          <w:bCs/>
          <w:color w:val="auto"/>
          <w:spacing w:val="18"/>
          <w:sz w:val="28"/>
          <w:szCs w:val="28"/>
        </w:rPr>
        <w:t xml:space="preserve">项目编号： </w:t>
      </w:r>
      <w:r>
        <w:rPr>
          <w:rFonts w:hint="eastAsia" w:ascii="宋体" w:hAnsi="宋体" w:eastAsia="宋体" w:cs="宋体"/>
          <w:b/>
          <w:bCs/>
          <w:color w:val="auto"/>
          <w:spacing w:val="18"/>
          <w:sz w:val="28"/>
          <w:szCs w:val="28"/>
          <w:lang w:eastAsia="zh-CN"/>
        </w:rPr>
        <w:t>JHDL-2026022</w:t>
      </w:r>
    </w:p>
    <w:p w14:paraId="79AEDCE4">
      <w:pPr>
        <w:pStyle w:val="4"/>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4739EB4B">
      <w:pPr>
        <w:pStyle w:val="4"/>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04B9B9A4">
      <w:pPr>
        <w:pStyle w:val="5"/>
        <w:rPr>
          <w:rFonts w:hint="eastAsia"/>
          <w:color w:val="auto"/>
        </w:rPr>
      </w:pPr>
    </w:p>
    <w:p w14:paraId="7DA3E04D">
      <w:pPr>
        <w:pStyle w:val="4"/>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5B47F71A">
      <w:pPr>
        <w:pStyle w:val="4"/>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08CAFABC">
      <w:pPr>
        <w:pStyle w:val="4"/>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32C520AF">
      <w:pPr>
        <w:pStyle w:val="4"/>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6CA6D524">
      <w:pPr>
        <w:keepNext w:val="0"/>
        <w:keepLines w:val="0"/>
        <w:pageBreakBefore w:val="0"/>
        <w:overflowPunct/>
        <w:topLinePunct w:val="0"/>
        <w:bidi w:val="0"/>
        <w:spacing w:before="68" w:line="360" w:lineRule="auto"/>
        <w:ind w:firstLine="1855" w:firstLineChars="600"/>
        <w:jc w:val="both"/>
        <w:rPr>
          <w:rFonts w:hint="eastAsia" w:ascii="宋体" w:hAnsi="宋体" w:eastAsia="宋体" w:cs="宋体"/>
          <w:b/>
          <w:bCs/>
          <w:color w:val="auto"/>
          <w:sz w:val="28"/>
          <w:szCs w:val="28"/>
          <w:lang w:eastAsia="zh-CN"/>
        </w:rPr>
      </w:pPr>
      <w:r>
        <w:rPr>
          <w:rFonts w:hint="eastAsia" w:ascii="宋体" w:hAnsi="宋体" w:eastAsia="宋体" w:cs="宋体"/>
          <w:b/>
          <w:bCs/>
          <w:color w:val="auto"/>
          <w:spacing w:val="14"/>
          <w:sz w:val="28"/>
          <w:szCs w:val="28"/>
        </w:rPr>
        <w:t>采购单位名称：</w:t>
      </w:r>
      <w:r>
        <w:rPr>
          <w:rFonts w:hint="eastAsia" w:ascii="宋体" w:hAnsi="宋体" w:eastAsia="宋体" w:cs="宋体"/>
          <w:b/>
          <w:bCs/>
          <w:color w:val="auto"/>
          <w:spacing w:val="-54"/>
          <w:sz w:val="28"/>
          <w:szCs w:val="28"/>
        </w:rPr>
        <w:t xml:space="preserve"> </w:t>
      </w:r>
      <w:r>
        <w:rPr>
          <w:rFonts w:hint="eastAsia" w:ascii="宋体" w:hAnsi="宋体" w:eastAsia="宋体" w:cs="宋体"/>
          <w:b/>
          <w:bCs/>
          <w:color w:val="auto"/>
          <w:spacing w:val="14"/>
          <w:sz w:val="28"/>
          <w:szCs w:val="28"/>
          <w:lang w:eastAsia="zh-CN"/>
        </w:rPr>
        <w:t>赤峰市生态环境局敖汉旗分局</w:t>
      </w:r>
    </w:p>
    <w:p w14:paraId="313F8A02">
      <w:pPr>
        <w:keepNext w:val="0"/>
        <w:keepLines w:val="0"/>
        <w:pageBreakBefore w:val="0"/>
        <w:overflowPunct/>
        <w:topLinePunct w:val="0"/>
        <w:bidi w:val="0"/>
        <w:spacing w:before="297" w:line="360" w:lineRule="auto"/>
        <w:jc w:val="center"/>
        <w:rPr>
          <w:rFonts w:hint="eastAsia" w:ascii="宋体" w:hAnsi="宋体" w:eastAsia="宋体" w:cs="宋体"/>
          <w:b/>
          <w:bCs/>
          <w:color w:val="auto"/>
          <w:spacing w:val="14"/>
          <w:sz w:val="28"/>
          <w:szCs w:val="28"/>
          <w:lang w:eastAsia="zh-CN"/>
        </w:rPr>
      </w:pPr>
      <w:r>
        <w:rPr>
          <w:rFonts w:hint="eastAsia" w:ascii="宋体" w:hAnsi="宋体" w:eastAsia="宋体" w:cs="宋体"/>
          <w:b/>
          <w:bCs/>
          <w:color w:val="auto"/>
          <w:spacing w:val="14"/>
          <w:sz w:val="28"/>
          <w:szCs w:val="28"/>
        </w:rPr>
        <w:t>采购代理机构名称：</w:t>
      </w:r>
      <w:r>
        <w:rPr>
          <w:rFonts w:hint="eastAsia" w:ascii="宋体" w:hAnsi="宋体" w:eastAsia="宋体" w:cs="宋体"/>
          <w:b/>
          <w:bCs/>
          <w:color w:val="auto"/>
          <w:spacing w:val="14"/>
          <w:sz w:val="28"/>
          <w:szCs w:val="28"/>
          <w:lang w:eastAsia="zh-CN"/>
        </w:rPr>
        <w:t>赤峰嘉恒项目管理有限公司</w:t>
      </w:r>
      <w:bookmarkStart w:id="1" w:name="_Toc15513"/>
    </w:p>
    <w:p w14:paraId="79556786">
      <w:pPr>
        <w:keepNext w:val="0"/>
        <w:keepLines w:val="0"/>
        <w:pageBreakBefore w:val="0"/>
        <w:overflowPunct/>
        <w:topLinePunct w:val="0"/>
        <w:bidi w:val="0"/>
        <w:spacing w:before="297" w:line="360" w:lineRule="auto"/>
        <w:ind w:firstLine="1975" w:firstLineChars="600"/>
        <w:jc w:val="both"/>
        <w:rPr>
          <w:rFonts w:hint="eastAsia" w:ascii="宋体" w:hAnsi="宋体" w:eastAsia="宋体" w:cs="宋体"/>
          <w:b/>
          <w:bCs/>
          <w:color w:val="auto"/>
          <w:sz w:val="28"/>
          <w:szCs w:val="28"/>
        </w:rPr>
      </w:pPr>
      <w:r>
        <w:rPr>
          <w:rFonts w:hint="eastAsia" w:ascii="宋体" w:hAnsi="宋体" w:eastAsia="宋体" w:cs="宋体"/>
          <w:b/>
          <w:bCs/>
          <w:color w:val="auto"/>
          <w:spacing w:val="24"/>
          <w:sz w:val="28"/>
          <w:szCs w:val="28"/>
          <w:lang w:val="en-US" w:eastAsia="zh-CN"/>
        </w:rPr>
        <w:t>日    期：</w:t>
      </w:r>
      <w:r>
        <w:rPr>
          <w:rFonts w:hint="eastAsia" w:ascii="宋体" w:hAnsi="宋体" w:eastAsia="宋体" w:cs="宋体"/>
          <w:b/>
          <w:bCs/>
          <w:color w:val="auto"/>
          <w:spacing w:val="24"/>
          <w:sz w:val="28"/>
          <w:szCs w:val="28"/>
        </w:rPr>
        <w:t>202</w:t>
      </w:r>
      <w:r>
        <w:rPr>
          <w:rFonts w:hint="eastAsia" w:ascii="宋体" w:hAnsi="宋体" w:eastAsia="宋体" w:cs="宋体"/>
          <w:b/>
          <w:bCs/>
          <w:color w:val="auto"/>
          <w:spacing w:val="24"/>
          <w:sz w:val="28"/>
          <w:szCs w:val="28"/>
          <w:lang w:val="en-US" w:eastAsia="zh-CN"/>
        </w:rPr>
        <w:t>6</w:t>
      </w:r>
      <w:r>
        <w:rPr>
          <w:rFonts w:hint="eastAsia" w:ascii="宋体" w:hAnsi="宋体" w:eastAsia="宋体" w:cs="宋体"/>
          <w:b/>
          <w:bCs/>
          <w:color w:val="auto"/>
          <w:spacing w:val="24"/>
          <w:sz w:val="28"/>
          <w:szCs w:val="28"/>
        </w:rPr>
        <w:t>年</w:t>
      </w:r>
      <w:r>
        <w:rPr>
          <w:rFonts w:hint="eastAsia" w:ascii="宋体" w:hAnsi="宋体" w:eastAsia="宋体" w:cs="宋体"/>
          <w:b/>
          <w:bCs/>
          <w:color w:val="auto"/>
          <w:spacing w:val="24"/>
          <w:sz w:val="28"/>
          <w:szCs w:val="28"/>
          <w:lang w:val="en-US" w:eastAsia="zh-CN"/>
        </w:rPr>
        <w:t>8</w:t>
      </w:r>
      <w:r>
        <w:rPr>
          <w:rFonts w:hint="eastAsia" w:ascii="宋体" w:hAnsi="宋体" w:eastAsia="宋体" w:cs="宋体"/>
          <w:b/>
          <w:bCs/>
          <w:color w:val="auto"/>
          <w:spacing w:val="24"/>
          <w:sz w:val="28"/>
          <w:szCs w:val="28"/>
        </w:rPr>
        <w:t>月</w:t>
      </w:r>
      <w:bookmarkEnd w:id="1"/>
    </w:p>
    <w:p w14:paraId="7043172C">
      <w:pPr>
        <w:keepNext w:val="0"/>
        <w:keepLines w:val="0"/>
        <w:pageBreakBefore w:val="0"/>
        <w:overflowPunct/>
        <w:topLinePunct w:val="0"/>
        <w:bidi w:val="0"/>
        <w:spacing w:line="360" w:lineRule="auto"/>
        <w:rPr>
          <w:rFonts w:hint="eastAsia" w:ascii="宋体" w:hAnsi="宋体" w:eastAsia="宋体" w:cs="宋体"/>
          <w:b/>
          <w:bCs/>
          <w:color w:val="auto"/>
          <w:sz w:val="28"/>
          <w:szCs w:val="28"/>
        </w:rPr>
        <w:sectPr>
          <w:footerReference r:id="rId5" w:type="default"/>
          <w:pgSz w:w="11900" w:h="16840"/>
          <w:pgMar w:top="1440" w:right="1080" w:bottom="1440" w:left="1080" w:header="0" w:footer="0" w:gutter="0"/>
          <w:cols w:space="720" w:num="1"/>
        </w:sectPr>
      </w:pPr>
    </w:p>
    <w:sdt>
      <w:sdtPr>
        <w:rPr>
          <w:rFonts w:hint="eastAsia" w:ascii="宋体" w:hAnsi="宋体" w:eastAsia="宋体" w:cs="宋体"/>
          <w:snapToGrid w:val="0"/>
          <w:color w:val="auto"/>
          <w:kern w:val="0"/>
          <w:sz w:val="21"/>
          <w:szCs w:val="21"/>
          <w:lang w:val="en-US" w:eastAsia="en-US" w:bidi="ar-SA"/>
        </w:rPr>
        <w:id w:val="147474576"/>
        <w:showingPlcHdr/>
        <w15:color w:val="DBDBDB"/>
        <w:docPartObj>
          <w:docPartGallery w:val="Table of Contents"/>
          <w:docPartUnique/>
        </w:docPartObj>
      </w:sdtPr>
      <w:sdtEndPr>
        <w:rPr>
          <w:rFonts w:hint="eastAsia" w:ascii="宋体" w:hAnsi="宋体" w:eastAsia="宋体" w:cs="宋体"/>
          <w:bCs/>
          <w:snapToGrid w:val="0"/>
          <w:color w:val="auto"/>
          <w:spacing w:val="-31"/>
          <w:kern w:val="0"/>
          <w:sz w:val="21"/>
          <w:szCs w:val="28"/>
          <w:lang w:val="en-US" w:eastAsia="en-US" w:bidi="ar-SA"/>
        </w:rPr>
      </w:sdtEndPr>
      <w:sdtContent>
        <w:p w14:paraId="2FD3AF14">
          <w:pPr>
            <w:keepNext w:val="0"/>
            <w:keepLines w:val="0"/>
            <w:pageBreakBefore w:val="0"/>
            <w:overflowPunct/>
            <w:topLinePunct w:val="0"/>
            <w:bidi w:val="0"/>
            <w:spacing w:before="142" w:line="360" w:lineRule="auto"/>
            <w:jc w:val="both"/>
            <w:outlineLvl w:val="9"/>
            <w:rPr>
              <w:rFonts w:hint="eastAsia" w:ascii="宋体" w:hAnsi="宋体" w:eastAsia="宋体" w:cs="宋体"/>
              <w:bCs/>
              <w:snapToGrid w:val="0"/>
              <w:color w:val="auto"/>
              <w:spacing w:val="-31"/>
              <w:kern w:val="0"/>
              <w:sz w:val="21"/>
              <w:szCs w:val="28"/>
              <w:lang w:val="en-US" w:eastAsia="en-US" w:bidi="ar-SA"/>
            </w:rPr>
          </w:pPr>
          <w:r>
            <w:rPr>
              <w:rFonts w:hint="eastAsia" w:ascii="宋体" w:hAnsi="宋体" w:eastAsia="宋体" w:cs="宋体"/>
              <w:snapToGrid w:val="0"/>
              <w:color w:val="auto"/>
              <w:kern w:val="0"/>
              <w:sz w:val="21"/>
              <w:szCs w:val="21"/>
              <w:lang w:val="en-US" w:eastAsia="zh-CN" w:bidi="ar-SA"/>
            </w:rPr>
            <w:t xml:space="preserve">     </w:t>
          </w:r>
        </w:p>
      </w:sdtContent>
    </w:sdt>
    <w:sdt>
      <w:sdtPr>
        <w:rPr>
          <w:rFonts w:hint="eastAsia" w:ascii="宋体" w:hAnsi="宋体" w:eastAsia="宋体" w:cs="宋体"/>
          <w:snapToGrid w:val="0"/>
          <w:color w:val="auto"/>
          <w:kern w:val="0"/>
          <w:sz w:val="36"/>
          <w:szCs w:val="36"/>
          <w:lang w:val="en-US" w:eastAsia="en-US" w:bidi="ar-SA"/>
        </w:rPr>
        <w:id w:val="147474451"/>
        <w15:color w:val="DBDBDB"/>
        <w:docPartObj>
          <w:docPartGallery w:val="Table of Contents"/>
          <w:docPartUnique/>
        </w:docPartObj>
      </w:sdtPr>
      <w:sdtEndPr>
        <w:rPr>
          <w:rFonts w:hint="eastAsia" w:ascii="宋体" w:hAnsi="宋体" w:eastAsia="宋体" w:cs="宋体"/>
          <w:bCs/>
          <w:snapToGrid w:val="0"/>
          <w:color w:val="auto"/>
          <w:spacing w:val="-31"/>
          <w:kern w:val="0"/>
          <w:sz w:val="21"/>
          <w:szCs w:val="28"/>
          <w:lang w:val="en-US" w:eastAsia="en-US" w:bidi="ar-SA"/>
        </w:rPr>
      </w:sdtEndPr>
      <w:sdtContent>
        <w:p w14:paraId="2BE73347">
          <w:pPr>
            <w:keepNext w:val="0"/>
            <w:keepLines w:val="0"/>
            <w:pageBreakBefore w:val="0"/>
            <w:overflowPunct/>
            <w:topLinePunct w:val="0"/>
            <w:bidi w:val="0"/>
            <w:spacing w:before="0" w:beforeLines="0" w:after="0" w:afterLines="0" w:line="360" w:lineRule="auto"/>
            <w:ind w:left="0" w:leftChars="0" w:right="0" w:rightChars="0" w:firstLine="0" w:firstLineChars="0"/>
            <w:jc w:val="center"/>
            <w:rPr>
              <w:rFonts w:hint="eastAsia" w:ascii="宋体" w:hAnsi="宋体" w:eastAsia="宋体" w:cs="宋体"/>
              <w:color w:val="auto"/>
              <w:sz w:val="36"/>
              <w:szCs w:val="36"/>
            </w:rPr>
          </w:pPr>
          <w:r>
            <w:rPr>
              <w:rFonts w:hint="eastAsia" w:ascii="宋体" w:hAnsi="宋体" w:eastAsia="宋体" w:cs="宋体"/>
              <w:color w:val="auto"/>
              <w:sz w:val="36"/>
              <w:szCs w:val="36"/>
            </w:rPr>
            <w:t>目录</w:t>
          </w:r>
        </w:p>
        <w:p w14:paraId="779CA5F8">
          <w:pPr>
            <w:pStyle w:val="9"/>
            <w:keepNext w:val="0"/>
            <w:keepLines w:val="0"/>
            <w:pageBreakBefore w:val="0"/>
            <w:tabs>
              <w:tab w:val="right" w:leader="dot" w:pos="9740"/>
            </w:tabs>
            <w:overflowPunct/>
            <w:topLinePunct w:val="0"/>
            <w:bidi w:val="0"/>
            <w:spacing w:line="360" w:lineRule="auto"/>
            <w:rPr>
              <w:rFonts w:hint="eastAsia" w:ascii="宋体" w:hAnsi="宋体" w:eastAsia="宋体" w:cs="宋体"/>
              <w:color w:val="auto"/>
            </w:rPr>
          </w:pPr>
          <w:r>
            <w:rPr>
              <w:rFonts w:hint="eastAsia" w:ascii="宋体" w:hAnsi="宋体" w:eastAsia="宋体" w:cs="宋体"/>
              <w:bCs/>
              <w:snapToGrid w:val="0"/>
              <w:color w:val="auto"/>
              <w:spacing w:val="-31"/>
              <w:kern w:val="0"/>
              <w:sz w:val="21"/>
              <w:szCs w:val="28"/>
              <w:lang w:val="en-US" w:eastAsia="en-US" w:bidi="ar-SA"/>
            </w:rPr>
            <w:fldChar w:fldCharType="begin"/>
          </w:r>
          <w:r>
            <w:rPr>
              <w:rFonts w:hint="eastAsia" w:ascii="宋体" w:hAnsi="宋体" w:eastAsia="宋体" w:cs="宋体"/>
              <w:bCs/>
              <w:snapToGrid w:val="0"/>
              <w:color w:val="auto"/>
              <w:spacing w:val="-31"/>
              <w:kern w:val="0"/>
              <w:sz w:val="21"/>
              <w:szCs w:val="28"/>
              <w:lang w:val="en-US" w:eastAsia="en-US" w:bidi="ar-SA"/>
            </w:rPr>
            <w:instrText xml:space="preserve">TOC \o "1-1" \h \u </w:instrText>
          </w:r>
          <w:r>
            <w:rPr>
              <w:rFonts w:hint="eastAsia" w:ascii="宋体" w:hAnsi="宋体" w:eastAsia="宋体" w:cs="宋体"/>
              <w:bCs/>
              <w:snapToGrid w:val="0"/>
              <w:color w:val="auto"/>
              <w:spacing w:val="-31"/>
              <w:kern w:val="0"/>
              <w:sz w:val="21"/>
              <w:szCs w:val="28"/>
              <w:lang w:val="en-US" w:eastAsia="en-US" w:bidi="ar-SA"/>
            </w:rPr>
            <w:fldChar w:fldCharType="separate"/>
          </w:r>
        </w:p>
        <w:p w14:paraId="4E5C60AC">
          <w:pPr>
            <w:pStyle w:val="9"/>
            <w:keepNext w:val="0"/>
            <w:keepLines w:val="0"/>
            <w:pageBreakBefore w:val="0"/>
            <w:widowControl/>
            <w:tabs>
              <w:tab w:val="right" w:leader="dot" w:pos="9740"/>
            </w:tabs>
            <w:kinsoku w:val="0"/>
            <w:wordWrap/>
            <w:overflowPunct/>
            <w:topLinePunct w:val="0"/>
            <w:autoSpaceDE w:val="0"/>
            <w:autoSpaceDN w:val="0"/>
            <w:bidi w:val="0"/>
            <w:adjustRightInd w:val="0"/>
            <w:snapToGrid w:val="0"/>
            <w:spacing w:line="480" w:lineRule="auto"/>
            <w:textAlignment w:val="baseline"/>
            <w:rPr>
              <w:rFonts w:hint="eastAsia" w:ascii="宋体" w:hAnsi="宋体" w:eastAsia="宋体" w:cs="宋体"/>
              <w:color w:val="auto"/>
            </w:rPr>
          </w:pPr>
          <w:r>
            <w:rPr>
              <w:rFonts w:hint="eastAsia" w:ascii="宋体" w:hAnsi="宋体" w:eastAsia="宋体" w:cs="宋体"/>
              <w:bCs/>
              <w:snapToGrid w:val="0"/>
              <w:color w:val="auto"/>
              <w:spacing w:val="-31"/>
              <w:kern w:val="0"/>
              <w:szCs w:val="28"/>
              <w:lang w:val="en-US" w:eastAsia="en-US" w:bidi="ar-SA"/>
            </w:rPr>
            <w:fldChar w:fldCharType="begin"/>
          </w:r>
          <w:r>
            <w:rPr>
              <w:rFonts w:hint="eastAsia" w:ascii="宋体" w:hAnsi="宋体" w:eastAsia="宋体" w:cs="宋体"/>
              <w:bCs/>
              <w:snapToGrid w:val="0"/>
              <w:color w:val="auto"/>
              <w:spacing w:val="-31"/>
              <w:kern w:val="0"/>
              <w:szCs w:val="28"/>
              <w:lang w:val="en-US" w:eastAsia="en-US" w:bidi="ar-SA"/>
            </w:rPr>
            <w:instrText xml:space="preserve"> HYPERLINK \l _Toc17469 </w:instrText>
          </w:r>
          <w:r>
            <w:rPr>
              <w:rFonts w:hint="eastAsia" w:ascii="宋体" w:hAnsi="宋体" w:eastAsia="宋体" w:cs="宋体"/>
              <w:bCs/>
              <w:snapToGrid w:val="0"/>
              <w:color w:val="auto"/>
              <w:spacing w:val="-31"/>
              <w:kern w:val="0"/>
              <w:szCs w:val="28"/>
              <w:lang w:val="en-US" w:eastAsia="en-US" w:bidi="ar-SA"/>
            </w:rPr>
            <w:fldChar w:fldCharType="separate"/>
          </w:r>
          <w:r>
            <w:rPr>
              <w:rFonts w:hint="eastAsia" w:ascii="宋体" w:hAnsi="宋体" w:eastAsia="宋体" w:cs="宋体"/>
              <w:color w:val="auto"/>
              <w:spacing w:val="11"/>
              <w:szCs w:val="28"/>
            </w:rPr>
            <w:t>第一章</w:t>
          </w:r>
          <w:r>
            <w:rPr>
              <w:rFonts w:hint="eastAsia" w:ascii="宋体" w:hAnsi="宋体" w:eastAsia="宋体" w:cs="宋体"/>
              <w:color w:val="auto"/>
              <w:spacing w:val="-7"/>
              <w:szCs w:val="28"/>
            </w:rPr>
            <w:t xml:space="preserve"> 竞争性</w:t>
          </w:r>
          <w:r>
            <w:rPr>
              <w:rFonts w:hint="eastAsia" w:ascii="宋体" w:hAnsi="宋体" w:eastAsia="宋体" w:cs="宋体"/>
              <w:color w:val="auto"/>
              <w:spacing w:val="-7"/>
              <w:szCs w:val="28"/>
              <w:lang w:val="en-US" w:eastAsia="zh-CN"/>
            </w:rPr>
            <w:t>谈判</w:t>
          </w:r>
          <w:r>
            <w:rPr>
              <w:rFonts w:hint="eastAsia" w:ascii="宋体" w:hAnsi="宋体" w:eastAsia="宋体" w:cs="宋体"/>
              <w:color w:val="auto"/>
              <w:spacing w:val="-7"/>
              <w:szCs w:val="28"/>
            </w:rPr>
            <w:t>公告</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_Toc17469 \h </w:instrText>
          </w:r>
          <w:r>
            <w:rPr>
              <w:rFonts w:hint="eastAsia" w:ascii="宋体" w:hAnsi="宋体" w:eastAsia="宋体" w:cs="宋体"/>
              <w:color w:val="auto"/>
            </w:rPr>
            <w:fldChar w:fldCharType="separate"/>
          </w:r>
          <w:r>
            <w:rPr>
              <w:rFonts w:hint="eastAsia" w:ascii="宋体" w:hAnsi="宋体" w:eastAsia="宋体" w:cs="宋体"/>
              <w:color w:val="auto"/>
            </w:rPr>
            <w:t>1</w:t>
          </w:r>
          <w:r>
            <w:rPr>
              <w:rFonts w:hint="eastAsia" w:ascii="宋体" w:hAnsi="宋体" w:eastAsia="宋体" w:cs="宋体"/>
              <w:color w:val="auto"/>
            </w:rPr>
            <w:fldChar w:fldCharType="end"/>
          </w:r>
          <w:r>
            <w:rPr>
              <w:rFonts w:hint="eastAsia" w:ascii="宋体" w:hAnsi="宋体" w:eastAsia="宋体" w:cs="宋体"/>
              <w:bCs/>
              <w:snapToGrid w:val="0"/>
              <w:color w:val="auto"/>
              <w:spacing w:val="-31"/>
              <w:kern w:val="0"/>
              <w:szCs w:val="28"/>
              <w:lang w:val="en-US" w:eastAsia="en-US" w:bidi="ar-SA"/>
            </w:rPr>
            <w:fldChar w:fldCharType="end"/>
          </w:r>
        </w:p>
        <w:p w14:paraId="4570261B">
          <w:pPr>
            <w:pStyle w:val="9"/>
            <w:keepNext w:val="0"/>
            <w:keepLines w:val="0"/>
            <w:pageBreakBefore w:val="0"/>
            <w:widowControl/>
            <w:tabs>
              <w:tab w:val="right" w:leader="dot" w:pos="9740"/>
            </w:tabs>
            <w:kinsoku w:val="0"/>
            <w:wordWrap/>
            <w:overflowPunct/>
            <w:topLinePunct w:val="0"/>
            <w:autoSpaceDE w:val="0"/>
            <w:autoSpaceDN w:val="0"/>
            <w:bidi w:val="0"/>
            <w:adjustRightInd w:val="0"/>
            <w:snapToGrid w:val="0"/>
            <w:spacing w:line="480" w:lineRule="auto"/>
            <w:textAlignment w:val="baseline"/>
            <w:rPr>
              <w:rFonts w:hint="eastAsia" w:ascii="宋体" w:hAnsi="宋体" w:eastAsia="宋体" w:cs="宋体"/>
              <w:bCs/>
              <w:snapToGrid w:val="0"/>
              <w:color w:val="auto"/>
              <w:spacing w:val="-31"/>
              <w:kern w:val="0"/>
              <w:szCs w:val="28"/>
              <w:lang w:val="en-US" w:eastAsia="en-US" w:bidi="ar-SA"/>
            </w:rPr>
          </w:pPr>
          <w:r>
            <w:rPr>
              <w:rFonts w:hint="eastAsia" w:ascii="宋体" w:hAnsi="宋体" w:eastAsia="宋体" w:cs="宋体"/>
              <w:bCs/>
              <w:snapToGrid w:val="0"/>
              <w:color w:val="auto"/>
              <w:spacing w:val="-31"/>
              <w:kern w:val="0"/>
              <w:szCs w:val="28"/>
              <w:lang w:val="en-US" w:eastAsia="en-US" w:bidi="ar-SA"/>
            </w:rPr>
            <w:fldChar w:fldCharType="begin"/>
          </w:r>
          <w:r>
            <w:rPr>
              <w:rFonts w:hint="eastAsia" w:ascii="宋体" w:hAnsi="宋体" w:eastAsia="宋体" w:cs="宋体"/>
              <w:bCs/>
              <w:snapToGrid w:val="0"/>
              <w:color w:val="auto"/>
              <w:spacing w:val="-31"/>
              <w:kern w:val="0"/>
              <w:szCs w:val="28"/>
              <w:lang w:val="en-US" w:eastAsia="en-US" w:bidi="ar-SA"/>
            </w:rPr>
            <w:instrText xml:space="preserve"> HYPERLINK \l _Toc28792 </w:instrText>
          </w:r>
          <w:r>
            <w:rPr>
              <w:rFonts w:hint="eastAsia" w:ascii="宋体" w:hAnsi="宋体" w:eastAsia="宋体" w:cs="宋体"/>
              <w:bCs/>
              <w:snapToGrid w:val="0"/>
              <w:color w:val="auto"/>
              <w:spacing w:val="-31"/>
              <w:kern w:val="0"/>
              <w:szCs w:val="28"/>
              <w:lang w:val="en-US" w:eastAsia="en-US" w:bidi="ar-SA"/>
            </w:rPr>
            <w:fldChar w:fldCharType="separate"/>
          </w:r>
          <w:r>
            <w:rPr>
              <w:rFonts w:hint="eastAsia" w:ascii="宋体" w:hAnsi="宋体" w:eastAsia="宋体" w:cs="宋体"/>
              <w:bCs/>
              <w:color w:val="auto"/>
              <w:szCs w:val="28"/>
            </w:rPr>
            <w:t>第二章 供应商须知</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_Toc28792 \h </w:instrText>
          </w:r>
          <w:r>
            <w:rPr>
              <w:rFonts w:hint="eastAsia" w:ascii="宋体" w:hAnsi="宋体" w:eastAsia="宋体" w:cs="宋体"/>
              <w:color w:val="auto"/>
            </w:rPr>
            <w:fldChar w:fldCharType="separate"/>
          </w:r>
          <w:r>
            <w:rPr>
              <w:rFonts w:hint="eastAsia" w:ascii="宋体" w:hAnsi="宋体" w:eastAsia="宋体" w:cs="宋体"/>
              <w:color w:val="auto"/>
            </w:rPr>
            <w:t>7</w:t>
          </w:r>
          <w:r>
            <w:rPr>
              <w:rFonts w:hint="eastAsia" w:ascii="宋体" w:hAnsi="宋体" w:eastAsia="宋体" w:cs="宋体"/>
              <w:color w:val="auto"/>
            </w:rPr>
            <w:fldChar w:fldCharType="end"/>
          </w:r>
          <w:r>
            <w:rPr>
              <w:rFonts w:hint="eastAsia" w:ascii="宋体" w:hAnsi="宋体" w:eastAsia="宋体" w:cs="宋体"/>
              <w:bCs/>
              <w:snapToGrid w:val="0"/>
              <w:color w:val="auto"/>
              <w:spacing w:val="-31"/>
              <w:kern w:val="0"/>
              <w:szCs w:val="28"/>
              <w:lang w:val="en-US" w:eastAsia="en-US" w:bidi="ar-SA"/>
            </w:rPr>
            <w:fldChar w:fldCharType="end"/>
          </w:r>
        </w:p>
        <w:p w14:paraId="28CFDC81">
          <w:pPr>
            <w:pStyle w:val="9"/>
            <w:keepNext w:val="0"/>
            <w:keepLines w:val="0"/>
            <w:pageBreakBefore w:val="0"/>
            <w:widowControl/>
            <w:tabs>
              <w:tab w:val="right" w:leader="dot" w:pos="9740"/>
            </w:tabs>
            <w:kinsoku w:val="0"/>
            <w:wordWrap/>
            <w:overflowPunct/>
            <w:topLinePunct w:val="0"/>
            <w:autoSpaceDE w:val="0"/>
            <w:autoSpaceDN w:val="0"/>
            <w:bidi w:val="0"/>
            <w:adjustRightInd w:val="0"/>
            <w:snapToGrid w:val="0"/>
            <w:spacing w:line="480" w:lineRule="auto"/>
            <w:textAlignment w:val="baseline"/>
            <w:rPr>
              <w:rFonts w:hint="eastAsia" w:ascii="宋体" w:hAnsi="宋体" w:eastAsia="宋体" w:cs="宋体"/>
              <w:bCs/>
              <w:snapToGrid w:val="0"/>
              <w:color w:val="auto"/>
              <w:spacing w:val="-31"/>
              <w:kern w:val="0"/>
              <w:szCs w:val="28"/>
              <w:lang w:val="en-US" w:eastAsia="en-US" w:bidi="ar-SA"/>
            </w:rPr>
          </w:pPr>
          <w:r>
            <w:rPr>
              <w:rFonts w:hint="eastAsia" w:ascii="宋体" w:hAnsi="宋体" w:eastAsia="宋体" w:cs="宋体"/>
              <w:bCs/>
              <w:snapToGrid w:val="0"/>
              <w:color w:val="auto"/>
              <w:spacing w:val="-31"/>
              <w:kern w:val="0"/>
              <w:szCs w:val="28"/>
              <w:lang w:val="en-US" w:eastAsia="en-US" w:bidi="ar-SA"/>
            </w:rPr>
            <w:fldChar w:fldCharType="begin"/>
          </w:r>
          <w:r>
            <w:rPr>
              <w:rFonts w:hint="eastAsia" w:ascii="宋体" w:hAnsi="宋体" w:eastAsia="宋体" w:cs="宋体"/>
              <w:bCs/>
              <w:snapToGrid w:val="0"/>
              <w:color w:val="auto"/>
              <w:spacing w:val="-31"/>
              <w:kern w:val="0"/>
              <w:szCs w:val="28"/>
              <w:lang w:val="en-US" w:eastAsia="en-US" w:bidi="ar-SA"/>
            </w:rPr>
            <w:instrText xml:space="preserve"> HYPERLINK \l _Toc25272 </w:instrText>
          </w:r>
          <w:r>
            <w:rPr>
              <w:rFonts w:hint="eastAsia" w:ascii="宋体" w:hAnsi="宋体" w:eastAsia="宋体" w:cs="宋体"/>
              <w:bCs/>
              <w:snapToGrid w:val="0"/>
              <w:color w:val="auto"/>
              <w:spacing w:val="-31"/>
              <w:kern w:val="0"/>
              <w:szCs w:val="28"/>
              <w:lang w:val="en-US" w:eastAsia="en-US" w:bidi="ar-SA"/>
            </w:rPr>
            <w:fldChar w:fldCharType="separate"/>
          </w:r>
          <w:r>
            <w:rPr>
              <w:rFonts w:hint="eastAsia" w:ascii="宋体" w:hAnsi="宋体" w:eastAsia="宋体" w:cs="宋体"/>
              <w:bCs/>
              <w:color w:val="auto"/>
              <w:szCs w:val="28"/>
            </w:rPr>
            <w:t>第三章 采购内容与技术要求</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_Toc25272 \h </w:instrText>
          </w:r>
          <w:r>
            <w:rPr>
              <w:rFonts w:hint="eastAsia" w:ascii="宋体" w:hAnsi="宋体" w:eastAsia="宋体" w:cs="宋体"/>
              <w:color w:val="auto"/>
            </w:rPr>
            <w:fldChar w:fldCharType="separate"/>
          </w:r>
          <w:r>
            <w:rPr>
              <w:rFonts w:hint="eastAsia" w:ascii="宋体" w:hAnsi="宋体" w:eastAsia="宋体" w:cs="宋体"/>
              <w:color w:val="auto"/>
            </w:rPr>
            <w:t>19</w:t>
          </w:r>
          <w:r>
            <w:rPr>
              <w:rFonts w:hint="eastAsia" w:ascii="宋体" w:hAnsi="宋体" w:eastAsia="宋体" w:cs="宋体"/>
              <w:color w:val="auto"/>
            </w:rPr>
            <w:fldChar w:fldCharType="end"/>
          </w:r>
          <w:r>
            <w:rPr>
              <w:rFonts w:hint="eastAsia" w:ascii="宋体" w:hAnsi="宋体" w:eastAsia="宋体" w:cs="宋体"/>
              <w:bCs/>
              <w:snapToGrid w:val="0"/>
              <w:color w:val="auto"/>
              <w:spacing w:val="-31"/>
              <w:kern w:val="0"/>
              <w:szCs w:val="28"/>
              <w:lang w:val="en-US" w:eastAsia="en-US" w:bidi="ar-SA"/>
            </w:rPr>
            <w:fldChar w:fldCharType="end"/>
          </w:r>
        </w:p>
        <w:p w14:paraId="11FE29E1">
          <w:pPr>
            <w:pStyle w:val="9"/>
            <w:keepNext w:val="0"/>
            <w:keepLines w:val="0"/>
            <w:pageBreakBefore w:val="0"/>
            <w:widowControl/>
            <w:tabs>
              <w:tab w:val="right" w:leader="dot" w:pos="9740"/>
            </w:tabs>
            <w:kinsoku w:val="0"/>
            <w:wordWrap/>
            <w:overflowPunct/>
            <w:topLinePunct w:val="0"/>
            <w:autoSpaceDE w:val="0"/>
            <w:autoSpaceDN w:val="0"/>
            <w:bidi w:val="0"/>
            <w:adjustRightInd w:val="0"/>
            <w:snapToGrid w:val="0"/>
            <w:spacing w:line="480" w:lineRule="auto"/>
            <w:textAlignment w:val="baseline"/>
            <w:rPr>
              <w:rFonts w:hint="eastAsia" w:ascii="宋体" w:hAnsi="宋体" w:eastAsia="宋体" w:cs="宋体"/>
              <w:bCs/>
              <w:snapToGrid w:val="0"/>
              <w:color w:val="auto"/>
              <w:spacing w:val="-31"/>
              <w:kern w:val="0"/>
              <w:szCs w:val="28"/>
              <w:lang w:val="en-US" w:eastAsia="en-US" w:bidi="ar-SA"/>
            </w:rPr>
          </w:pPr>
          <w:r>
            <w:rPr>
              <w:rFonts w:hint="eastAsia" w:ascii="宋体" w:hAnsi="宋体" w:eastAsia="宋体" w:cs="宋体"/>
              <w:bCs/>
              <w:snapToGrid w:val="0"/>
              <w:color w:val="auto"/>
              <w:spacing w:val="-31"/>
              <w:kern w:val="0"/>
              <w:szCs w:val="28"/>
              <w:lang w:val="en-US" w:eastAsia="en-US" w:bidi="ar-SA"/>
            </w:rPr>
            <w:fldChar w:fldCharType="begin"/>
          </w:r>
          <w:r>
            <w:rPr>
              <w:rFonts w:hint="eastAsia" w:ascii="宋体" w:hAnsi="宋体" w:eastAsia="宋体" w:cs="宋体"/>
              <w:bCs/>
              <w:snapToGrid w:val="0"/>
              <w:color w:val="auto"/>
              <w:spacing w:val="-31"/>
              <w:kern w:val="0"/>
              <w:szCs w:val="28"/>
              <w:lang w:val="en-US" w:eastAsia="en-US" w:bidi="ar-SA"/>
            </w:rPr>
            <w:instrText xml:space="preserve"> HYPERLINK \l _Toc29758 </w:instrText>
          </w:r>
          <w:r>
            <w:rPr>
              <w:rFonts w:hint="eastAsia" w:ascii="宋体" w:hAnsi="宋体" w:eastAsia="宋体" w:cs="宋体"/>
              <w:bCs/>
              <w:snapToGrid w:val="0"/>
              <w:color w:val="auto"/>
              <w:spacing w:val="-31"/>
              <w:kern w:val="0"/>
              <w:szCs w:val="28"/>
              <w:lang w:val="en-US" w:eastAsia="en-US" w:bidi="ar-SA"/>
            </w:rPr>
            <w:fldChar w:fldCharType="separate"/>
          </w:r>
          <w:r>
            <w:rPr>
              <w:rFonts w:hint="eastAsia" w:ascii="宋体" w:hAnsi="宋体" w:eastAsia="宋体" w:cs="宋体"/>
              <w:color w:val="auto"/>
              <w:szCs w:val="28"/>
            </w:rPr>
            <w:t>第四章 供应商应当提交的资格、资信证明文件</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_Toc29758 \h </w:instrText>
          </w:r>
          <w:r>
            <w:rPr>
              <w:rFonts w:hint="eastAsia" w:ascii="宋体" w:hAnsi="宋体" w:eastAsia="宋体" w:cs="宋体"/>
              <w:color w:val="auto"/>
            </w:rPr>
            <w:fldChar w:fldCharType="separate"/>
          </w:r>
          <w:r>
            <w:rPr>
              <w:rFonts w:hint="eastAsia" w:ascii="宋体" w:hAnsi="宋体" w:eastAsia="宋体" w:cs="宋体"/>
              <w:color w:val="auto"/>
            </w:rPr>
            <w:t>23</w:t>
          </w:r>
          <w:r>
            <w:rPr>
              <w:rFonts w:hint="eastAsia" w:ascii="宋体" w:hAnsi="宋体" w:eastAsia="宋体" w:cs="宋体"/>
              <w:color w:val="auto"/>
            </w:rPr>
            <w:fldChar w:fldCharType="end"/>
          </w:r>
          <w:r>
            <w:rPr>
              <w:rFonts w:hint="eastAsia" w:ascii="宋体" w:hAnsi="宋体" w:eastAsia="宋体" w:cs="宋体"/>
              <w:bCs/>
              <w:snapToGrid w:val="0"/>
              <w:color w:val="auto"/>
              <w:spacing w:val="-31"/>
              <w:kern w:val="0"/>
              <w:szCs w:val="28"/>
              <w:lang w:val="en-US" w:eastAsia="en-US" w:bidi="ar-SA"/>
            </w:rPr>
            <w:fldChar w:fldCharType="end"/>
          </w:r>
        </w:p>
        <w:p w14:paraId="33DB579B">
          <w:pPr>
            <w:pStyle w:val="9"/>
            <w:keepNext w:val="0"/>
            <w:keepLines w:val="0"/>
            <w:pageBreakBefore w:val="0"/>
            <w:widowControl/>
            <w:tabs>
              <w:tab w:val="right" w:leader="dot" w:pos="9740"/>
            </w:tabs>
            <w:kinsoku w:val="0"/>
            <w:wordWrap/>
            <w:overflowPunct/>
            <w:topLinePunct w:val="0"/>
            <w:autoSpaceDE w:val="0"/>
            <w:autoSpaceDN w:val="0"/>
            <w:bidi w:val="0"/>
            <w:adjustRightInd w:val="0"/>
            <w:snapToGrid w:val="0"/>
            <w:spacing w:line="480" w:lineRule="auto"/>
            <w:textAlignment w:val="baseline"/>
            <w:rPr>
              <w:rFonts w:hint="eastAsia" w:ascii="宋体" w:hAnsi="宋体" w:eastAsia="宋体" w:cs="宋体"/>
              <w:bCs/>
              <w:snapToGrid w:val="0"/>
              <w:color w:val="auto"/>
              <w:spacing w:val="-31"/>
              <w:kern w:val="0"/>
              <w:szCs w:val="28"/>
              <w:lang w:val="en-US" w:eastAsia="en-US" w:bidi="ar-SA"/>
            </w:rPr>
          </w:pPr>
          <w:r>
            <w:rPr>
              <w:rFonts w:hint="eastAsia" w:ascii="宋体" w:hAnsi="宋体" w:eastAsia="宋体" w:cs="宋体"/>
              <w:bCs/>
              <w:snapToGrid w:val="0"/>
              <w:color w:val="auto"/>
              <w:spacing w:val="-31"/>
              <w:kern w:val="0"/>
              <w:szCs w:val="28"/>
              <w:lang w:val="en-US" w:eastAsia="en-US" w:bidi="ar-SA"/>
            </w:rPr>
            <w:fldChar w:fldCharType="begin"/>
          </w:r>
          <w:r>
            <w:rPr>
              <w:rFonts w:hint="eastAsia" w:ascii="宋体" w:hAnsi="宋体" w:eastAsia="宋体" w:cs="宋体"/>
              <w:bCs/>
              <w:snapToGrid w:val="0"/>
              <w:color w:val="auto"/>
              <w:spacing w:val="-31"/>
              <w:kern w:val="0"/>
              <w:szCs w:val="28"/>
              <w:lang w:val="en-US" w:eastAsia="en-US" w:bidi="ar-SA"/>
            </w:rPr>
            <w:instrText xml:space="preserve"> HYPERLINK \l _Toc2568 </w:instrText>
          </w:r>
          <w:r>
            <w:rPr>
              <w:rFonts w:hint="eastAsia" w:ascii="宋体" w:hAnsi="宋体" w:eastAsia="宋体" w:cs="宋体"/>
              <w:bCs/>
              <w:snapToGrid w:val="0"/>
              <w:color w:val="auto"/>
              <w:spacing w:val="-31"/>
              <w:kern w:val="0"/>
              <w:szCs w:val="28"/>
              <w:lang w:val="en-US" w:eastAsia="en-US" w:bidi="ar-SA"/>
            </w:rPr>
            <w:fldChar w:fldCharType="separate"/>
          </w:r>
          <w:r>
            <w:rPr>
              <w:rFonts w:hint="eastAsia" w:ascii="宋体" w:hAnsi="宋体" w:eastAsia="宋体" w:cs="宋体"/>
              <w:bCs/>
              <w:color w:val="auto"/>
              <w:szCs w:val="28"/>
            </w:rPr>
            <w:t>第五章 评审</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_Toc2568 \h </w:instrText>
          </w:r>
          <w:r>
            <w:rPr>
              <w:rFonts w:hint="eastAsia" w:ascii="宋体" w:hAnsi="宋体" w:eastAsia="宋体" w:cs="宋体"/>
              <w:color w:val="auto"/>
            </w:rPr>
            <w:fldChar w:fldCharType="separate"/>
          </w:r>
          <w:r>
            <w:rPr>
              <w:rFonts w:hint="eastAsia" w:ascii="宋体" w:hAnsi="宋体" w:eastAsia="宋体" w:cs="宋体"/>
              <w:color w:val="auto"/>
            </w:rPr>
            <w:t>24</w:t>
          </w:r>
          <w:r>
            <w:rPr>
              <w:rFonts w:hint="eastAsia" w:ascii="宋体" w:hAnsi="宋体" w:eastAsia="宋体" w:cs="宋体"/>
              <w:color w:val="auto"/>
            </w:rPr>
            <w:fldChar w:fldCharType="end"/>
          </w:r>
          <w:r>
            <w:rPr>
              <w:rFonts w:hint="eastAsia" w:ascii="宋体" w:hAnsi="宋体" w:eastAsia="宋体" w:cs="宋体"/>
              <w:bCs/>
              <w:snapToGrid w:val="0"/>
              <w:color w:val="auto"/>
              <w:spacing w:val="-31"/>
              <w:kern w:val="0"/>
              <w:szCs w:val="28"/>
              <w:lang w:val="en-US" w:eastAsia="en-US" w:bidi="ar-SA"/>
            </w:rPr>
            <w:fldChar w:fldCharType="end"/>
          </w:r>
        </w:p>
        <w:p w14:paraId="3BA7D98F">
          <w:pPr>
            <w:pStyle w:val="9"/>
            <w:keepNext w:val="0"/>
            <w:keepLines w:val="0"/>
            <w:pageBreakBefore w:val="0"/>
            <w:widowControl/>
            <w:tabs>
              <w:tab w:val="right" w:leader="dot" w:pos="9740"/>
            </w:tabs>
            <w:kinsoku w:val="0"/>
            <w:wordWrap/>
            <w:overflowPunct/>
            <w:topLinePunct w:val="0"/>
            <w:autoSpaceDE w:val="0"/>
            <w:autoSpaceDN w:val="0"/>
            <w:bidi w:val="0"/>
            <w:adjustRightInd w:val="0"/>
            <w:snapToGrid w:val="0"/>
            <w:spacing w:line="480" w:lineRule="auto"/>
            <w:textAlignment w:val="baseline"/>
            <w:rPr>
              <w:rFonts w:hint="eastAsia" w:ascii="宋体" w:hAnsi="宋体" w:eastAsia="宋体" w:cs="宋体"/>
              <w:bCs/>
              <w:snapToGrid w:val="0"/>
              <w:color w:val="auto"/>
              <w:spacing w:val="-31"/>
              <w:kern w:val="0"/>
              <w:szCs w:val="28"/>
              <w:lang w:val="en-US" w:eastAsia="en-US" w:bidi="ar-SA"/>
            </w:rPr>
          </w:pPr>
          <w:r>
            <w:rPr>
              <w:rFonts w:hint="eastAsia" w:ascii="宋体" w:hAnsi="宋体" w:eastAsia="宋体" w:cs="宋体"/>
              <w:bCs/>
              <w:snapToGrid w:val="0"/>
              <w:color w:val="auto"/>
              <w:spacing w:val="-31"/>
              <w:kern w:val="0"/>
              <w:szCs w:val="28"/>
              <w:lang w:val="en-US" w:eastAsia="en-US" w:bidi="ar-SA"/>
            </w:rPr>
            <w:fldChar w:fldCharType="begin"/>
          </w:r>
          <w:r>
            <w:rPr>
              <w:rFonts w:hint="eastAsia" w:ascii="宋体" w:hAnsi="宋体" w:eastAsia="宋体" w:cs="宋体"/>
              <w:bCs/>
              <w:snapToGrid w:val="0"/>
              <w:color w:val="auto"/>
              <w:spacing w:val="-31"/>
              <w:kern w:val="0"/>
              <w:szCs w:val="28"/>
              <w:lang w:val="en-US" w:eastAsia="en-US" w:bidi="ar-SA"/>
            </w:rPr>
            <w:instrText xml:space="preserve"> HYPERLINK \l _Toc8202 </w:instrText>
          </w:r>
          <w:r>
            <w:rPr>
              <w:rFonts w:hint="eastAsia" w:ascii="宋体" w:hAnsi="宋体" w:eastAsia="宋体" w:cs="宋体"/>
              <w:bCs/>
              <w:snapToGrid w:val="0"/>
              <w:color w:val="auto"/>
              <w:spacing w:val="-31"/>
              <w:kern w:val="0"/>
              <w:szCs w:val="28"/>
              <w:lang w:val="en-US" w:eastAsia="en-US" w:bidi="ar-SA"/>
            </w:rPr>
            <w:fldChar w:fldCharType="separate"/>
          </w:r>
          <w:r>
            <w:rPr>
              <w:rFonts w:hint="eastAsia" w:ascii="宋体" w:hAnsi="宋体" w:eastAsia="宋体" w:cs="宋体"/>
              <w:bCs/>
              <w:color w:val="auto"/>
              <w:szCs w:val="28"/>
            </w:rPr>
            <w:t>第六章 合同与验收</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_Toc8202 \h </w:instrText>
          </w:r>
          <w:r>
            <w:rPr>
              <w:rFonts w:hint="eastAsia" w:ascii="宋体" w:hAnsi="宋体" w:eastAsia="宋体" w:cs="宋体"/>
              <w:color w:val="auto"/>
            </w:rPr>
            <w:fldChar w:fldCharType="separate"/>
          </w:r>
          <w:r>
            <w:rPr>
              <w:rFonts w:hint="eastAsia" w:ascii="宋体" w:hAnsi="宋体" w:eastAsia="宋体" w:cs="宋体"/>
              <w:color w:val="auto"/>
            </w:rPr>
            <w:t>33</w:t>
          </w:r>
          <w:r>
            <w:rPr>
              <w:rFonts w:hint="eastAsia" w:ascii="宋体" w:hAnsi="宋体" w:eastAsia="宋体" w:cs="宋体"/>
              <w:color w:val="auto"/>
            </w:rPr>
            <w:fldChar w:fldCharType="end"/>
          </w:r>
          <w:r>
            <w:rPr>
              <w:rFonts w:hint="eastAsia" w:ascii="宋体" w:hAnsi="宋体" w:eastAsia="宋体" w:cs="宋体"/>
              <w:bCs/>
              <w:snapToGrid w:val="0"/>
              <w:color w:val="auto"/>
              <w:spacing w:val="-31"/>
              <w:kern w:val="0"/>
              <w:szCs w:val="28"/>
              <w:lang w:val="en-US" w:eastAsia="en-US" w:bidi="ar-SA"/>
            </w:rPr>
            <w:fldChar w:fldCharType="end"/>
          </w:r>
        </w:p>
        <w:p w14:paraId="16A450EF">
          <w:pPr>
            <w:pStyle w:val="9"/>
            <w:keepNext w:val="0"/>
            <w:keepLines w:val="0"/>
            <w:pageBreakBefore w:val="0"/>
            <w:widowControl/>
            <w:tabs>
              <w:tab w:val="right" w:leader="dot" w:pos="9740"/>
            </w:tabs>
            <w:kinsoku w:val="0"/>
            <w:wordWrap/>
            <w:overflowPunct/>
            <w:topLinePunct w:val="0"/>
            <w:autoSpaceDE w:val="0"/>
            <w:autoSpaceDN w:val="0"/>
            <w:bidi w:val="0"/>
            <w:adjustRightInd w:val="0"/>
            <w:snapToGrid w:val="0"/>
            <w:spacing w:line="480" w:lineRule="auto"/>
            <w:textAlignment w:val="baseline"/>
            <w:rPr>
              <w:rFonts w:hint="eastAsia" w:ascii="宋体" w:hAnsi="宋体" w:eastAsia="宋体" w:cs="宋体"/>
              <w:color w:val="auto"/>
            </w:rPr>
          </w:pPr>
          <w:r>
            <w:rPr>
              <w:rFonts w:hint="eastAsia" w:ascii="宋体" w:hAnsi="宋体" w:eastAsia="宋体" w:cs="宋体"/>
              <w:bCs/>
              <w:snapToGrid w:val="0"/>
              <w:color w:val="auto"/>
              <w:spacing w:val="-31"/>
              <w:kern w:val="0"/>
              <w:szCs w:val="28"/>
              <w:lang w:val="en-US" w:eastAsia="en-US" w:bidi="ar-SA"/>
            </w:rPr>
            <w:fldChar w:fldCharType="begin"/>
          </w:r>
          <w:r>
            <w:rPr>
              <w:rFonts w:hint="eastAsia" w:ascii="宋体" w:hAnsi="宋体" w:eastAsia="宋体" w:cs="宋体"/>
              <w:bCs/>
              <w:snapToGrid w:val="0"/>
              <w:color w:val="auto"/>
              <w:spacing w:val="-31"/>
              <w:kern w:val="0"/>
              <w:szCs w:val="28"/>
              <w:lang w:val="en-US" w:eastAsia="en-US" w:bidi="ar-SA"/>
            </w:rPr>
            <w:instrText xml:space="preserve"> HYPERLINK \l _Toc7473 </w:instrText>
          </w:r>
          <w:r>
            <w:rPr>
              <w:rFonts w:hint="eastAsia" w:ascii="宋体" w:hAnsi="宋体" w:eastAsia="宋体" w:cs="宋体"/>
              <w:bCs/>
              <w:snapToGrid w:val="0"/>
              <w:color w:val="auto"/>
              <w:spacing w:val="-31"/>
              <w:kern w:val="0"/>
              <w:szCs w:val="28"/>
              <w:lang w:val="en-US" w:eastAsia="en-US" w:bidi="ar-SA"/>
            </w:rPr>
            <w:fldChar w:fldCharType="separate"/>
          </w:r>
          <w:r>
            <w:rPr>
              <w:rFonts w:hint="eastAsia" w:ascii="宋体" w:hAnsi="宋体" w:eastAsia="宋体" w:cs="宋体"/>
              <w:color w:val="auto"/>
              <w:szCs w:val="28"/>
            </w:rPr>
            <w:t>第七章 响应文件格式与要求</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_Toc7473 \h </w:instrText>
          </w:r>
          <w:r>
            <w:rPr>
              <w:rFonts w:hint="eastAsia" w:ascii="宋体" w:hAnsi="宋体" w:eastAsia="宋体" w:cs="宋体"/>
              <w:color w:val="auto"/>
            </w:rPr>
            <w:fldChar w:fldCharType="separate"/>
          </w:r>
          <w:r>
            <w:rPr>
              <w:rFonts w:hint="eastAsia" w:ascii="宋体" w:hAnsi="宋体" w:eastAsia="宋体" w:cs="宋体"/>
              <w:color w:val="auto"/>
            </w:rPr>
            <w:t>41</w:t>
          </w:r>
          <w:r>
            <w:rPr>
              <w:rFonts w:hint="eastAsia" w:ascii="宋体" w:hAnsi="宋体" w:eastAsia="宋体" w:cs="宋体"/>
              <w:color w:val="auto"/>
            </w:rPr>
            <w:fldChar w:fldCharType="end"/>
          </w:r>
          <w:r>
            <w:rPr>
              <w:rFonts w:hint="eastAsia" w:ascii="宋体" w:hAnsi="宋体" w:eastAsia="宋体" w:cs="宋体"/>
              <w:bCs/>
              <w:snapToGrid w:val="0"/>
              <w:color w:val="auto"/>
              <w:spacing w:val="-31"/>
              <w:kern w:val="0"/>
              <w:szCs w:val="28"/>
              <w:lang w:val="en-US" w:eastAsia="en-US" w:bidi="ar-SA"/>
            </w:rPr>
            <w:fldChar w:fldCharType="end"/>
          </w:r>
        </w:p>
        <w:p w14:paraId="5F5B2E7B">
          <w:pPr>
            <w:keepNext w:val="0"/>
            <w:keepLines w:val="0"/>
            <w:pageBreakBefore w:val="0"/>
            <w:overflowPunct/>
            <w:topLinePunct w:val="0"/>
            <w:bidi w:val="0"/>
            <w:spacing w:before="142" w:line="360" w:lineRule="auto"/>
            <w:jc w:val="center"/>
            <w:outlineLvl w:val="0"/>
            <w:rPr>
              <w:rFonts w:hint="eastAsia" w:ascii="宋体" w:hAnsi="宋体" w:eastAsia="宋体" w:cs="宋体"/>
              <w:bCs/>
              <w:snapToGrid w:val="0"/>
              <w:color w:val="auto"/>
              <w:spacing w:val="-31"/>
              <w:kern w:val="0"/>
              <w:sz w:val="21"/>
              <w:szCs w:val="28"/>
              <w:lang w:val="en-US" w:eastAsia="en-US" w:bidi="ar-SA"/>
            </w:rPr>
          </w:pPr>
          <w:r>
            <w:rPr>
              <w:rFonts w:hint="eastAsia" w:ascii="宋体" w:hAnsi="宋体" w:eastAsia="宋体" w:cs="宋体"/>
              <w:bCs/>
              <w:snapToGrid w:val="0"/>
              <w:color w:val="auto"/>
              <w:spacing w:val="-31"/>
              <w:kern w:val="0"/>
              <w:szCs w:val="28"/>
              <w:lang w:val="en-US" w:eastAsia="en-US" w:bidi="ar-SA"/>
            </w:rPr>
            <w:fldChar w:fldCharType="end"/>
          </w:r>
        </w:p>
      </w:sdtContent>
    </w:sdt>
    <w:p w14:paraId="59FFFFC2">
      <w:pPr>
        <w:keepNext w:val="0"/>
        <w:keepLines w:val="0"/>
        <w:pageBreakBefore w:val="0"/>
        <w:overflowPunct/>
        <w:topLinePunct w:val="0"/>
        <w:bidi w:val="0"/>
        <w:spacing w:before="142" w:line="360" w:lineRule="auto"/>
        <w:jc w:val="center"/>
        <w:outlineLvl w:val="0"/>
        <w:rPr>
          <w:rFonts w:hint="eastAsia" w:ascii="宋体" w:hAnsi="宋体" w:eastAsia="宋体" w:cs="宋体"/>
          <w:bCs/>
          <w:snapToGrid w:val="0"/>
          <w:color w:val="auto"/>
          <w:spacing w:val="-31"/>
          <w:kern w:val="0"/>
          <w:sz w:val="21"/>
          <w:szCs w:val="28"/>
          <w:lang w:val="en-US" w:eastAsia="en-US" w:bidi="ar-SA"/>
        </w:rPr>
      </w:pPr>
    </w:p>
    <w:p w14:paraId="5A423560">
      <w:pPr>
        <w:pStyle w:val="4"/>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7A53E7FB">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jc w:val="center"/>
        <w:textAlignment w:val="baseline"/>
        <w:rPr>
          <w:rFonts w:hint="eastAsia" w:ascii="宋体" w:hAnsi="宋体" w:eastAsia="宋体" w:cs="宋体"/>
          <w:b/>
          <w:bCs/>
          <w:color w:val="auto"/>
          <w:sz w:val="28"/>
          <w:szCs w:val="28"/>
        </w:rPr>
      </w:pPr>
    </w:p>
    <w:p w14:paraId="55927305">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jc w:val="center"/>
        <w:textAlignment w:val="baseline"/>
        <w:rPr>
          <w:rFonts w:hint="eastAsia" w:ascii="宋体" w:hAnsi="宋体" w:eastAsia="宋体" w:cs="宋体"/>
          <w:b/>
          <w:bCs/>
          <w:color w:val="auto"/>
          <w:sz w:val="28"/>
          <w:szCs w:val="28"/>
        </w:rPr>
      </w:pPr>
    </w:p>
    <w:p w14:paraId="4E9FD3C9">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jc w:val="center"/>
        <w:textAlignment w:val="baseline"/>
        <w:rPr>
          <w:rFonts w:hint="eastAsia" w:ascii="宋体" w:hAnsi="宋体" w:eastAsia="宋体" w:cs="宋体"/>
          <w:b/>
          <w:bCs/>
          <w:color w:val="auto"/>
          <w:sz w:val="28"/>
          <w:szCs w:val="28"/>
        </w:rPr>
      </w:pPr>
    </w:p>
    <w:p w14:paraId="4CC29F3A">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jc w:val="center"/>
        <w:textAlignment w:val="baseline"/>
        <w:rPr>
          <w:rFonts w:hint="eastAsia" w:ascii="宋体" w:hAnsi="宋体" w:eastAsia="宋体" w:cs="宋体"/>
          <w:b/>
          <w:bCs/>
          <w:color w:val="auto"/>
          <w:sz w:val="28"/>
          <w:szCs w:val="28"/>
        </w:rPr>
      </w:pPr>
    </w:p>
    <w:p w14:paraId="7E370C08">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jc w:val="center"/>
        <w:textAlignment w:val="baseline"/>
        <w:rPr>
          <w:rFonts w:hint="eastAsia" w:ascii="宋体" w:hAnsi="宋体" w:eastAsia="宋体" w:cs="宋体"/>
          <w:b/>
          <w:bCs/>
          <w:color w:val="auto"/>
          <w:sz w:val="28"/>
          <w:szCs w:val="28"/>
        </w:rPr>
      </w:pPr>
    </w:p>
    <w:p w14:paraId="5609A7E9">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jc w:val="center"/>
        <w:textAlignment w:val="baseline"/>
        <w:rPr>
          <w:rFonts w:hint="eastAsia" w:ascii="宋体" w:hAnsi="宋体" w:eastAsia="宋体" w:cs="宋体"/>
          <w:b/>
          <w:bCs/>
          <w:color w:val="auto"/>
          <w:sz w:val="28"/>
          <w:szCs w:val="28"/>
        </w:rPr>
      </w:pPr>
    </w:p>
    <w:p w14:paraId="7CDAC093">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jc w:val="center"/>
        <w:textAlignment w:val="baseline"/>
        <w:rPr>
          <w:rFonts w:hint="eastAsia" w:ascii="宋体" w:hAnsi="宋体" w:eastAsia="宋体" w:cs="宋体"/>
          <w:b/>
          <w:bCs/>
          <w:color w:val="auto"/>
          <w:sz w:val="28"/>
          <w:szCs w:val="28"/>
        </w:rPr>
      </w:pPr>
    </w:p>
    <w:p w14:paraId="78B5C7F2">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jc w:val="center"/>
        <w:textAlignment w:val="baseline"/>
        <w:rPr>
          <w:rFonts w:hint="eastAsia" w:ascii="宋体" w:hAnsi="宋体" w:eastAsia="宋体" w:cs="宋体"/>
          <w:b/>
          <w:bCs/>
          <w:color w:val="auto"/>
          <w:sz w:val="28"/>
          <w:szCs w:val="28"/>
        </w:rPr>
      </w:pPr>
    </w:p>
    <w:p w14:paraId="69D66ACB">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jc w:val="center"/>
        <w:textAlignment w:val="baseline"/>
        <w:rPr>
          <w:rFonts w:hint="eastAsia" w:ascii="宋体" w:hAnsi="宋体" w:eastAsia="宋体" w:cs="宋体"/>
          <w:b/>
          <w:bCs/>
          <w:color w:val="auto"/>
          <w:sz w:val="28"/>
          <w:szCs w:val="28"/>
        </w:rPr>
      </w:pPr>
    </w:p>
    <w:p w14:paraId="0A592492">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jc w:val="center"/>
        <w:textAlignment w:val="baseline"/>
        <w:rPr>
          <w:rFonts w:hint="eastAsia" w:ascii="宋体" w:hAnsi="宋体" w:eastAsia="宋体" w:cs="宋体"/>
          <w:b/>
          <w:bCs/>
          <w:color w:val="auto"/>
          <w:sz w:val="28"/>
          <w:szCs w:val="28"/>
        </w:rPr>
      </w:pPr>
    </w:p>
    <w:p w14:paraId="04112540">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jc w:val="center"/>
        <w:textAlignment w:val="baseline"/>
        <w:rPr>
          <w:rFonts w:hint="eastAsia" w:ascii="宋体" w:hAnsi="宋体" w:eastAsia="宋体" w:cs="宋体"/>
          <w:b/>
          <w:bCs/>
          <w:color w:val="auto"/>
          <w:sz w:val="28"/>
          <w:szCs w:val="28"/>
        </w:rPr>
      </w:pPr>
    </w:p>
    <w:p w14:paraId="0669D9A1">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jc w:val="center"/>
        <w:textAlignment w:val="baseline"/>
        <w:rPr>
          <w:rFonts w:hint="eastAsia" w:ascii="宋体" w:hAnsi="宋体" w:eastAsia="宋体" w:cs="宋体"/>
          <w:b/>
          <w:bCs/>
          <w:color w:val="auto"/>
          <w:sz w:val="28"/>
          <w:szCs w:val="28"/>
        </w:rPr>
      </w:pPr>
    </w:p>
    <w:p w14:paraId="029E2907">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jc w:val="center"/>
        <w:textAlignment w:val="baseline"/>
        <w:rPr>
          <w:rFonts w:hint="eastAsia" w:ascii="宋体" w:hAnsi="宋体" w:eastAsia="宋体" w:cs="宋体"/>
          <w:b/>
          <w:bCs/>
          <w:color w:val="auto"/>
          <w:sz w:val="28"/>
          <w:szCs w:val="28"/>
        </w:rPr>
        <w:sectPr>
          <w:footerReference r:id="rId6" w:type="default"/>
          <w:pgSz w:w="11900" w:h="16840"/>
          <w:pgMar w:top="1440" w:right="1080" w:bottom="1440" w:left="1080" w:header="0" w:footer="0" w:gutter="0"/>
          <w:pgNumType w:fmt="decimal" w:start="1"/>
          <w:cols w:space="720" w:num="1"/>
        </w:sectPr>
      </w:pPr>
    </w:p>
    <w:p w14:paraId="30F054AE">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jc w:val="center"/>
        <w:textAlignment w:val="baseline"/>
        <w:rPr>
          <w:rFonts w:hint="eastAsia" w:ascii="宋体" w:hAnsi="宋体" w:eastAsia="宋体" w:cs="宋体"/>
          <w:b/>
          <w:bCs/>
          <w:color w:val="auto"/>
          <w:sz w:val="28"/>
          <w:szCs w:val="28"/>
        </w:rPr>
      </w:pPr>
    </w:p>
    <w:p w14:paraId="62D7C54C">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jc w:val="center"/>
        <w:textAlignment w:val="baseline"/>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rPr>
        <w:t>第一章 竞争性谈判公告</w:t>
      </w:r>
    </w:p>
    <w:p w14:paraId="37F2502F">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赤峰嘉恒项目管理有限公司受赤峰市生态环境局敖汉旗分局委托，采用竞争性谈判方式组织采购赤峰市生态环境局敖汉旗分局2026年实验室耗材采购。欢迎符合资格条件的供应商前来参加。</w:t>
      </w:r>
    </w:p>
    <w:p w14:paraId="70C62FB3">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一.项目概述</w:t>
      </w:r>
    </w:p>
    <w:p w14:paraId="33CCAFFA">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rPr>
        <w:t>1.名称与编号</w:t>
      </w:r>
    </w:p>
    <w:p w14:paraId="05C9B83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lang w:eastAsia="zh-CN"/>
        </w:rPr>
      </w:pPr>
      <w:r>
        <w:rPr>
          <w:rFonts w:hint="eastAsia" w:ascii="宋体" w:hAnsi="宋体" w:eastAsia="宋体" w:cs="宋体"/>
          <w:color w:val="auto"/>
          <w:sz w:val="28"/>
          <w:szCs w:val="28"/>
        </w:rPr>
        <w:t>项目名称：</w:t>
      </w:r>
      <w:r>
        <w:rPr>
          <w:rFonts w:hint="eastAsia" w:ascii="宋体" w:hAnsi="宋体" w:eastAsia="宋体" w:cs="宋体"/>
          <w:color w:val="auto"/>
          <w:sz w:val="28"/>
          <w:szCs w:val="28"/>
          <w:lang w:eastAsia="zh-CN"/>
        </w:rPr>
        <w:t>赤峰市生态环境局敖汉旗分局2026年实验室耗材采购</w:t>
      </w:r>
    </w:p>
    <w:p w14:paraId="1ECFB7AF">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lang w:eastAsia="zh-CN"/>
        </w:rPr>
      </w:pPr>
      <w:r>
        <w:rPr>
          <w:rFonts w:hint="eastAsia" w:ascii="宋体" w:hAnsi="宋体" w:eastAsia="宋体" w:cs="宋体"/>
          <w:color w:val="auto"/>
          <w:sz w:val="28"/>
          <w:szCs w:val="28"/>
        </w:rPr>
        <w:t>项目编号：</w:t>
      </w:r>
      <w:r>
        <w:rPr>
          <w:rFonts w:hint="eastAsia" w:ascii="宋体" w:hAnsi="宋体" w:eastAsia="宋体" w:cs="宋体"/>
          <w:color w:val="auto"/>
          <w:sz w:val="28"/>
          <w:szCs w:val="28"/>
          <w:lang w:eastAsia="zh-CN"/>
        </w:rPr>
        <w:t>JHDL-2026022</w:t>
      </w:r>
    </w:p>
    <w:p w14:paraId="186D4C8B">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rPr>
        <w:t>2. 内容及划分采购包情况</w:t>
      </w:r>
    </w:p>
    <w:tbl>
      <w:tblPr>
        <w:tblStyle w:val="14"/>
        <w:tblW w:w="964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7"/>
        <w:gridCol w:w="3186"/>
        <w:gridCol w:w="985"/>
        <w:gridCol w:w="1935"/>
        <w:gridCol w:w="1305"/>
        <w:gridCol w:w="1197"/>
      </w:tblGrid>
      <w:tr w14:paraId="4ECE3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1037" w:type="dxa"/>
            <w:vAlign w:val="top"/>
          </w:tcPr>
          <w:p w14:paraId="30E9C7E7">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包号</w:t>
            </w:r>
          </w:p>
        </w:tc>
        <w:tc>
          <w:tcPr>
            <w:tcW w:w="3186" w:type="dxa"/>
            <w:vAlign w:val="top"/>
          </w:tcPr>
          <w:p w14:paraId="07D286FF">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货物、服务和工程</w:t>
            </w:r>
          </w:p>
          <w:p w14:paraId="48757D88">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名称</w:t>
            </w:r>
          </w:p>
        </w:tc>
        <w:tc>
          <w:tcPr>
            <w:tcW w:w="985" w:type="dxa"/>
            <w:vAlign w:val="top"/>
          </w:tcPr>
          <w:p w14:paraId="23B69A27">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数量</w:t>
            </w:r>
          </w:p>
        </w:tc>
        <w:tc>
          <w:tcPr>
            <w:tcW w:w="1935" w:type="dxa"/>
            <w:vAlign w:val="top"/>
          </w:tcPr>
          <w:p w14:paraId="4C818171">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技术规格、参数及要求</w:t>
            </w:r>
          </w:p>
        </w:tc>
        <w:tc>
          <w:tcPr>
            <w:tcW w:w="1305" w:type="dxa"/>
            <w:vAlign w:val="top"/>
          </w:tcPr>
          <w:p w14:paraId="41C939D1">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预算金额</w:t>
            </w:r>
          </w:p>
          <w:p w14:paraId="6FA29AF4">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（元）</w:t>
            </w:r>
          </w:p>
        </w:tc>
        <w:tc>
          <w:tcPr>
            <w:tcW w:w="1197" w:type="dxa"/>
            <w:vAlign w:val="top"/>
          </w:tcPr>
          <w:p w14:paraId="2007314F">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最高</w:t>
            </w:r>
          </w:p>
          <w:p w14:paraId="5ACFC575">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限价</w:t>
            </w:r>
          </w:p>
        </w:tc>
      </w:tr>
      <w:tr w14:paraId="1E745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1037" w:type="dxa"/>
            <w:vAlign w:val="top"/>
          </w:tcPr>
          <w:p w14:paraId="18113BCE">
            <w:pPr>
              <w:keepNext w:val="0"/>
              <w:keepLines w:val="0"/>
              <w:pageBreakBefore w:val="0"/>
              <w:widowControl/>
              <w:kinsoku w:val="0"/>
              <w:wordWrap/>
              <w:overflowPunct/>
              <w:topLinePunct w:val="0"/>
              <w:autoSpaceDE w:val="0"/>
              <w:autoSpaceDN w:val="0"/>
              <w:bidi w:val="0"/>
              <w:adjustRightInd w:val="0"/>
              <w:snapToGrid w:val="0"/>
              <w:spacing w:line="360" w:lineRule="auto"/>
              <w:ind w:firstLine="280" w:firstLineChars="100"/>
              <w:jc w:val="both"/>
              <w:textAlignment w:val="baseline"/>
              <w:rPr>
                <w:rFonts w:hint="eastAsia" w:ascii="宋体" w:hAnsi="宋体" w:eastAsia="宋体" w:cs="宋体"/>
                <w:color w:val="auto"/>
                <w:sz w:val="28"/>
                <w:szCs w:val="28"/>
              </w:rPr>
            </w:pPr>
          </w:p>
          <w:p w14:paraId="67987B17">
            <w:pPr>
              <w:keepNext w:val="0"/>
              <w:keepLines w:val="0"/>
              <w:pageBreakBefore w:val="0"/>
              <w:widowControl/>
              <w:kinsoku w:val="0"/>
              <w:wordWrap/>
              <w:overflowPunct/>
              <w:topLinePunct w:val="0"/>
              <w:autoSpaceDE w:val="0"/>
              <w:autoSpaceDN w:val="0"/>
              <w:bidi w:val="0"/>
              <w:adjustRightInd w:val="0"/>
              <w:snapToGrid w:val="0"/>
              <w:spacing w:line="360" w:lineRule="auto"/>
              <w:ind w:firstLine="280" w:firstLineChars="100"/>
              <w:jc w:val="both"/>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1</w:t>
            </w:r>
          </w:p>
        </w:tc>
        <w:tc>
          <w:tcPr>
            <w:tcW w:w="3186" w:type="dxa"/>
            <w:vAlign w:val="top"/>
          </w:tcPr>
          <w:p w14:paraId="095EA33E">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赤峰市生态环境局敖汉旗分局2026年实验室耗材采购</w:t>
            </w:r>
          </w:p>
        </w:tc>
        <w:tc>
          <w:tcPr>
            <w:tcW w:w="985" w:type="dxa"/>
            <w:vAlign w:val="top"/>
          </w:tcPr>
          <w:p w14:paraId="38FB0EB7">
            <w:pPr>
              <w:keepNext w:val="0"/>
              <w:keepLines w:val="0"/>
              <w:pageBreakBefore w:val="0"/>
              <w:widowControl/>
              <w:kinsoku w:val="0"/>
              <w:wordWrap/>
              <w:overflowPunct/>
              <w:topLinePunct w:val="0"/>
              <w:autoSpaceDE w:val="0"/>
              <w:autoSpaceDN w:val="0"/>
              <w:bidi w:val="0"/>
              <w:adjustRightInd w:val="0"/>
              <w:snapToGrid w:val="0"/>
              <w:spacing w:line="360" w:lineRule="auto"/>
              <w:ind w:firstLine="280" w:firstLineChars="100"/>
              <w:jc w:val="both"/>
              <w:textAlignment w:val="baseline"/>
              <w:rPr>
                <w:rFonts w:hint="eastAsia" w:ascii="宋体" w:hAnsi="宋体" w:eastAsia="宋体" w:cs="宋体"/>
                <w:color w:val="auto"/>
                <w:sz w:val="28"/>
                <w:szCs w:val="28"/>
              </w:rPr>
            </w:pPr>
          </w:p>
          <w:p w14:paraId="0C565F03">
            <w:pPr>
              <w:keepNext w:val="0"/>
              <w:keepLines w:val="0"/>
              <w:pageBreakBefore w:val="0"/>
              <w:widowControl/>
              <w:kinsoku w:val="0"/>
              <w:wordWrap/>
              <w:overflowPunct/>
              <w:topLinePunct w:val="0"/>
              <w:autoSpaceDE w:val="0"/>
              <w:autoSpaceDN w:val="0"/>
              <w:bidi w:val="0"/>
              <w:adjustRightInd w:val="0"/>
              <w:snapToGrid w:val="0"/>
              <w:spacing w:line="360" w:lineRule="auto"/>
              <w:ind w:firstLine="280" w:firstLineChars="100"/>
              <w:jc w:val="both"/>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1</w:t>
            </w:r>
          </w:p>
        </w:tc>
        <w:tc>
          <w:tcPr>
            <w:tcW w:w="1935" w:type="dxa"/>
            <w:vAlign w:val="top"/>
          </w:tcPr>
          <w:p w14:paraId="6E15723B">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auto"/>
                <w:sz w:val="28"/>
                <w:szCs w:val="28"/>
              </w:rPr>
            </w:pPr>
          </w:p>
          <w:p w14:paraId="1EE032C7">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详见谈判文件</w:t>
            </w:r>
          </w:p>
        </w:tc>
        <w:tc>
          <w:tcPr>
            <w:tcW w:w="1305" w:type="dxa"/>
            <w:vAlign w:val="top"/>
          </w:tcPr>
          <w:p w14:paraId="01FB50AD">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auto"/>
                <w:sz w:val="28"/>
                <w:szCs w:val="28"/>
                <w:lang w:eastAsia="zh-CN"/>
              </w:rPr>
            </w:pPr>
          </w:p>
          <w:p w14:paraId="5F6A99DC">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93475.00</w:t>
            </w:r>
          </w:p>
        </w:tc>
        <w:tc>
          <w:tcPr>
            <w:tcW w:w="1197" w:type="dxa"/>
            <w:vAlign w:val="top"/>
          </w:tcPr>
          <w:p w14:paraId="3E126782">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auto"/>
                <w:sz w:val="28"/>
                <w:szCs w:val="28"/>
                <w:lang w:eastAsia="zh-CN"/>
              </w:rPr>
            </w:pPr>
          </w:p>
          <w:p w14:paraId="3519A6E9">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eastAsia="zh-CN"/>
              </w:rPr>
              <w:t>93475.00</w:t>
            </w:r>
          </w:p>
        </w:tc>
      </w:tr>
    </w:tbl>
    <w:p w14:paraId="0C7DE8B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1"/>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本合同包不接受联合体投标</w:t>
      </w:r>
    </w:p>
    <w:p w14:paraId="7BEFF70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1"/>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rPr>
        <w:t>合同履行期限：</w:t>
      </w:r>
      <w:r>
        <w:rPr>
          <w:rFonts w:hint="eastAsia" w:cs="宋体"/>
          <w:color w:val="auto"/>
          <w:sz w:val="28"/>
          <w:szCs w:val="28"/>
          <w:lang w:eastAsia="zh-CN"/>
        </w:rPr>
        <w:t>自合同签订之日</w:t>
      </w:r>
      <w:r>
        <w:rPr>
          <w:rFonts w:hint="eastAsia" w:ascii="宋体" w:hAnsi="宋体" w:eastAsia="宋体" w:cs="宋体"/>
          <w:color w:val="auto"/>
          <w:sz w:val="28"/>
          <w:szCs w:val="28"/>
          <w:lang w:eastAsia="zh-CN"/>
        </w:rPr>
        <w:t>起20日</w:t>
      </w:r>
      <w:r>
        <w:rPr>
          <w:rFonts w:hint="eastAsia" w:cs="宋体"/>
          <w:color w:val="auto"/>
          <w:sz w:val="28"/>
          <w:szCs w:val="28"/>
          <w:lang w:eastAsia="zh-CN"/>
        </w:rPr>
        <w:t>内完成供货，货物送至采购人指定的现场地点，并负责卸货、安放到位。</w:t>
      </w:r>
    </w:p>
    <w:p w14:paraId="43F3240A">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1"/>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rPr>
        <w:t>二.供应商的资格要</w:t>
      </w:r>
      <w:r>
        <w:rPr>
          <w:rFonts w:hint="eastAsia" w:ascii="宋体" w:hAnsi="宋体" w:eastAsia="宋体" w:cs="宋体"/>
          <w:b/>
          <w:bCs/>
          <w:color w:val="auto"/>
          <w:sz w:val="28"/>
          <w:szCs w:val="28"/>
          <w:lang w:val="en-US" w:eastAsia="zh-CN"/>
        </w:rPr>
        <w:t>求</w:t>
      </w:r>
    </w:p>
    <w:p w14:paraId="6E32E39F">
      <w:pPr>
        <w:pStyle w:val="11"/>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320"/>
        <w:jc w:val="both"/>
        <w:rPr>
          <w:rFonts w:hint="eastAsia" w:ascii="宋体" w:hAnsi="宋体" w:eastAsia="宋体" w:cs="宋体"/>
          <w:b w:val="0"/>
          <w:bCs w:val="0"/>
          <w:snapToGrid w:val="0"/>
          <w:color w:val="auto"/>
          <w:kern w:val="0"/>
          <w:sz w:val="28"/>
          <w:szCs w:val="28"/>
          <w:lang w:val="en-US" w:eastAsia="en-US" w:bidi="ar-SA"/>
        </w:rPr>
      </w:pPr>
      <w:r>
        <w:rPr>
          <w:rFonts w:hint="eastAsia" w:ascii="宋体" w:hAnsi="宋体" w:eastAsia="宋体" w:cs="宋体"/>
          <w:b w:val="0"/>
          <w:bCs w:val="0"/>
          <w:snapToGrid w:val="0"/>
          <w:color w:val="auto"/>
          <w:kern w:val="0"/>
          <w:sz w:val="28"/>
          <w:szCs w:val="28"/>
          <w:lang w:val="en-US" w:eastAsia="en-US" w:bidi="ar-SA"/>
        </w:rPr>
        <w:t>1</w:t>
      </w:r>
      <w:r>
        <w:rPr>
          <w:rFonts w:hint="eastAsia" w:ascii="宋体" w:hAnsi="宋体" w:eastAsia="宋体" w:cs="宋体"/>
          <w:b w:val="0"/>
          <w:bCs w:val="0"/>
          <w:snapToGrid w:val="0"/>
          <w:color w:val="auto"/>
          <w:kern w:val="0"/>
          <w:sz w:val="28"/>
          <w:szCs w:val="28"/>
          <w:lang w:val="en-US" w:eastAsia="zh-CN" w:bidi="ar-SA"/>
        </w:rPr>
        <w:t>、</w:t>
      </w:r>
      <w:r>
        <w:rPr>
          <w:rFonts w:hint="eastAsia" w:ascii="宋体" w:hAnsi="宋体" w:eastAsia="宋体" w:cs="宋体"/>
          <w:b w:val="0"/>
          <w:bCs w:val="0"/>
          <w:snapToGrid w:val="0"/>
          <w:color w:val="auto"/>
          <w:kern w:val="0"/>
          <w:sz w:val="28"/>
          <w:szCs w:val="28"/>
          <w:lang w:val="en-US" w:eastAsia="en-US" w:bidi="ar-SA"/>
        </w:rPr>
        <w:t>满足《中华人民共和国政府采购法》第二十二条规定：</w:t>
      </w:r>
    </w:p>
    <w:p w14:paraId="1D9C1B2E">
      <w:pPr>
        <w:pStyle w:val="11"/>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320"/>
        <w:jc w:val="both"/>
        <w:rPr>
          <w:rFonts w:hint="eastAsia" w:ascii="宋体" w:hAnsi="宋体" w:eastAsia="宋体" w:cs="宋体"/>
          <w:b w:val="0"/>
          <w:bCs w:val="0"/>
          <w:snapToGrid w:val="0"/>
          <w:color w:val="auto"/>
          <w:kern w:val="0"/>
          <w:sz w:val="28"/>
          <w:szCs w:val="28"/>
          <w:lang w:val="en-US" w:eastAsia="en-US" w:bidi="ar-SA"/>
        </w:rPr>
      </w:pPr>
      <w:r>
        <w:rPr>
          <w:rFonts w:hint="eastAsia" w:ascii="宋体" w:hAnsi="宋体" w:eastAsia="宋体" w:cs="宋体"/>
          <w:b w:val="0"/>
          <w:bCs w:val="0"/>
          <w:snapToGrid w:val="0"/>
          <w:color w:val="auto"/>
          <w:kern w:val="0"/>
          <w:sz w:val="28"/>
          <w:szCs w:val="28"/>
          <w:lang w:val="en-US" w:eastAsia="en-US" w:bidi="ar-SA"/>
        </w:rPr>
        <w:t>（1）具有独立承担民事责任的能力；</w:t>
      </w:r>
    </w:p>
    <w:p w14:paraId="5D84DD86">
      <w:pPr>
        <w:pStyle w:val="11"/>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320"/>
        <w:jc w:val="both"/>
        <w:rPr>
          <w:rFonts w:hint="eastAsia" w:ascii="宋体" w:hAnsi="宋体" w:eastAsia="宋体" w:cs="宋体"/>
          <w:b w:val="0"/>
          <w:bCs w:val="0"/>
          <w:snapToGrid w:val="0"/>
          <w:color w:val="auto"/>
          <w:kern w:val="0"/>
          <w:sz w:val="28"/>
          <w:szCs w:val="28"/>
          <w:lang w:val="en-US" w:eastAsia="en-US" w:bidi="ar-SA"/>
        </w:rPr>
      </w:pPr>
      <w:r>
        <w:rPr>
          <w:rFonts w:hint="eastAsia" w:ascii="宋体" w:hAnsi="宋体" w:eastAsia="宋体" w:cs="宋体"/>
          <w:b w:val="0"/>
          <w:bCs w:val="0"/>
          <w:snapToGrid w:val="0"/>
          <w:color w:val="auto"/>
          <w:kern w:val="0"/>
          <w:sz w:val="28"/>
          <w:szCs w:val="28"/>
          <w:lang w:val="en-US" w:eastAsia="en-US" w:bidi="ar-SA"/>
        </w:rPr>
        <w:t>（2）具有良好的商业信誉和健全的财务会计制度；</w:t>
      </w:r>
    </w:p>
    <w:p w14:paraId="61A803F6">
      <w:pPr>
        <w:pStyle w:val="11"/>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320"/>
        <w:jc w:val="both"/>
        <w:rPr>
          <w:rFonts w:hint="eastAsia" w:ascii="宋体" w:hAnsi="宋体" w:eastAsia="宋体" w:cs="宋体"/>
          <w:b w:val="0"/>
          <w:bCs w:val="0"/>
          <w:snapToGrid w:val="0"/>
          <w:color w:val="auto"/>
          <w:kern w:val="0"/>
          <w:sz w:val="28"/>
          <w:szCs w:val="28"/>
          <w:lang w:val="en-US" w:eastAsia="en-US" w:bidi="ar-SA"/>
        </w:rPr>
      </w:pPr>
      <w:r>
        <w:rPr>
          <w:rFonts w:hint="eastAsia" w:ascii="宋体" w:hAnsi="宋体" w:eastAsia="宋体" w:cs="宋体"/>
          <w:b w:val="0"/>
          <w:bCs w:val="0"/>
          <w:snapToGrid w:val="0"/>
          <w:color w:val="auto"/>
          <w:kern w:val="0"/>
          <w:sz w:val="28"/>
          <w:szCs w:val="28"/>
          <w:lang w:val="en-US" w:eastAsia="en-US" w:bidi="ar-SA"/>
        </w:rPr>
        <w:t>（3）具有履行合同所必需的设备和专业技术能力；</w:t>
      </w:r>
    </w:p>
    <w:p w14:paraId="55483FBE">
      <w:pPr>
        <w:pStyle w:val="11"/>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320"/>
        <w:jc w:val="both"/>
        <w:rPr>
          <w:rFonts w:hint="eastAsia" w:ascii="宋体" w:hAnsi="宋体" w:eastAsia="宋体" w:cs="宋体"/>
          <w:b w:val="0"/>
          <w:bCs w:val="0"/>
          <w:snapToGrid w:val="0"/>
          <w:color w:val="auto"/>
          <w:kern w:val="0"/>
          <w:sz w:val="28"/>
          <w:szCs w:val="28"/>
          <w:lang w:val="en-US" w:eastAsia="en-US" w:bidi="ar-SA"/>
        </w:rPr>
      </w:pPr>
      <w:r>
        <w:rPr>
          <w:rFonts w:hint="eastAsia" w:ascii="宋体" w:hAnsi="宋体" w:eastAsia="宋体" w:cs="宋体"/>
          <w:b w:val="0"/>
          <w:bCs w:val="0"/>
          <w:snapToGrid w:val="0"/>
          <w:color w:val="auto"/>
          <w:kern w:val="0"/>
          <w:sz w:val="28"/>
          <w:szCs w:val="28"/>
          <w:lang w:val="en-US" w:eastAsia="en-US" w:bidi="ar-SA"/>
        </w:rPr>
        <w:t>（4）有依法缴纳税收和社会保障资金的良好记录；</w:t>
      </w:r>
    </w:p>
    <w:p w14:paraId="5544CB99">
      <w:pPr>
        <w:pStyle w:val="11"/>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320"/>
        <w:jc w:val="both"/>
        <w:rPr>
          <w:rFonts w:hint="eastAsia" w:ascii="宋体" w:hAnsi="宋体" w:eastAsia="宋体" w:cs="宋体"/>
          <w:b w:val="0"/>
          <w:bCs w:val="0"/>
          <w:snapToGrid w:val="0"/>
          <w:color w:val="auto"/>
          <w:kern w:val="0"/>
          <w:sz w:val="28"/>
          <w:szCs w:val="28"/>
          <w:lang w:val="en-US" w:eastAsia="en-US" w:bidi="ar-SA"/>
        </w:rPr>
      </w:pPr>
      <w:r>
        <w:rPr>
          <w:rFonts w:hint="eastAsia" w:ascii="宋体" w:hAnsi="宋体" w:eastAsia="宋体" w:cs="宋体"/>
          <w:b w:val="0"/>
          <w:bCs w:val="0"/>
          <w:snapToGrid w:val="0"/>
          <w:color w:val="auto"/>
          <w:kern w:val="0"/>
          <w:sz w:val="28"/>
          <w:szCs w:val="28"/>
          <w:lang w:val="en-US" w:eastAsia="en-US" w:bidi="ar-SA"/>
        </w:rPr>
        <w:t>（5）参加政府采购活动前三年内，在经营活动中没有重大违法记录；</w:t>
      </w:r>
    </w:p>
    <w:p w14:paraId="52F1A0D1">
      <w:pPr>
        <w:pStyle w:val="11"/>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320"/>
        <w:jc w:val="both"/>
        <w:rPr>
          <w:rFonts w:hint="eastAsia" w:ascii="宋体" w:hAnsi="宋体" w:eastAsia="宋体" w:cs="宋体"/>
          <w:b w:val="0"/>
          <w:bCs w:val="0"/>
          <w:snapToGrid w:val="0"/>
          <w:color w:val="auto"/>
          <w:kern w:val="0"/>
          <w:sz w:val="28"/>
          <w:szCs w:val="28"/>
          <w:lang w:val="en-US" w:eastAsia="en-US" w:bidi="ar-SA"/>
        </w:rPr>
      </w:pPr>
      <w:r>
        <w:rPr>
          <w:rFonts w:hint="eastAsia" w:ascii="宋体" w:hAnsi="宋体" w:eastAsia="宋体" w:cs="宋体"/>
          <w:b w:val="0"/>
          <w:bCs w:val="0"/>
          <w:snapToGrid w:val="0"/>
          <w:color w:val="auto"/>
          <w:kern w:val="0"/>
          <w:sz w:val="28"/>
          <w:szCs w:val="28"/>
          <w:lang w:val="en-US" w:eastAsia="en-US" w:bidi="ar-SA"/>
        </w:rPr>
        <w:t>（6）法律、行政法规规定的其他条件。</w:t>
      </w:r>
    </w:p>
    <w:p w14:paraId="5C34FDFE">
      <w:pPr>
        <w:pStyle w:val="11"/>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705" w:firstLineChars="252"/>
        <w:jc w:val="both"/>
        <w:rPr>
          <w:rFonts w:hint="default" w:ascii="宋体" w:hAnsi="宋体" w:eastAsia="宋体" w:cs="宋体"/>
          <w:b w:val="0"/>
          <w:bCs w:val="0"/>
          <w:color w:val="auto"/>
          <w:kern w:val="2"/>
          <w:sz w:val="28"/>
          <w:szCs w:val="28"/>
          <w:lang w:val="en-US" w:eastAsia="en-US" w:bidi="ar-SA"/>
        </w:rPr>
      </w:pPr>
      <w:r>
        <w:rPr>
          <w:rFonts w:hint="eastAsia" w:ascii="宋体" w:hAnsi="宋体" w:eastAsia="宋体" w:cs="宋体"/>
          <w:b w:val="0"/>
          <w:bCs w:val="0"/>
          <w:snapToGrid w:val="0"/>
          <w:color w:val="auto"/>
          <w:kern w:val="0"/>
          <w:sz w:val="28"/>
          <w:szCs w:val="28"/>
          <w:lang w:val="en-US" w:eastAsia="en-US" w:bidi="ar-SA"/>
        </w:rPr>
        <w:t>2</w:t>
      </w:r>
      <w:r>
        <w:rPr>
          <w:rFonts w:hint="eastAsia" w:ascii="宋体" w:hAnsi="宋体" w:eastAsia="宋体" w:cs="宋体"/>
          <w:b w:val="0"/>
          <w:bCs w:val="0"/>
          <w:snapToGrid w:val="0"/>
          <w:color w:val="auto"/>
          <w:kern w:val="0"/>
          <w:sz w:val="28"/>
          <w:szCs w:val="28"/>
          <w:lang w:val="en-US" w:eastAsia="zh-CN" w:bidi="ar-SA"/>
        </w:rPr>
        <w:t>、</w:t>
      </w:r>
      <w:r>
        <w:rPr>
          <w:rFonts w:hint="eastAsia" w:ascii="宋体" w:hAnsi="宋体" w:eastAsia="宋体" w:cs="宋体"/>
          <w:b w:val="0"/>
          <w:bCs w:val="0"/>
          <w:color w:val="auto"/>
          <w:kern w:val="2"/>
          <w:sz w:val="28"/>
          <w:szCs w:val="28"/>
          <w:lang w:val="en-US" w:eastAsia="zh-CN" w:bidi="ar-SA"/>
        </w:rPr>
        <w:t>本项目特定资格要求：无</w:t>
      </w:r>
    </w:p>
    <w:p w14:paraId="11BB9103">
      <w:pPr>
        <w:pStyle w:val="11"/>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uto"/>
        <w:ind w:left="0" w:right="0" w:firstLine="705" w:firstLineChars="252"/>
        <w:jc w:val="both"/>
        <w:rPr>
          <w:rFonts w:hint="default" w:ascii="宋体" w:hAnsi="宋体" w:eastAsia="宋体" w:cs="宋体"/>
          <w:b w:val="0"/>
          <w:bCs w:val="0"/>
          <w:color w:val="auto"/>
          <w:kern w:val="2"/>
          <w:sz w:val="28"/>
          <w:szCs w:val="28"/>
          <w:lang w:val="en-US" w:eastAsia="en-US" w:bidi="ar-SA"/>
        </w:rPr>
      </w:pPr>
      <w:r>
        <w:rPr>
          <w:rFonts w:hint="eastAsia" w:ascii="宋体" w:hAnsi="宋体" w:eastAsia="宋体" w:cs="宋体"/>
          <w:b w:val="0"/>
          <w:bCs w:val="0"/>
          <w:color w:val="auto"/>
          <w:kern w:val="2"/>
          <w:sz w:val="28"/>
          <w:szCs w:val="28"/>
          <w:lang w:val="en-US" w:eastAsia="zh-CN" w:bidi="ar-SA"/>
        </w:rPr>
        <w:t>3、</w:t>
      </w:r>
      <w:r>
        <w:rPr>
          <w:rFonts w:hint="eastAsia" w:ascii="宋体" w:hAnsi="宋体" w:eastAsia="宋体" w:cs="宋体"/>
          <w:b w:val="0"/>
          <w:bCs w:val="0"/>
          <w:snapToGrid w:val="0"/>
          <w:color w:val="auto"/>
          <w:kern w:val="0"/>
          <w:sz w:val="28"/>
          <w:szCs w:val="28"/>
          <w:lang w:val="en-US" w:eastAsia="en-US" w:bidi="ar-SA"/>
        </w:rPr>
        <w:t>落实政府采购政策需满足的资格要求：</w:t>
      </w:r>
      <w:r>
        <w:rPr>
          <w:rFonts w:hint="eastAsia" w:ascii="宋体" w:hAnsi="宋体" w:eastAsia="宋体" w:cs="宋体"/>
          <w:b w:val="0"/>
          <w:bCs w:val="0"/>
          <w:color w:val="auto"/>
          <w:kern w:val="2"/>
          <w:sz w:val="28"/>
          <w:szCs w:val="28"/>
          <w:lang w:val="en-US" w:eastAsia="zh-CN" w:bidi="ar-SA"/>
        </w:rPr>
        <w:t>不属于专门面向中小企业采购。</w:t>
      </w:r>
    </w:p>
    <w:p w14:paraId="2EC8D5A6">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wordWrap w:val="0"/>
        <w:overflowPunct/>
        <w:topLinePunct w:val="0"/>
        <w:bidi w:val="0"/>
        <w:spacing w:before="0" w:beforeAutospacing="0" w:after="0" w:afterAutospacing="0" w:line="360" w:lineRule="auto"/>
        <w:ind w:left="0" w:right="0" w:firstLine="705" w:firstLineChars="252"/>
        <w:jc w:val="both"/>
        <w:rPr>
          <w:rFonts w:hint="eastAsia" w:ascii="宋体" w:hAnsi="宋体" w:eastAsia="宋体" w:cs="宋体"/>
          <w:b w:val="0"/>
          <w:bCs w:val="0"/>
          <w:color w:val="auto"/>
          <w:kern w:val="2"/>
          <w:sz w:val="28"/>
          <w:szCs w:val="28"/>
          <w:lang w:val="en-US" w:eastAsia="zh-CN" w:bidi="ar-SA"/>
        </w:rPr>
      </w:pPr>
      <w:r>
        <w:rPr>
          <w:rFonts w:hint="eastAsia" w:ascii="宋体" w:hAnsi="宋体" w:eastAsia="宋体" w:cs="宋体"/>
          <w:b w:val="0"/>
          <w:bCs w:val="0"/>
          <w:color w:val="auto"/>
          <w:kern w:val="2"/>
          <w:sz w:val="28"/>
          <w:szCs w:val="28"/>
          <w:lang w:val="en-US" w:eastAsia="zh-CN" w:bidi="ar-SA"/>
        </w:rPr>
        <w:t>单位负责人为同一人或者存在直接控股、管理关系供应商，不得参加同一项下的政府采购活动，为采购项目提供整体设计、规范编制或者项目管理等服务的供应商，不得参加该本采购项目的采购活动。</w:t>
      </w:r>
    </w:p>
    <w:p w14:paraId="7C0034D6">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wordWrap w:val="0"/>
        <w:overflowPunct/>
        <w:topLinePunct w:val="0"/>
        <w:bidi w:val="0"/>
        <w:spacing w:before="0" w:beforeAutospacing="0" w:after="0" w:afterAutospacing="0" w:line="360" w:lineRule="auto"/>
        <w:ind w:left="0" w:leftChars="0" w:right="0" w:rightChars="0" w:firstLine="705" w:firstLineChars="252"/>
        <w:jc w:val="both"/>
        <w:outlineLvl w:val="3"/>
        <w:rPr>
          <w:rFonts w:hint="eastAsia" w:ascii="宋体" w:hAnsi="宋体" w:eastAsia="宋体" w:cs="宋体"/>
          <w:b w:val="0"/>
          <w:bCs w:val="0"/>
          <w:color w:val="auto"/>
          <w:kern w:val="2"/>
          <w:sz w:val="28"/>
          <w:szCs w:val="28"/>
          <w:lang w:val="en-US" w:eastAsia="zh-CN" w:bidi="ar-SA"/>
        </w:rPr>
      </w:pPr>
      <w:r>
        <w:rPr>
          <w:rFonts w:hint="eastAsia" w:ascii="宋体" w:hAnsi="宋体" w:eastAsia="宋体" w:cs="宋体"/>
          <w:b w:val="0"/>
          <w:bCs w:val="0"/>
          <w:color w:val="auto"/>
          <w:kern w:val="2"/>
          <w:sz w:val="28"/>
          <w:szCs w:val="28"/>
          <w:lang w:val="en-US" w:eastAsia="zh-CN" w:bidi="ar-SA"/>
        </w:rPr>
        <w:t>4、资格审查合格、制作响应文件并参加本项目开标。</w:t>
      </w:r>
    </w:p>
    <w:p w14:paraId="0E481CA5">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三.获取谈判文件的时间、地点、方式</w:t>
      </w:r>
    </w:p>
    <w:p w14:paraId="670465B4">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3.1</w:t>
      </w:r>
      <w:r>
        <w:rPr>
          <w:rFonts w:hint="eastAsia" w:ascii="宋体" w:hAnsi="宋体" w:eastAsia="宋体" w:cs="宋体"/>
          <w:color w:val="auto"/>
          <w:sz w:val="28"/>
          <w:szCs w:val="28"/>
        </w:rPr>
        <w:t>符合上述条件的供应商可在20</w:t>
      </w:r>
      <w:r>
        <w:rPr>
          <w:rFonts w:hint="eastAsia" w:ascii="宋体" w:hAnsi="宋体" w:eastAsia="宋体" w:cs="宋体"/>
          <w:color w:val="auto"/>
          <w:sz w:val="28"/>
          <w:szCs w:val="28"/>
          <w:lang w:val="en-US" w:eastAsia="zh-CN"/>
        </w:rPr>
        <w:t>26</w:t>
      </w:r>
      <w:r>
        <w:rPr>
          <w:rFonts w:hint="eastAsia" w:ascii="宋体" w:hAnsi="宋体" w:eastAsia="宋体" w:cs="宋体"/>
          <w:color w:val="auto"/>
          <w:sz w:val="28"/>
          <w:szCs w:val="28"/>
        </w:rPr>
        <w:t>年</w:t>
      </w:r>
      <w:r>
        <w:rPr>
          <w:rFonts w:hint="eastAsia" w:ascii="宋体" w:hAnsi="宋体" w:eastAsia="宋体" w:cs="宋体"/>
          <w:color w:val="auto"/>
          <w:sz w:val="28"/>
          <w:szCs w:val="28"/>
          <w:lang w:val="en-US" w:eastAsia="zh-CN"/>
        </w:rPr>
        <w:t>8</w:t>
      </w:r>
      <w:r>
        <w:rPr>
          <w:rFonts w:hint="eastAsia" w:ascii="宋体" w:hAnsi="宋体" w:eastAsia="宋体" w:cs="宋体"/>
          <w:color w:val="auto"/>
          <w:sz w:val="28"/>
          <w:szCs w:val="28"/>
        </w:rPr>
        <w:t>月</w:t>
      </w:r>
      <w:r>
        <w:rPr>
          <w:rFonts w:hint="eastAsia" w:ascii="宋体" w:hAnsi="宋体" w:eastAsia="宋体" w:cs="宋体"/>
          <w:color w:val="auto"/>
          <w:sz w:val="28"/>
          <w:szCs w:val="28"/>
          <w:lang w:val="en-US" w:eastAsia="zh-CN"/>
        </w:rPr>
        <w:t>24</w:t>
      </w:r>
      <w:r>
        <w:rPr>
          <w:rFonts w:hint="eastAsia" w:ascii="宋体" w:hAnsi="宋体" w:eastAsia="宋体" w:cs="宋体"/>
          <w:color w:val="auto"/>
          <w:sz w:val="28"/>
          <w:szCs w:val="28"/>
        </w:rPr>
        <w:t>日至20</w:t>
      </w:r>
      <w:r>
        <w:rPr>
          <w:rFonts w:hint="eastAsia" w:ascii="宋体" w:hAnsi="宋体" w:eastAsia="宋体" w:cs="宋体"/>
          <w:color w:val="auto"/>
          <w:sz w:val="28"/>
          <w:szCs w:val="28"/>
          <w:lang w:val="en-US" w:eastAsia="zh-CN"/>
        </w:rPr>
        <w:t>26</w:t>
      </w:r>
      <w:r>
        <w:rPr>
          <w:rFonts w:hint="eastAsia" w:ascii="宋体" w:hAnsi="宋体" w:eastAsia="宋体" w:cs="宋体"/>
          <w:color w:val="auto"/>
          <w:sz w:val="28"/>
          <w:szCs w:val="28"/>
        </w:rPr>
        <w:t>年</w:t>
      </w:r>
      <w:r>
        <w:rPr>
          <w:rFonts w:hint="eastAsia" w:ascii="宋体" w:hAnsi="宋体" w:eastAsia="宋体" w:cs="宋体"/>
          <w:color w:val="auto"/>
          <w:sz w:val="28"/>
          <w:szCs w:val="28"/>
          <w:lang w:val="en-US" w:eastAsia="zh-CN"/>
        </w:rPr>
        <w:t>8</w:t>
      </w:r>
      <w:r>
        <w:rPr>
          <w:rFonts w:hint="eastAsia" w:ascii="宋体" w:hAnsi="宋体" w:eastAsia="宋体" w:cs="宋体"/>
          <w:color w:val="auto"/>
          <w:sz w:val="28"/>
          <w:szCs w:val="28"/>
        </w:rPr>
        <w:t>月</w:t>
      </w:r>
      <w:r>
        <w:rPr>
          <w:rFonts w:hint="eastAsia" w:ascii="宋体" w:hAnsi="宋体" w:eastAsia="宋体" w:cs="宋体"/>
          <w:color w:val="auto"/>
          <w:sz w:val="28"/>
          <w:szCs w:val="28"/>
          <w:lang w:val="en-US" w:eastAsia="zh-CN"/>
        </w:rPr>
        <w:t>26</w:t>
      </w:r>
      <w:r>
        <w:rPr>
          <w:rFonts w:hint="eastAsia" w:ascii="宋体" w:hAnsi="宋体" w:eastAsia="宋体" w:cs="宋体"/>
          <w:color w:val="auto"/>
          <w:sz w:val="28"/>
          <w:szCs w:val="28"/>
        </w:rPr>
        <w:t>日，每个工作日上午8:</w:t>
      </w:r>
      <w:r>
        <w:rPr>
          <w:rFonts w:hint="eastAsia" w:ascii="宋体" w:hAnsi="宋体" w:eastAsia="宋体" w:cs="宋体"/>
          <w:color w:val="auto"/>
          <w:sz w:val="28"/>
          <w:szCs w:val="28"/>
          <w:lang w:val="en-US" w:eastAsia="zh-CN"/>
        </w:rPr>
        <w:t>0</w:t>
      </w:r>
      <w:r>
        <w:rPr>
          <w:rFonts w:hint="eastAsia" w:ascii="宋体" w:hAnsi="宋体" w:eastAsia="宋体" w:cs="宋体"/>
          <w:color w:val="auto"/>
          <w:sz w:val="28"/>
          <w:szCs w:val="28"/>
        </w:rPr>
        <w:t>0-1</w:t>
      </w:r>
      <w:r>
        <w:rPr>
          <w:rFonts w:hint="eastAsia" w:ascii="宋体" w:hAnsi="宋体" w:eastAsia="宋体" w:cs="宋体"/>
          <w:color w:val="auto"/>
          <w:sz w:val="28"/>
          <w:szCs w:val="28"/>
          <w:lang w:val="en-US" w:eastAsia="zh-CN"/>
        </w:rPr>
        <w:t>1</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rPr>
        <w:t>0时，下午2:30-5:30时填写《报名供应商登记表》(《报名供应商登记表》见附件中谈判文件)</w:t>
      </w:r>
      <w:r>
        <w:rPr>
          <w:rFonts w:hint="eastAsia" w:ascii="宋体" w:hAnsi="宋体" w:eastAsia="宋体" w:cs="宋体"/>
          <w:color w:val="auto"/>
          <w:sz w:val="28"/>
          <w:szCs w:val="28"/>
          <w:lang w:eastAsia="zh-CN"/>
        </w:rPr>
        <w:t>发送到</w:t>
      </w:r>
      <w:r>
        <w:rPr>
          <w:rFonts w:hint="eastAsia" w:ascii="宋体" w:hAnsi="宋体" w:eastAsia="宋体" w:cs="宋体"/>
          <w:color w:val="auto"/>
          <w:sz w:val="28"/>
          <w:szCs w:val="28"/>
          <w:lang w:val="en-US" w:eastAsia="zh-CN"/>
        </w:rPr>
        <w:t>cfjhxmgl@163.com</w:t>
      </w:r>
      <w:r>
        <w:rPr>
          <w:rFonts w:hint="eastAsia" w:ascii="宋体" w:hAnsi="宋体" w:eastAsia="宋体" w:cs="宋体"/>
          <w:color w:val="auto"/>
          <w:sz w:val="28"/>
          <w:szCs w:val="28"/>
        </w:rPr>
        <w:t>。潜在供应商</w:t>
      </w:r>
      <w:r>
        <w:rPr>
          <w:rFonts w:hint="eastAsia" w:ascii="宋体" w:hAnsi="宋体" w:eastAsia="宋体" w:cs="宋体"/>
          <w:color w:val="auto"/>
          <w:sz w:val="28"/>
          <w:szCs w:val="28"/>
          <w:lang w:val="en-US" w:eastAsia="zh-CN"/>
        </w:rPr>
        <w:t>报名合格后</w:t>
      </w:r>
      <w:r>
        <w:rPr>
          <w:rFonts w:hint="eastAsia" w:ascii="宋体" w:hAnsi="宋体" w:eastAsia="宋体" w:cs="宋体"/>
          <w:color w:val="auto"/>
          <w:sz w:val="28"/>
          <w:szCs w:val="28"/>
        </w:rPr>
        <w:t>应在赤峰市生态环境局官网（http://sthjj.chifeng.gov.cn/）自行下载</w:t>
      </w:r>
      <w:r>
        <w:rPr>
          <w:rFonts w:hint="eastAsia" w:ascii="宋体" w:hAnsi="宋体" w:eastAsia="宋体" w:cs="宋体"/>
          <w:color w:val="auto"/>
          <w:sz w:val="28"/>
          <w:szCs w:val="28"/>
          <w:lang w:val="en-US" w:eastAsia="zh-CN"/>
        </w:rPr>
        <w:t>竞争性谈判文件</w:t>
      </w:r>
      <w:r>
        <w:rPr>
          <w:rFonts w:hint="eastAsia" w:ascii="宋体" w:hAnsi="宋体" w:eastAsia="宋体" w:cs="宋体"/>
          <w:color w:val="auto"/>
          <w:sz w:val="28"/>
          <w:szCs w:val="28"/>
        </w:rPr>
        <w:t>。</w:t>
      </w:r>
    </w:p>
    <w:p w14:paraId="1C285B61">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3.2</w:t>
      </w:r>
      <w:r>
        <w:rPr>
          <w:rFonts w:hint="eastAsia" w:ascii="宋体" w:hAnsi="宋体" w:eastAsia="宋体" w:cs="宋体"/>
          <w:color w:val="auto"/>
          <w:sz w:val="28"/>
          <w:szCs w:val="28"/>
        </w:rPr>
        <w:t>自获取采购文件之日起，供应商应保证其提供的通讯手段(电话、联系人、电子邮箱、传真等)一直有效，以保证有关函件(补遗书、通知等)能及时通知投标人，并能及时反馈信息，否则后果自负。</w:t>
      </w:r>
    </w:p>
    <w:p w14:paraId="2F68CA8A">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四.谈判文件售价</w:t>
      </w:r>
    </w:p>
    <w:p w14:paraId="6149F481">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本次谈判文件的售价为0元人民币。</w:t>
      </w:r>
    </w:p>
    <w:p w14:paraId="6C58E401">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五.响应文件提交的截止时间、开启时间及地点</w:t>
      </w:r>
    </w:p>
    <w:p w14:paraId="693FC00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递交投标（响应）文件截止时间：202</w:t>
      </w:r>
      <w:r>
        <w:rPr>
          <w:rFonts w:hint="eastAsia" w:ascii="宋体" w:hAnsi="宋体" w:eastAsia="宋体" w:cs="宋体"/>
          <w:color w:val="auto"/>
          <w:sz w:val="28"/>
          <w:szCs w:val="28"/>
          <w:lang w:val="en-US" w:eastAsia="zh-CN"/>
        </w:rPr>
        <w:t>6</w:t>
      </w:r>
      <w:r>
        <w:rPr>
          <w:rFonts w:hint="eastAsia" w:ascii="宋体" w:hAnsi="宋体" w:eastAsia="宋体" w:cs="宋体"/>
          <w:color w:val="auto"/>
          <w:sz w:val="28"/>
          <w:szCs w:val="28"/>
        </w:rPr>
        <w:t>年</w:t>
      </w:r>
      <w:r>
        <w:rPr>
          <w:rFonts w:hint="eastAsia" w:ascii="宋体" w:hAnsi="宋体" w:eastAsia="宋体" w:cs="宋体"/>
          <w:color w:val="auto"/>
          <w:sz w:val="28"/>
          <w:szCs w:val="28"/>
          <w:lang w:val="en-US" w:eastAsia="zh-CN"/>
        </w:rPr>
        <w:t>8</w:t>
      </w:r>
      <w:r>
        <w:rPr>
          <w:rFonts w:hint="eastAsia" w:ascii="宋体" w:hAnsi="宋体" w:eastAsia="宋体" w:cs="宋体"/>
          <w:color w:val="auto"/>
          <w:sz w:val="28"/>
          <w:szCs w:val="28"/>
        </w:rPr>
        <w:t>月</w:t>
      </w:r>
      <w:r>
        <w:rPr>
          <w:rFonts w:hint="eastAsia" w:ascii="宋体" w:hAnsi="宋体" w:eastAsia="宋体" w:cs="宋体"/>
          <w:color w:val="auto"/>
          <w:sz w:val="28"/>
          <w:szCs w:val="28"/>
          <w:lang w:val="en-US" w:eastAsia="zh-CN"/>
        </w:rPr>
        <w:t>27</w:t>
      </w:r>
      <w:r>
        <w:rPr>
          <w:rFonts w:hint="eastAsia" w:ascii="宋体" w:hAnsi="宋体" w:eastAsia="宋体" w:cs="宋体"/>
          <w:color w:val="auto"/>
          <w:sz w:val="28"/>
          <w:szCs w:val="28"/>
        </w:rPr>
        <w:t>日</w:t>
      </w:r>
      <w:r>
        <w:rPr>
          <w:rFonts w:hint="eastAsia" w:ascii="宋体" w:hAnsi="宋体" w:eastAsia="宋体" w:cs="宋体"/>
          <w:color w:val="auto"/>
          <w:sz w:val="28"/>
          <w:szCs w:val="28"/>
          <w:lang w:val="en-US" w:eastAsia="zh-CN"/>
        </w:rPr>
        <w:t>上</w:t>
      </w:r>
      <w:r>
        <w:rPr>
          <w:rFonts w:hint="eastAsia" w:ascii="宋体" w:hAnsi="宋体" w:eastAsia="宋体" w:cs="宋体"/>
          <w:color w:val="auto"/>
          <w:sz w:val="28"/>
          <w:szCs w:val="28"/>
        </w:rPr>
        <w:t>午</w:t>
      </w:r>
      <w:r>
        <w:rPr>
          <w:rFonts w:hint="eastAsia" w:ascii="宋体" w:hAnsi="宋体" w:eastAsia="宋体" w:cs="宋体"/>
          <w:color w:val="auto"/>
          <w:sz w:val="28"/>
          <w:szCs w:val="28"/>
          <w:lang w:val="en-US" w:eastAsia="zh-CN"/>
        </w:rPr>
        <w:t>9</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0</w:t>
      </w:r>
      <w:r>
        <w:rPr>
          <w:rFonts w:hint="eastAsia" w:ascii="宋体" w:hAnsi="宋体" w:eastAsia="宋体" w:cs="宋体"/>
          <w:color w:val="auto"/>
          <w:sz w:val="28"/>
          <w:szCs w:val="28"/>
        </w:rPr>
        <w:t>0。</w:t>
      </w:r>
    </w:p>
    <w:p w14:paraId="37EAF4CA">
      <w:pPr>
        <w:keepNext w:val="0"/>
        <w:keepLines w:val="0"/>
        <w:pageBreakBefore w:val="0"/>
        <w:widowControl/>
        <w:kinsoku w:val="0"/>
        <w:wordWrap/>
        <w:overflowPunct/>
        <w:topLinePunct w:val="0"/>
        <w:autoSpaceDE w:val="0"/>
        <w:autoSpaceDN w:val="0"/>
        <w:bidi w:val="0"/>
        <w:adjustRightInd w:val="0"/>
        <w:snapToGrid w:val="0"/>
        <w:spacing w:line="360" w:lineRule="auto"/>
        <w:ind w:left="559" w:leftChars="266" w:firstLine="0" w:firstLineChars="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投标（响应）文件递交地点：</w:t>
      </w:r>
      <w:r>
        <w:rPr>
          <w:rFonts w:hint="eastAsia" w:ascii="宋体" w:hAnsi="宋体" w:eastAsia="宋体" w:cs="宋体"/>
          <w:color w:val="auto"/>
          <w:sz w:val="28"/>
          <w:szCs w:val="28"/>
          <w:lang w:eastAsia="zh-CN"/>
        </w:rPr>
        <w:t>赤峰嘉恒项目管理有限公司</w:t>
      </w:r>
      <w:r>
        <w:rPr>
          <w:rFonts w:hint="eastAsia" w:ascii="宋体" w:hAnsi="宋体" w:eastAsia="宋体" w:cs="宋体"/>
          <w:color w:val="auto"/>
          <w:sz w:val="28"/>
          <w:szCs w:val="28"/>
          <w:lang w:val="en-US" w:eastAsia="zh-CN"/>
        </w:rPr>
        <w:t>14楼</w:t>
      </w:r>
      <w:r>
        <w:rPr>
          <w:rFonts w:hint="eastAsia" w:ascii="宋体" w:hAnsi="宋体" w:eastAsia="宋体" w:cs="宋体"/>
          <w:color w:val="auto"/>
          <w:sz w:val="28"/>
          <w:szCs w:val="28"/>
        </w:rPr>
        <w:t>开标室。</w:t>
      </w:r>
    </w:p>
    <w:p w14:paraId="70D48C3A">
      <w:pPr>
        <w:keepNext w:val="0"/>
        <w:keepLines w:val="0"/>
        <w:pageBreakBefore w:val="0"/>
        <w:widowControl/>
        <w:kinsoku w:val="0"/>
        <w:wordWrap/>
        <w:overflowPunct/>
        <w:topLinePunct w:val="0"/>
        <w:autoSpaceDE w:val="0"/>
        <w:autoSpaceDN w:val="0"/>
        <w:bidi w:val="0"/>
        <w:adjustRightInd w:val="0"/>
        <w:snapToGrid w:val="0"/>
        <w:spacing w:line="360" w:lineRule="auto"/>
        <w:ind w:left="559" w:leftChars="266" w:firstLine="0" w:firstLineChars="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开标时间：202</w:t>
      </w:r>
      <w:r>
        <w:rPr>
          <w:rFonts w:hint="eastAsia" w:ascii="宋体" w:hAnsi="宋体" w:eastAsia="宋体" w:cs="宋体"/>
          <w:color w:val="auto"/>
          <w:sz w:val="28"/>
          <w:szCs w:val="28"/>
          <w:lang w:val="en-US" w:eastAsia="zh-CN"/>
        </w:rPr>
        <w:t>6</w:t>
      </w:r>
      <w:r>
        <w:rPr>
          <w:rFonts w:hint="eastAsia" w:ascii="宋体" w:hAnsi="宋体" w:eastAsia="宋体" w:cs="宋体"/>
          <w:color w:val="auto"/>
          <w:sz w:val="28"/>
          <w:szCs w:val="28"/>
        </w:rPr>
        <w:t>年</w:t>
      </w:r>
      <w:r>
        <w:rPr>
          <w:rFonts w:hint="eastAsia" w:ascii="宋体" w:hAnsi="宋体" w:eastAsia="宋体" w:cs="宋体"/>
          <w:color w:val="auto"/>
          <w:sz w:val="28"/>
          <w:szCs w:val="28"/>
          <w:lang w:val="en-US" w:eastAsia="zh-CN"/>
        </w:rPr>
        <w:t>8</w:t>
      </w:r>
      <w:r>
        <w:rPr>
          <w:rFonts w:hint="eastAsia" w:ascii="宋体" w:hAnsi="宋体" w:eastAsia="宋体" w:cs="宋体"/>
          <w:color w:val="auto"/>
          <w:sz w:val="28"/>
          <w:szCs w:val="28"/>
        </w:rPr>
        <w:t>月</w:t>
      </w:r>
      <w:r>
        <w:rPr>
          <w:rFonts w:hint="eastAsia" w:ascii="宋体" w:hAnsi="宋体" w:eastAsia="宋体" w:cs="宋体"/>
          <w:color w:val="auto"/>
          <w:sz w:val="28"/>
          <w:szCs w:val="28"/>
          <w:lang w:val="en-US" w:eastAsia="zh-CN"/>
        </w:rPr>
        <w:t>27</w:t>
      </w:r>
      <w:r>
        <w:rPr>
          <w:rFonts w:hint="eastAsia" w:ascii="宋体" w:hAnsi="宋体" w:eastAsia="宋体" w:cs="宋体"/>
          <w:color w:val="auto"/>
          <w:sz w:val="28"/>
          <w:szCs w:val="28"/>
        </w:rPr>
        <w:t>日</w:t>
      </w:r>
      <w:r>
        <w:rPr>
          <w:rFonts w:hint="eastAsia" w:ascii="宋体" w:hAnsi="宋体" w:eastAsia="宋体" w:cs="宋体"/>
          <w:color w:val="auto"/>
          <w:sz w:val="28"/>
          <w:szCs w:val="28"/>
          <w:lang w:val="en-US" w:eastAsia="zh-CN"/>
        </w:rPr>
        <w:t>上</w:t>
      </w:r>
      <w:r>
        <w:rPr>
          <w:rFonts w:hint="eastAsia" w:ascii="宋体" w:hAnsi="宋体" w:eastAsia="宋体" w:cs="宋体"/>
          <w:color w:val="auto"/>
          <w:sz w:val="28"/>
          <w:szCs w:val="28"/>
        </w:rPr>
        <w:t>午</w:t>
      </w:r>
      <w:r>
        <w:rPr>
          <w:rFonts w:hint="eastAsia" w:ascii="宋体" w:hAnsi="宋体" w:eastAsia="宋体" w:cs="宋体"/>
          <w:color w:val="auto"/>
          <w:sz w:val="28"/>
          <w:szCs w:val="28"/>
          <w:lang w:val="en-US" w:eastAsia="zh-CN"/>
        </w:rPr>
        <w:t>9</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0</w:t>
      </w:r>
      <w:r>
        <w:rPr>
          <w:rFonts w:hint="eastAsia" w:ascii="宋体" w:hAnsi="宋体" w:eastAsia="宋体" w:cs="宋体"/>
          <w:color w:val="auto"/>
          <w:sz w:val="28"/>
          <w:szCs w:val="28"/>
        </w:rPr>
        <w:t>0。</w:t>
      </w:r>
    </w:p>
    <w:p w14:paraId="1F6142E2">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开标地点：</w:t>
      </w:r>
      <w:r>
        <w:rPr>
          <w:rFonts w:hint="eastAsia" w:ascii="宋体" w:hAnsi="宋体" w:eastAsia="宋体" w:cs="宋体"/>
          <w:color w:val="auto"/>
          <w:sz w:val="28"/>
          <w:szCs w:val="28"/>
          <w:lang w:eastAsia="zh-CN"/>
        </w:rPr>
        <w:t>赤峰嘉恒项目管理有限公司</w:t>
      </w:r>
      <w:r>
        <w:rPr>
          <w:rFonts w:hint="eastAsia" w:ascii="宋体" w:hAnsi="宋体" w:eastAsia="宋体" w:cs="宋体"/>
          <w:color w:val="auto"/>
          <w:sz w:val="28"/>
          <w:szCs w:val="28"/>
          <w:lang w:val="en-US" w:eastAsia="zh-CN"/>
        </w:rPr>
        <w:t>14楼</w:t>
      </w:r>
      <w:r>
        <w:rPr>
          <w:rFonts w:hint="eastAsia" w:ascii="宋体" w:hAnsi="宋体" w:eastAsia="宋体" w:cs="宋体"/>
          <w:color w:val="auto"/>
          <w:sz w:val="28"/>
          <w:szCs w:val="28"/>
        </w:rPr>
        <w:t>开标室。</w:t>
      </w:r>
    </w:p>
    <w:p w14:paraId="6D1B4CF4">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六.联系方式</w:t>
      </w:r>
    </w:p>
    <w:p w14:paraId="58657B3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lang w:eastAsia="zh-CN"/>
        </w:rPr>
      </w:pPr>
      <w:r>
        <w:rPr>
          <w:rFonts w:hint="eastAsia" w:ascii="宋体" w:hAnsi="宋体" w:eastAsia="宋体" w:cs="宋体"/>
          <w:color w:val="auto"/>
          <w:sz w:val="28"/>
          <w:szCs w:val="28"/>
        </w:rPr>
        <w:t>采购代理机构名称：</w:t>
      </w:r>
      <w:r>
        <w:rPr>
          <w:rFonts w:hint="eastAsia" w:ascii="宋体" w:hAnsi="宋体" w:eastAsia="宋体" w:cs="宋体"/>
          <w:color w:val="auto"/>
          <w:sz w:val="28"/>
          <w:szCs w:val="28"/>
          <w:lang w:eastAsia="zh-CN"/>
        </w:rPr>
        <w:t>赤峰嘉恒项目管理有限公司</w:t>
      </w:r>
    </w:p>
    <w:p w14:paraId="2BE8E89F">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 xml:space="preserve">地址：赤峰市喀喇沁旗和美工贸园恒茂峰汇C座 </w:t>
      </w:r>
    </w:p>
    <w:p w14:paraId="3297F339">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lang w:eastAsia="zh-CN"/>
        </w:rPr>
      </w:pPr>
      <w:r>
        <w:rPr>
          <w:rFonts w:hint="eastAsia" w:ascii="宋体" w:hAnsi="宋体" w:eastAsia="宋体" w:cs="宋体"/>
          <w:color w:val="auto"/>
          <w:sz w:val="28"/>
          <w:szCs w:val="28"/>
        </w:rPr>
        <w:t>联系人：</w:t>
      </w:r>
      <w:r>
        <w:rPr>
          <w:rFonts w:hint="eastAsia" w:ascii="宋体" w:hAnsi="宋体" w:eastAsia="宋体" w:cs="宋体"/>
          <w:color w:val="auto"/>
          <w:sz w:val="28"/>
          <w:szCs w:val="28"/>
          <w:lang w:eastAsia="zh-CN"/>
        </w:rPr>
        <w:t>韩先生</w:t>
      </w:r>
    </w:p>
    <w:p w14:paraId="29DB5251">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default" w:ascii="宋体" w:hAnsi="宋体" w:eastAsia="宋体" w:cs="宋体"/>
          <w:snapToGrid w:val="0"/>
          <w:color w:val="auto"/>
          <w:kern w:val="0"/>
          <w:sz w:val="28"/>
          <w:szCs w:val="28"/>
          <w:lang w:val="en-US" w:eastAsia="zh-CN" w:bidi="ar-SA"/>
        </w:rPr>
      </w:pPr>
      <w:r>
        <w:rPr>
          <w:rFonts w:hint="eastAsia" w:ascii="宋体" w:hAnsi="宋体" w:eastAsia="宋体" w:cs="宋体"/>
          <w:color w:val="auto"/>
          <w:sz w:val="28"/>
          <w:szCs w:val="28"/>
        </w:rPr>
        <w:t>联</w:t>
      </w:r>
      <w:r>
        <w:rPr>
          <w:rFonts w:hint="eastAsia" w:ascii="宋体" w:hAnsi="宋体" w:eastAsia="宋体" w:cs="宋体"/>
          <w:snapToGrid w:val="0"/>
          <w:color w:val="auto"/>
          <w:kern w:val="0"/>
          <w:sz w:val="28"/>
          <w:szCs w:val="28"/>
          <w:lang w:val="en-US" w:eastAsia="en-US" w:bidi="ar-SA"/>
        </w:rPr>
        <w:t>系电话：</w:t>
      </w:r>
      <w:bookmarkStart w:id="2" w:name="_Toc5989"/>
      <w:bookmarkStart w:id="3" w:name="_Toc27942"/>
      <w:bookmarkStart w:id="4" w:name="_Toc3788"/>
      <w:r>
        <w:rPr>
          <w:rFonts w:hint="eastAsia" w:ascii="宋体" w:hAnsi="宋体" w:eastAsia="宋体" w:cs="宋体"/>
          <w:snapToGrid w:val="0"/>
          <w:color w:val="auto"/>
          <w:kern w:val="0"/>
          <w:sz w:val="28"/>
          <w:szCs w:val="28"/>
          <w:lang w:val="en-US" w:eastAsia="zh-CN" w:bidi="ar-SA"/>
        </w:rPr>
        <w:t>13664766000</w:t>
      </w:r>
    </w:p>
    <w:p w14:paraId="664D283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bCs/>
          <w:color w:val="auto"/>
          <w:sz w:val="28"/>
          <w:szCs w:val="28"/>
          <w:lang w:val="en-US" w:eastAsia="zh-CN"/>
        </w:rPr>
      </w:pPr>
    </w:p>
    <w:p w14:paraId="77AAC12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outlineLvl w:val="0"/>
        <w:rPr>
          <w:rFonts w:hint="eastAsia" w:ascii="宋体" w:hAnsi="宋体" w:eastAsia="宋体" w:cs="宋体"/>
          <w:bCs/>
          <w:color w:val="auto"/>
          <w:sz w:val="28"/>
          <w:szCs w:val="28"/>
          <w:lang w:val="en-US" w:eastAsia="zh-CN"/>
        </w:rPr>
      </w:pPr>
      <w:bookmarkStart w:id="5" w:name="_Toc6254"/>
      <w:bookmarkStart w:id="6" w:name="_Toc3308"/>
      <w:r>
        <w:rPr>
          <w:rFonts w:hint="eastAsia" w:ascii="宋体" w:hAnsi="宋体" w:eastAsia="宋体" w:cs="宋体"/>
          <w:bCs/>
          <w:color w:val="auto"/>
          <w:sz w:val="28"/>
          <w:szCs w:val="28"/>
          <w:lang w:val="en-US" w:eastAsia="zh-CN"/>
        </w:rPr>
        <w:t>采购单位名称：</w:t>
      </w:r>
      <w:bookmarkEnd w:id="2"/>
      <w:bookmarkEnd w:id="3"/>
      <w:bookmarkEnd w:id="4"/>
      <w:r>
        <w:rPr>
          <w:rFonts w:hint="eastAsia" w:ascii="宋体" w:hAnsi="宋体" w:eastAsia="宋体" w:cs="宋体"/>
          <w:bCs/>
          <w:color w:val="auto"/>
          <w:sz w:val="28"/>
          <w:szCs w:val="28"/>
          <w:lang w:val="en-US" w:eastAsia="zh-CN"/>
        </w:rPr>
        <w:t>赤峰市生态环境局敖汉旗分局</w:t>
      </w:r>
      <w:bookmarkEnd w:id="5"/>
      <w:bookmarkEnd w:id="6"/>
    </w:p>
    <w:p w14:paraId="08F3BC2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outlineLvl w:val="9"/>
        <w:rPr>
          <w:rFonts w:hint="eastAsia" w:ascii="宋体" w:hAnsi="宋体" w:eastAsia="宋体" w:cs="宋体"/>
          <w:bCs/>
          <w:color w:val="auto"/>
          <w:sz w:val="28"/>
          <w:szCs w:val="28"/>
          <w:lang w:val="en-US" w:eastAsia="zh-CN"/>
        </w:rPr>
      </w:pPr>
      <w:bookmarkStart w:id="7" w:name="_Toc2996"/>
      <w:bookmarkStart w:id="8" w:name="_Toc20014"/>
      <w:bookmarkStart w:id="9" w:name="_Toc13183"/>
      <w:bookmarkStart w:id="10" w:name="_Toc19812"/>
      <w:r>
        <w:rPr>
          <w:rFonts w:hint="eastAsia" w:ascii="宋体" w:hAnsi="宋体" w:eastAsia="宋体" w:cs="宋体"/>
          <w:bCs/>
          <w:color w:val="auto"/>
          <w:sz w:val="28"/>
          <w:szCs w:val="28"/>
          <w:lang w:val="en-US" w:eastAsia="zh-CN"/>
        </w:rPr>
        <w:t>地址：敖汉旗</w:t>
      </w:r>
      <w:bookmarkEnd w:id="7"/>
      <w:bookmarkEnd w:id="8"/>
      <w:bookmarkEnd w:id="9"/>
      <w:r>
        <w:rPr>
          <w:rFonts w:hint="eastAsia" w:ascii="宋体" w:hAnsi="宋体" w:eastAsia="宋体" w:cs="宋体"/>
          <w:bCs/>
          <w:color w:val="auto"/>
          <w:sz w:val="28"/>
          <w:szCs w:val="28"/>
          <w:lang w:val="en-US" w:eastAsia="zh-CN"/>
        </w:rPr>
        <w:t>新惠镇</w:t>
      </w:r>
      <w:bookmarkEnd w:id="10"/>
    </w:p>
    <w:p w14:paraId="4FD4D6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outlineLvl w:val="0"/>
        <w:rPr>
          <w:rFonts w:hint="eastAsia" w:ascii="宋体" w:hAnsi="宋体" w:eastAsia="宋体" w:cs="宋体"/>
          <w:bCs/>
          <w:color w:val="auto"/>
          <w:sz w:val="28"/>
          <w:szCs w:val="28"/>
          <w:lang w:val="en-US" w:eastAsia="zh-CN"/>
        </w:rPr>
      </w:pPr>
      <w:bookmarkStart w:id="11" w:name="_Toc26256"/>
      <w:r>
        <w:rPr>
          <w:rFonts w:hint="eastAsia" w:ascii="宋体" w:hAnsi="宋体" w:eastAsia="宋体" w:cs="宋体"/>
          <w:bCs/>
          <w:color w:val="auto"/>
          <w:sz w:val="28"/>
          <w:szCs w:val="28"/>
          <w:lang w:val="en-US" w:eastAsia="zh-CN"/>
        </w:rPr>
        <w:t>联系人：</w:t>
      </w:r>
      <w:bookmarkEnd w:id="11"/>
      <w:bookmarkStart w:id="12" w:name="_Toc3605"/>
      <w:r>
        <w:rPr>
          <w:rFonts w:hint="eastAsia" w:ascii="宋体" w:hAnsi="宋体" w:eastAsia="宋体" w:cs="宋体"/>
          <w:bCs/>
          <w:color w:val="auto"/>
          <w:sz w:val="28"/>
          <w:szCs w:val="28"/>
          <w:lang w:val="en-US" w:eastAsia="zh-CN"/>
        </w:rPr>
        <w:t>翟先生</w:t>
      </w:r>
    </w:p>
    <w:p w14:paraId="662447D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outlineLvl w:val="0"/>
        <w:rPr>
          <w:rFonts w:hint="default" w:ascii="宋体" w:hAnsi="宋体" w:eastAsia="宋体" w:cs="宋体"/>
          <w:bCs/>
          <w:color w:val="auto"/>
          <w:sz w:val="28"/>
          <w:szCs w:val="28"/>
          <w:lang w:val="en-US" w:eastAsia="zh-CN"/>
        </w:rPr>
      </w:pPr>
      <w:r>
        <w:rPr>
          <w:rFonts w:hint="eastAsia" w:ascii="宋体" w:hAnsi="宋体" w:eastAsia="宋体" w:cs="宋体"/>
          <w:bCs/>
          <w:color w:val="auto"/>
          <w:sz w:val="28"/>
          <w:szCs w:val="28"/>
          <w:lang w:val="en-US" w:eastAsia="zh-CN"/>
        </w:rPr>
        <w:t>联系电话：</w:t>
      </w:r>
      <w:bookmarkEnd w:id="12"/>
      <w:r>
        <w:rPr>
          <w:rFonts w:hint="eastAsia" w:ascii="宋体" w:hAnsi="宋体" w:eastAsia="宋体" w:cs="宋体"/>
          <w:bCs/>
          <w:color w:val="auto"/>
          <w:sz w:val="28"/>
          <w:szCs w:val="28"/>
          <w:lang w:val="en-US" w:eastAsia="zh-CN"/>
        </w:rPr>
        <w:t>15148305061</w:t>
      </w:r>
    </w:p>
    <w:p w14:paraId="2D3307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right"/>
        <w:textAlignment w:val="auto"/>
        <w:outlineLvl w:val="9"/>
        <w:rPr>
          <w:rFonts w:hint="eastAsia" w:ascii="宋体" w:hAnsi="宋体" w:eastAsia="宋体" w:cs="宋体"/>
          <w:bCs/>
          <w:color w:val="auto"/>
          <w:sz w:val="28"/>
          <w:szCs w:val="28"/>
          <w:lang w:val="en-US" w:eastAsia="zh-CN"/>
        </w:rPr>
      </w:pPr>
      <w:r>
        <w:rPr>
          <w:rFonts w:hint="eastAsia" w:ascii="宋体" w:hAnsi="宋体" w:eastAsia="宋体" w:cs="宋体"/>
          <w:bCs/>
          <w:color w:val="auto"/>
          <w:sz w:val="28"/>
          <w:szCs w:val="28"/>
          <w:lang w:val="en-US" w:eastAsia="zh-CN"/>
        </w:rPr>
        <w:t xml:space="preserve">        赤峰嘉恒项目管理有限公司    </w:t>
      </w:r>
    </w:p>
    <w:p w14:paraId="1B288A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right"/>
        <w:textAlignment w:val="auto"/>
        <w:outlineLvl w:val="9"/>
        <w:rPr>
          <w:rFonts w:hint="eastAsia" w:ascii="宋体" w:hAnsi="宋体" w:eastAsia="宋体" w:cs="宋体"/>
          <w:bCs/>
          <w:color w:val="auto"/>
          <w:sz w:val="28"/>
          <w:szCs w:val="28"/>
          <w:lang w:val="en-US" w:eastAsia="zh-CN"/>
        </w:rPr>
      </w:pPr>
      <w:bookmarkStart w:id="13" w:name="_Toc1064"/>
      <w:bookmarkStart w:id="14" w:name="_Toc1333"/>
      <w:r>
        <w:rPr>
          <w:rFonts w:hint="eastAsia" w:ascii="宋体" w:hAnsi="宋体" w:eastAsia="宋体" w:cs="宋体"/>
          <w:bCs/>
          <w:color w:val="auto"/>
          <w:sz w:val="28"/>
          <w:szCs w:val="28"/>
          <w:lang w:val="en-US" w:eastAsia="zh-CN"/>
        </w:rPr>
        <w:t>2026年8月</w:t>
      </w:r>
      <w:bookmarkEnd w:id="13"/>
      <w:r>
        <w:rPr>
          <w:rFonts w:hint="eastAsia" w:ascii="宋体" w:hAnsi="宋体" w:eastAsia="宋体" w:cs="宋体"/>
          <w:bCs/>
          <w:color w:val="auto"/>
          <w:sz w:val="28"/>
          <w:szCs w:val="28"/>
          <w:lang w:val="en-US" w:eastAsia="zh-CN"/>
        </w:rPr>
        <w:t>21日</w:t>
      </w:r>
      <w:bookmarkEnd w:id="14"/>
    </w:p>
    <w:p w14:paraId="720C0B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right"/>
        <w:textAlignment w:val="auto"/>
        <w:outlineLvl w:val="9"/>
        <w:rPr>
          <w:rFonts w:hint="eastAsia" w:ascii="宋体" w:hAnsi="宋体" w:eastAsia="宋体" w:cs="宋体"/>
          <w:bCs/>
          <w:color w:val="auto"/>
          <w:sz w:val="28"/>
          <w:szCs w:val="28"/>
          <w:lang w:val="en-US" w:eastAsia="zh-CN"/>
        </w:rPr>
      </w:pPr>
    </w:p>
    <w:p w14:paraId="691CD6D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right"/>
        <w:textAlignment w:val="auto"/>
        <w:outlineLvl w:val="9"/>
        <w:rPr>
          <w:rFonts w:hint="eastAsia" w:ascii="宋体" w:hAnsi="宋体" w:eastAsia="宋体" w:cs="宋体"/>
          <w:bCs/>
          <w:color w:val="auto"/>
          <w:sz w:val="28"/>
          <w:szCs w:val="28"/>
          <w:lang w:val="en-US" w:eastAsia="zh-CN"/>
        </w:rPr>
      </w:pPr>
    </w:p>
    <w:p w14:paraId="44EF109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right"/>
        <w:textAlignment w:val="auto"/>
        <w:outlineLvl w:val="9"/>
        <w:rPr>
          <w:rFonts w:hint="eastAsia" w:ascii="宋体" w:hAnsi="宋体" w:eastAsia="宋体" w:cs="宋体"/>
          <w:bCs/>
          <w:color w:val="auto"/>
          <w:sz w:val="28"/>
          <w:szCs w:val="28"/>
          <w:lang w:val="en-US" w:eastAsia="zh-CN"/>
        </w:rPr>
      </w:pPr>
    </w:p>
    <w:p w14:paraId="7E96A7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right"/>
        <w:textAlignment w:val="auto"/>
        <w:outlineLvl w:val="9"/>
        <w:rPr>
          <w:rFonts w:hint="eastAsia" w:ascii="宋体" w:hAnsi="宋体" w:eastAsia="宋体" w:cs="宋体"/>
          <w:bCs/>
          <w:color w:val="auto"/>
          <w:sz w:val="28"/>
          <w:szCs w:val="28"/>
          <w:lang w:val="en-US" w:eastAsia="zh-CN"/>
        </w:rPr>
      </w:pPr>
    </w:p>
    <w:p w14:paraId="39C20A8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right"/>
        <w:textAlignment w:val="auto"/>
        <w:outlineLvl w:val="9"/>
        <w:rPr>
          <w:rFonts w:hint="eastAsia" w:ascii="宋体" w:hAnsi="宋体" w:eastAsia="宋体" w:cs="宋体"/>
          <w:bCs/>
          <w:color w:val="auto"/>
          <w:sz w:val="28"/>
          <w:szCs w:val="28"/>
          <w:lang w:val="en-US" w:eastAsia="zh-CN"/>
        </w:rPr>
      </w:pPr>
    </w:p>
    <w:p w14:paraId="3E84F59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right"/>
        <w:textAlignment w:val="auto"/>
        <w:outlineLvl w:val="9"/>
        <w:rPr>
          <w:rFonts w:hint="eastAsia" w:ascii="宋体" w:hAnsi="宋体" w:eastAsia="宋体" w:cs="宋体"/>
          <w:bCs/>
          <w:color w:val="auto"/>
          <w:sz w:val="28"/>
          <w:szCs w:val="28"/>
          <w:lang w:val="en-US" w:eastAsia="zh-CN"/>
        </w:rPr>
      </w:pPr>
    </w:p>
    <w:p w14:paraId="5B76112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right"/>
        <w:textAlignment w:val="auto"/>
        <w:outlineLvl w:val="9"/>
        <w:rPr>
          <w:rFonts w:hint="eastAsia" w:ascii="宋体" w:hAnsi="宋体" w:eastAsia="宋体" w:cs="宋体"/>
          <w:bCs/>
          <w:color w:val="auto"/>
          <w:sz w:val="28"/>
          <w:szCs w:val="28"/>
          <w:lang w:val="en-US" w:eastAsia="zh-CN"/>
        </w:rPr>
      </w:pPr>
    </w:p>
    <w:p w14:paraId="62AC92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right"/>
        <w:textAlignment w:val="auto"/>
        <w:outlineLvl w:val="9"/>
        <w:rPr>
          <w:rFonts w:hint="eastAsia" w:ascii="宋体" w:hAnsi="宋体" w:eastAsia="宋体" w:cs="宋体"/>
          <w:bCs/>
          <w:color w:val="auto"/>
          <w:sz w:val="28"/>
          <w:szCs w:val="28"/>
          <w:lang w:val="en-US" w:eastAsia="zh-CN"/>
        </w:rPr>
      </w:pPr>
    </w:p>
    <w:p w14:paraId="2C800D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right"/>
        <w:textAlignment w:val="auto"/>
        <w:outlineLvl w:val="9"/>
        <w:rPr>
          <w:rFonts w:hint="eastAsia" w:ascii="宋体" w:hAnsi="宋体" w:eastAsia="宋体" w:cs="宋体"/>
          <w:bCs/>
          <w:color w:val="auto"/>
          <w:sz w:val="28"/>
          <w:szCs w:val="28"/>
          <w:lang w:val="en-US" w:eastAsia="zh-CN"/>
        </w:rPr>
      </w:pPr>
    </w:p>
    <w:p w14:paraId="550C1BE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right"/>
        <w:textAlignment w:val="auto"/>
        <w:outlineLvl w:val="9"/>
        <w:rPr>
          <w:rFonts w:hint="eastAsia" w:ascii="宋体" w:hAnsi="宋体" w:eastAsia="宋体" w:cs="宋体"/>
          <w:bCs/>
          <w:color w:val="auto"/>
          <w:sz w:val="28"/>
          <w:szCs w:val="28"/>
          <w:lang w:val="en-US" w:eastAsia="zh-CN"/>
        </w:rPr>
      </w:pPr>
    </w:p>
    <w:p w14:paraId="257895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right"/>
        <w:textAlignment w:val="auto"/>
        <w:outlineLvl w:val="9"/>
        <w:rPr>
          <w:rFonts w:hint="eastAsia" w:ascii="宋体" w:hAnsi="宋体" w:eastAsia="宋体" w:cs="宋体"/>
          <w:bCs/>
          <w:color w:val="auto"/>
          <w:sz w:val="28"/>
          <w:szCs w:val="28"/>
          <w:lang w:val="en-US" w:eastAsia="zh-CN"/>
        </w:rPr>
      </w:pPr>
    </w:p>
    <w:p w14:paraId="577C14C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right"/>
        <w:textAlignment w:val="auto"/>
        <w:outlineLvl w:val="9"/>
        <w:rPr>
          <w:rFonts w:hint="eastAsia" w:ascii="宋体" w:hAnsi="宋体" w:eastAsia="宋体" w:cs="宋体"/>
          <w:bCs/>
          <w:color w:val="auto"/>
          <w:sz w:val="28"/>
          <w:szCs w:val="28"/>
          <w:lang w:val="en-US" w:eastAsia="zh-CN"/>
        </w:rPr>
      </w:pPr>
    </w:p>
    <w:p w14:paraId="64018C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right"/>
        <w:textAlignment w:val="auto"/>
        <w:outlineLvl w:val="9"/>
        <w:rPr>
          <w:rFonts w:hint="eastAsia" w:ascii="宋体" w:hAnsi="宋体" w:eastAsia="宋体" w:cs="宋体"/>
          <w:bCs/>
          <w:color w:val="auto"/>
          <w:sz w:val="28"/>
          <w:szCs w:val="28"/>
          <w:lang w:val="en-US" w:eastAsia="zh-CN"/>
        </w:rPr>
      </w:pPr>
    </w:p>
    <w:p w14:paraId="5C9CFD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jc w:val="right"/>
        <w:textAlignment w:val="auto"/>
        <w:outlineLvl w:val="9"/>
        <w:rPr>
          <w:rFonts w:hint="eastAsia" w:ascii="宋体" w:hAnsi="宋体" w:eastAsia="宋体" w:cs="宋体"/>
          <w:bCs/>
          <w:color w:val="auto"/>
          <w:sz w:val="28"/>
          <w:szCs w:val="28"/>
          <w:lang w:val="en-US" w:eastAsia="zh-CN"/>
        </w:rPr>
      </w:pPr>
    </w:p>
    <w:tbl>
      <w:tblPr>
        <w:tblStyle w:val="12"/>
        <w:tblpPr w:leftFromText="180" w:rightFromText="180" w:vertAnchor="text" w:horzAnchor="page" w:tblpX="1429" w:tblpY="337"/>
        <w:tblOverlap w:val="never"/>
        <w:tblW w:w="9280" w:type="dxa"/>
        <w:tblInd w:w="0" w:type="dxa"/>
        <w:tblLayout w:type="fixed"/>
        <w:tblCellMar>
          <w:top w:w="15" w:type="dxa"/>
          <w:left w:w="15" w:type="dxa"/>
          <w:bottom w:w="15" w:type="dxa"/>
          <w:right w:w="15" w:type="dxa"/>
        </w:tblCellMar>
      </w:tblPr>
      <w:tblGrid>
        <w:gridCol w:w="2815"/>
        <w:gridCol w:w="2661"/>
        <w:gridCol w:w="1115"/>
        <w:gridCol w:w="2689"/>
      </w:tblGrid>
      <w:tr w14:paraId="4047213D">
        <w:tblPrEx>
          <w:tblCellMar>
            <w:top w:w="15" w:type="dxa"/>
            <w:left w:w="15" w:type="dxa"/>
            <w:bottom w:w="15" w:type="dxa"/>
            <w:right w:w="15" w:type="dxa"/>
          </w:tblCellMar>
        </w:tblPrEx>
        <w:trPr>
          <w:trHeight w:val="646" w:hRule="atLeast"/>
        </w:trPr>
        <w:tc>
          <w:tcPr>
            <w:tcW w:w="9280" w:type="dxa"/>
            <w:gridSpan w:val="4"/>
            <w:vAlign w:val="center"/>
          </w:tcPr>
          <w:p w14:paraId="67D13F06">
            <w:pPr>
              <w:keepNext w:val="0"/>
              <w:keepLines w:val="0"/>
              <w:pageBreakBefore w:val="0"/>
              <w:overflowPunct/>
              <w:topLinePunct w:val="0"/>
              <w:bidi w:val="0"/>
              <w:spacing w:line="360" w:lineRule="auto"/>
              <w:jc w:val="center"/>
              <w:outlineLvl w:val="9"/>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br w:type="page"/>
            </w:r>
            <w:r>
              <w:rPr>
                <w:rFonts w:hint="eastAsia" w:ascii="宋体" w:hAnsi="宋体" w:eastAsia="宋体" w:cs="宋体"/>
                <w:b/>
                <w:color w:val="auto"/>
                <w:kern w:val="0"/>
                <w:sz w:val="32"/>
                <w:szCs w:val="32"/>
                <w:lang w:eastAsia="zh-CN"/>
              </w:rPr>
              <w:t>赤峰市生态环境局敖汉旗分局2026年实验室耗材采购</w:t>
            </w:r>
            <w:bookmarkStart w:id="15" w:name="_Toc17476"/>
            <w:bookmarkStart w:id="16" w:name="_Toc23292"/>
            <w:bookmarkStart w:id="17" w:name="_Toc16395"/>
            <w:bookmarkStart w:id="18" w:name="_Toc24148"/>
            <w:r>
              <w:rPr>
                <w:rFonts w:hint="eastAsia" w:ascii="宋体" w:hAnsi="宋体" w:eastAsia="宋体" w:cs="宋体"/>
                <w:b/>
                <w:color w:val="auto"/>
                <w:kern w:val="0"/>
                <w:sz w:val="32"/>
                <w:szCs w:val="32"/>
              </w:rPr>
              <w:t>项目</w:t>
            </w:r>
          </w:p>
          <w:p w14:paraId="4CC5C924">
            <w:pPr>
              <w:keepNext w:val="0"/>
              <w:keepLines w:val="0"/>
              <w:pageBreakBefore w:val="0"/>
              <w:overflowPunct/>
              <w:topLinePunct w:val="0"/>
              <w:bidi w:val="0"/>
              <w:spacing w:line="360" w:lineRule="auto"/>
              <w:jc w:val="center"/>
              <w:outlineLvl w:val="9"/>
              <w:rPr>
                <w:rFonts w:hint="eastAsia" w:ascii="宋体" w:hAnsi="宋体" w:eastAsia="宋体" w:cs="宋体"/>
                <w:b/>
                <w:color w:val="auto"/>
                <w:sz w:val="40"/>
                <w:szCs w:val="40"/>
              </w:rPr>
            </w:pPr>
            <w:r>
              <w:rPr>
                <w:rFonts w:hint="eastAsia" w:ascii="宋体" w:hAnsi="宋体" w:eastAsia="宋体" w:cs="宋体"/>
                <w:b/>
                <w:color w:val="auto"/>
                <w:kern w:val="0"/>
                <w:sz w:val="32"/>
                <w:szCs w:val="32"/>
              </w:rPr>
              <w:t>报名供应商登记表</w:t>
            </w:r>
            <w:bookmarkEnd w:id="15"/>
            <w:bookmarkEnd w:id="16"/>
            <w:bookmarkEnd w:id="17"/>
            <w:bookmarkEnd w:id="18"/>
          </w:p>
        </w:tc>
      </w:tr>
      <w:tr w14:paraId="29B9659C">
        <w:tblPrEx>
          <w:tblCellMar>
            <w:top w:w="15" w:type="dxa"/>
            <w:left w:w="15" w:type="dxa"/>
            <w:bottom w:w="15" w:type="dxa"/>
            <w:right w:w="15" w:type="dxa"/>
          </w:tblCellMar>
        </w:tblPrEx>
        <w:trPr>
          <w:trHeight w:val="646" w:hRule="atLeast"/>
        </w:trPr>
        <w:tc>
          <w:tcPr>
            <w:tcW w:w="9280" w:type="dxa"/>
            <w:gridSpan w:val="4"/>
            <w:tcBorders>
              <w:top w:val="single" w:color="000000" w:sz="4" w:space="0"/>
              <w:left w:val="single" w:color="000000" w:sz="4" w:space="0"/>
              <w:bottom w:val="single" w:color="000000" w:sz="4" w:space="0"/>
              <w:right w:val="single" w:color="000000" w:sz="4" w:space="0"/>
            </w:tcBorders>
            <w:vAlign w:val="center"/>
          </w:tcPr>
          <w:p w14:paraId="19C10672">
            <w:pPr>
              <w:keepNext w:val="0"/>
              <w:keepLines w:val="0"/>
              <w:pageBreakBefore w:val="0"/>
              <w:widowControl/>
              <w:overflowPunct/>
              <w:topLinePunct w:val="0"/>
              <w:bidi w:val="0"/>
              <w:spacing w:line="360" w:lineRule="auto"/>
              <w:jc w:val="center"/>
              <w:textAlignment w:val="center"/>
              <w:rPr>
                <w:rFonts w:hint="eastAsia" w:ascii="宋体" w:hAnsi="宋体" w:eastAsia="宋体" w:cs="宋体"/>
                <w:b/>
                <w:color w:val="auto"/>
                <w:sz w:val="32"/>
                <w:szCs w:val="32"/>
              </w:rPr>
            </w:pPr>
            <w:r>
              <w:rPr>
                <w:rFonts w:hint="eastAsia" w:ascii="宋体" w:hAnsi="宋体" w:eastAsia="宋体" w:cs="宋体"/>
                <w:b/>
                <w:color w:val="auto"/>
                <w:kern w:val="0"/>
                <w:sz w:val="32"/>
                <w:szCs w:val="32"/>
              </w:rPr>
              <w:t>报名信息</w:t>
            </w:r>
          </w:p>
        </w:tc>
      </w:tr>
      <w:tr w14:paraId="582ACEFF">
        <w:tblPrEx>
          <w:tblCellMar>
            <w:top w:w="15" w:type="dxa"/>
            <w:left w:w="15" w:type="dxa"/>
            <w:bottom w:w="15" w:type="dxa"/>
            <w:right w:w="15" w:type="dxa"/>
          </w:tblCellMar>
        </w:tblPrEx>
        <w:trPr>
          <w:trHeight w:val="646" w:hRule="atLeast"/>
        </w:trPr>
        <w:tc>
          <w:tcPr>
            <w:tcW w:w="2815" w:type="dxa"/>
            <w:tcBorders>
              <w:top w:val="single" w:color="000000" w:sz="4" w:space="0"/>
              <w:left w:val="single" w:color="000000" w:sz="4" w:space="0"/>
              <w:bottom w:val="single" w:color="000000" w:sz="4" w:space="0"/>
              <w:right w:val="single" w:color="000000" w:sz="4" w:space="0"/>
            </w:tcBorders>
            <w:vAlign w:val="center"/>
          </w:tcPr>
          <w:p w14:paraId="0B45C0CE">
            <w:pPr>
              <w:keepNext w:val="0"/>
              <w:keepLines w:val="0"/>
              <w:pageBreakBefore w:val="0"/>
              <w:widowControl/>
              <w:overflowPunct/>
              <w:topLinePunct w:val="0"/>
              <w:bidi w:val="0"/>
              <w:spacing w:line="360" w:lineRule="auto"/>
              <w:jc w:val="center"/>
              <w:textAlignment w:val="center"/>
              <w:rPr>
                <w:rFonts w:hint="eastAsia" w:ascii="宋体" w:hAnsi="宋体" w:eastAsia="宋体" w:cs="宋体"/>
                <w:b/>
                <w:color w:val="auto"/>
                <w:sz w:val="24"/>
              </w:rPr>
            </w:pPr>
            <w:r>
              <w:rPr>
                <w:rFonts w:hint="eastAsia" w:ascii="宋体" w:hAnsi="宋体" w:eastAsia="宋体" w:cs="宋体"/>
                <w:b/>
                <w:color w:val="auto"/>
                <w:kern w:val="0"/>
                <w:sz w:val="24"/>
              </w:rPr>
              <w:t>供应商名称</w:t>
            </w:r>
          </w:p>
        </w:tc>
        <w:tc>
          <w:tcPr>
            <w:tcW w:w="6465" w:type="dxa"/>
            <w:gridSpan w:val="3"/>
            <w:tcBorders>
              <w:top w:val="single" w:color="000000" w:sz="4" w:space="0"/>
              <w:left w:val="single" w:color="000000" w:sz="4" w:space="0"/>
              <w:bottom w:val="single" w:color="000000" w:sz="4" w:space="0"/>
              <w:right w:val="single" w:color="000000" w:sz="4" w:space="0"/>
            </w:tcBorders>
            <w:vAlign w:val="center"/>
          </w:tcPr>
          <w:p w14:paraId="0D570AB2">
            <w:pPr>
              <w:keepNext w:val="0"/>
              <w:keepLines w:val="0"/>
              <w:pageBreakBefore w:val="0"/>
              <w:overflowPunct/>
              <w:topLinePunct w:val="0"/>
              <w:bidi w:val="0"/>
              <w:spacing w:line="360" w:lineRule="auto"/>
              <w:jc w:val="center"/>
              <w:rPr>
                <w:rFonts w:hint="eastAsia" w:ascii="宋体" w:hAnsi="宋体" w:eastAsia="宋体" w:cs="宋体"/>
                <w:b/>
                <w:color w:val="auto"/>
                <w:sz w:val="24"/>
              </w:rPr>
            </w:pPr>
          </w:p>
        </w:tc>
      </w:tr>
      <w:tr w14:paraId="35DC8CB9">
        <w:tblPrEx>
          <w:tblCellMar>
            <w:top w:w="15" w:type="dxa"/>
            <w:left w:w="15" w:type="dxa"/>
            <w:bottom w:w="15" w:type="dxa"/>
            <w:right w:w="15" w:type="dxa"/>
          </w:tblCellMar>
        </w:tblPrEx>
        <w:trPr>
          <w:trHeight w:val="646" w:hRule="atLeast"/>
        </w:trPr>
        <w:tc>
          <w:tcPr>
            <w:tcW w:w="2815" w:type="dxa"/>
            <w:tcBorders>
              <w:top w:val="single" w:color="000000" w:sz="4" w:space="0"/>
              <w:left w:val="single" w:color="000000" w:sz="4" w:space="0"/>
              <w:bottom w:val="single" w:color="000000" w:sz="4" w:space="0"/>
              <w:right w:val="single" w:color="000000" w:sz="4" w:space="0"/>
            </w:tcBorders>
            <w:vAlign w:val="center"/>
          </w:tcPr>
          <w:p w14:paraId="0BAC7D24">
            <w:pPr>
              <w:keepNext w:val="0"/>
              <w:keepLines w:val="0"/>
              <w:pageBreakBefore w:val="0"/>
              <w:widowControl/>
              <w:overflowPunct/>
              <w:topLinePunct w:val="0"/>
              <w:bidi w:val="0"/>
              <w:spacing w:line="360" w:lineRule="auto"/>
              <w:jc w:val="center"/>
              <w:textAlignment w:val="center"/>
              <w:rPr>
                <w:rFonts w:hint="eastAsia" w:ascii="宋体" w:hAnsi="宋体" w:eastAsia="宋体" w:cs="宋体"/>
                <w:b/>
                <w:color w:val="auto"/>
                <w:sz w:val="24"/>
              </w:rPr>
            </w:pPr>
            <w:r>
              <w:rPr>
                <w:rFonts w:hint="eastAsia" w:ascii="宋体" w:hAnsi="宋体" w:eastAsia="宋体" w:cs="宋体"/>
                <w:b/>
                <w:color w:val="auto"/>
                <w:kern w:val="0"/>
                <w:sz w:val="24"/>
                <w:lang w:val="en-US" w:eastAsia="zh-CN"/>
              </w:rPr>
              <w:t>项目</w:t>
            </w:r>
            <w:r>
              <w:rPr>
                <w:rFonts w:hint="eastAsia" w:ascii="宋体" w:hAnsi="宋体" w:eastAsia="宋体" w:cs="宋体"/>
                <w:b/>
                <w:color w:val="auto"/>
                <w:kern w:val="0"/>
                <w:sz w:val="24"/>
              </w:rPr>
              <w:t xml:space="preserve">编号 </w:t>
            </w:r>
          </w:p>
        </w:tc>
        <w:tc>
          <w:tcPr>
            <w:tcW w:w="6465" w:type="dxa"/>
            <w:gridSpan w:val="3"/>
            <w:tcBorders>
              <w:top w:val="single" w:color="000000" w:sz="4" w:space="0"/>
              <w:left w:val="single" w:color="000000" w:sz="4" w:space="0"/>
              <w:bottom w:val="single" w:color="000000" w:sz="4" w:space="0"/>
              <w:right w:val="single" w:color="000000" w:sz="4" w:space="0"/>
            </w:tcBorders>
            <w:vAlign w:val="center"/>
          </w:tcPr>
          <w:p w14:paraId="116AC043">
            <w:pPr>
              <w:keepNext w:val="0"/>
              <w:keepLines w:val="0"/>
              <w:pageBreakBefore w:val="0"/>
              <w:overflowPunct/>
              <w:topLinePunct w:val="0"/>
              <w:bidi w:val="0"/>
              <w:spacing w:line="360" w:lineRule="auto"/>
              <w:jc w:val="center"/>
              <w:rPr>
                <w:rFonts w:hint="eastAsia" w:ascii="宋体" w:hAnsi="宋体" w:eastAsia="宋体" w:cs="宋体"/>
                <w:color w:val="auto"/>
              </w:rPr>
            </w:pPr>
          </w:p>
        </w:tc>
      </w:tr>
      <w:tr w14:paraId="15A1E928">
        <w:tblPrEx>
          <w:tblCellMar>
            <w:top w:w="15" w:type="dxa"/>
            <w:left w:w="15" w:type="dxa"/>
            <w:bottom w:w="15" w:type="dxa"/>
            <w:right w:w="15" w:type="dxa"/>
          </w:tblCellMar>
        </w:tblPrEx>
        <w:trPr>
          <w:trHeight w:val="646" w:hRule="atLeast"/>
        </w:trPr>
        <w:tc>
          <w:tcPr>
            <w:tcW w:w="2815" w:type="dxa"/>
            <w:tcBorders>
              <w:top w:val="single" w:color="000000" w:sz="4" w:space="0"/>
              <w:left w:val="single" w:color="000000" w:sz="4" w:space="0"/>
              <w:bottom w:val="single" w:color="000000" w:sz="4" w:space="0"/>
              <w:right w:val="single" w:color="000000" w:sz="4" w:space="0"/>
            </w:tcBorders>
            <w:vAlign w:val="center"/>
          </w:tcPr>
          <w:p w14:paraId="2F3351AD">
            <w:pPr>
              <w:keepNext w:val="0"/>
              <w:keepLines w:val="0"/>
              <w:pageBreakBefore w:val="0"/>
              <w:widowControl/>
              <w:overflowPunct/>
              <w:topLinePunct w:val="0"/>
              <w:bidi w:val="0"/>
              <w:spacing w:line="360" w:lineRule="auto"/>
              <w:jc w:val="center"/>
              <w:textAlignment w:val="center"/>
              <w:rPr>
                <w:rFonts w:hint="eastAsia" w:ascii="宋体" w:hAnsi="宋体" w:eastAsia="宋体" w:cs="宋体"/>
                <w:b/>
                <w:color w:val="auto"/>
                <w:sz w:val="24"/>
              </w:rPr>
            </w:pPr>
            <w:r>
              <w:rPr>
                <w:rFonts w:hint="eastAsia" w:ascii="宋体" w:hAnsi="宋体" w:eastAsia="宋体" w:cs="宋体"/>
                <w:b/>
                <w:color w:val="auto"/>
                <w:kern w:val="0"/>
                <w:sz w:val="24"/>
              </w:rPr>
              <w:t>供应商联系人</w:t>
            </w:r>
          </w:p>
        </w:tc>
        <w:tc>
          <w:tcPr>
            <w:tcW w:w="6465" w:type="dxa"/>
            <w:gridSpan w:val="3"/>
            <w:tcBorders>
              <w:top w:val="single" w:color="000000" w:sz="4" w:space="0"/>
              <w:left w:val="single" w:color="000000" w:sz="4" w:space="0"/>
              <w:bottom w:val="single" w:color="000000" w:sz="4" w:space="0"/>
              <w:right w:val="single" w:color="000000" w:sz="4" w:space="0"/>
            </w:tcBorders>
            <w:vAlign w:val="center"/>
          </w:tcPr>
          <w:p w14:paraId="42E099F7">
            <w:pPr>
              <w:keepNext w:val="0"/>
              <w:keepLines w:val="0"/>
              <w:pageBreakBefore w:val="0"/>
              <w:overflowPunct/>
              <w:topLinePunct w:val="0"/>
              <w:bidi w:val="0"/>
              <w:spacing w:line="360" w:lineRule="auto"/>
              <w:jc w:val="center"/>
              <w:rPr>
                <w:rFonts w:hint="eastAsia" w:ascii="宋体" w:hAnsi="宋体" w:eastAsia="宋体" w:cs="宋体"/>
                <w:color w:val="auto"/>
              </w:rPr>
            </w:pPr>
          </w:p>
        </w:tc>
      </w:tr>
      <w:tr w14:paraId="3292AAEA">
        <w:tblPrEx>
          <w:tblCellMar>
            <w:top w:w="15" w:type="dxa"/>
            <w:left w:w="15" w:type="dxa"/>
            <w:bottom w:w="15" w:type="dxa"/>
            <w:right w:w="15" w:type="dxa"/>
          </w:tblCellMar>
        </w:tblPrEx>
        <w:trPr>
          <w:trHeight w:val="646" w:hRule="atLeast"/>
        </w:trPr>
        <w:tc>
          <w:tcPr>
            <w:tcW w:w="2815" w:type="dxa"/>
            <w:tcBorders>
              <w:top w:val="single" w:color="000000" w:sz="4" w:space="0"/>
              <w:left w:val="single" w:color="000000" w:sz="4" w:space="0"/>
              <w:bottom w:val="single" w:color="000000" w:sz="4" w:space="0"/>
              <w:right w:val="single" w:color="000000" w:sz="4" w:space="0"/>
            </w:tcBorders>
            <w:vAlign w:val="center"/>
          </w:tcPr>
          <w:p w14:paraId="26A715A5">
            <w:pPr>
              <w:keepNext w:val="0"/>
              <w:keepLines w:val="0"/>
              <w:pageBreakBefore w:val="0"/>
              <w:widowControl/>
              <w:overflowPunct/>
              <w:topLinePunct w:val="0"/>
              <w:bidi w:val="0"/>
              <w:spacing w:line="360" w:lineRule="auto"/>
              <w:jc w:val="center"/>
              <w:textAlignment w:val="center"/>
              <w:rPr>
                <w:rFonts w:hint="eastAsia" w:ascii="宋体" w:hAnsi="宋体" w:eastAsia="宋体" w:cs="宋体"/>
                <w:b/>
                <w:color w:val="auto"/>
                <w:sz w:val="24"/>
              </w:rPr>
            </w:pPr>
            <w:r>
              <w:rPr>
                <w:rFonts w:hint="eastAsia" w:ascii="宋体" w:hAnsi="宋体" w:eastAsia="宋体" w:cs="宋体"/>
                <w:b/>
                <w:color w:val="auto"/>
                <w:kern w:val="0"/>
                <w:sz w:val="24"/>
              </w:rPr>
              <w:t>手机（必保畅通）</w:t>
            </w:r>
          </w:p>
        </w:tc>
        <w:tc>
          <w:tcPr>
            <w:tcW w:w="6465" w:type="dxa"/>
            <w:gridSpan w:val="3"/>
            <w:tcBorders>
              <w:top w:val="single" w:color="000000" w:sz="4" w:space="0"/>
              <w:left w:val="single" w:color="000000" w:sz="4" w:space="0"/>
              <w:bottom w:val="single" w:color="000000" w:sz="4" w:space="0"/>
              <w:right w:val="single" w:color="000000" w:sz="4" w:space="0"/>
            </w:tcBorders>
            <w:vAlign w:val="center"/>
          </w:tcPr>
          <w:p w14:paraId="750A7F3E">
            <w:pPr>
              <w:keepNext w:val="0"/>
              <w:keepLines w:val="0"/>
              <w:pageBreakBefore w:val="0"/>
              <w:overflowPunct/>
              <w:topLinePunct w:val="0"/>
              <w:bidi w:val="0"/>
              <w:spacing w:line="360" w:lineRule="auto"/>
              <w:jc w:val="center"/>
              <w:rPr>
                <w:rFonts w:hint="eastAsia" w:ascii="宋体" w:hAnsi="宋体" w:eastAsia="宋体" w:cs="宋体"/>
                <w:color w:val="auto"/>
              </w:rPr>
            </w:pPr>
          </w:p>
        </w:tc>
      </w:tr>
      <w:tr w14:paraId="18AFFA7B">
        <w:tblPrEx>
          <w:tblCellMar>
            <w:top w:w="15" w:type="dxa"/>
            <w:left w:w="15" w:type="dxa"/>
            <w:bottom w:w="15" w:type="dxa"/>
            <w:right w:w="15" w:type="dxa"/>
          </w:tblCellMar>
        </w:tblPrEx>
        <w:trPr>
          <w:trHeight w:val="646" w:hRule="atLeast"/>
        </w:trPr>
        <w:tc>
          <w:tcPr>
            <w:tcW w:w="9280" w:type="dxa"/>
            <w:gridSpan w:val="4"/>
            <w:tcBorders>
              <w:top w:val="single" w:color="000000" w:sz="4" w:space="0"/>
              <w:left w:val="single" w:color="000000" w:sz="4" w:space="0"/>
              <w:bottom w:val="single" w:color="000000" w:sz="4" w:space="0"/>
              <w:right w:val="single" w:color="000000" w:sz="4" w:space="0"/>
            </w:tcBorders>
            <w:vAlign w:val="center"/>
          </w:tcPr>
          <w:p w14:paraId="16297817">
            <w:pPr>
              <w:keepNext w:val="0"/>
              <w:keepLines w:val="0"/>
              <w:pageBreakBefore w:val="0"/>
              <w:widowControl/>
              <w:overflowPunct/>
              <w:topLinePunct w:val="0"/>
              <w:bidi w:val="0"/>
              <w:spacing w:line="360" w:lineRule="auto"/>
              <w:jc w:val="center"/>
              <w:textAlignment w:val="center"/>
              <w:rPr>
                <w:rFonts w:hint="eastAsia" w:ascii="宋体" w:hAnsi="宋体" w:eastAsia="宋体" w:cs="宋体"/>
                <w:b/>
                <w:color w:val="auto"/>
                <w:sz w:val="28"/>
                <w:szCs w:val="28"/>
              </w:rPr>
            </w:pPr>
            <w:r>
              <w:rPr>
                <w:rFonts w:hint="eastAsia" w:ascii="宋体" w:hAnsi="宋体" w:eastAsia="宋体" w:cs="宋体"/>
                <w:b/>
                <w:color w:val="auto"/>
                <w:kern w:val="0"/>
                <w:sz w:val="28"/>
                <w:szCs w:val="28"/>
              </w:rPr>
              <w:t>供应商基本信息</w:t>
            </w:r>
          </w:p>
        </w:tc>
      </w:tr>
      <w:tr w14:paraId="7BF8C1E5">
        <w:tblPrEx>
          <w:tblCellMar>
            <w:top w:w="15" w:type="dxa"/>
            <w:left w:w="15" w:type="dxa"/>
            <w:bottom w:w="15" w:type="dxa"/>
            <w:right w:w="15" w:type="dxa"/>
          </w:tblCellMar>
        </w:tblPrEx>
        <w:trPr>
          <w:trHeight w:val="646" w:hRule="atLeast"/>
        </w:trPr>
        <w:tc>
          <w:tcPr>
            <w:tcW w:w="2815" w:type="dxa"/>
            <w:tcBorders>
              <w:top w:val="single" w:color="000000" w:sz="4" w:space="0"/>
              <w:left w:val="single" w:color="000000" w:sz="4" w:space="0"/>
              <w:bottom w:val="single" w:color="000000" w:sz="4" w:space="0"/>
              <w:right w:val="single" w:color="000000" w:sz="4" w:space="0"/>
            </w:tcBorders>
            <w:vAlign w:val="center"/>
          </w:tcPr>
          <w:p w14:paraId="164AD362">
            <w:pPr>
              <w:keepNext w:val="0"/>
              <w:keepLines w:val="0"/>
              <w:pageBreakBefore w:val="0"/>
              <w:widowControl/>
              <w:overflowPunct/>
              <w:topLinePunct w:val="0"/>
              <w:bidi w:val="0"/>
              <w:spacing w:line="360" w:lineRule="auto"/>
              <w:jc w:val="center"/>
              <w:textAlignment w:val="center"/>
              <w:rPr>
                <w:rFonts w:hint="eastAsia" w:ascii="宋体" w:hAnsi="宋体" w:eastAsia="宋体" w:cs="宋体"/>
                <w:b/>
                <w:color w:val="auto"/>
                <w:sz w:val="24"/>
              </w:rPr>
            </w:pPr>
            <w:r>
              <w:rPr>
                <w:rFonts w:hint="eastAsia" w:ascii="宋体" w:hAnsi="宋体" w:eastAsia="宋体" w:cs="宋体"/>
                <w:b/>
                <w:color w:val="auto"/>
                <w:kern w:val="0"/>
                <w:sz w:val="24"/>
              </w:rPr>
              <w:t>供应商地址</w:t>
            </w:r>
          </w:p>
        </w:tc>
        <w:tc>
          <w:tcPr>
            <w:tcW w:w="6465" w:type="dxa"/>
            <w:gridSpan w:val="3"/>
            <w:tcBorders>
              <w:top w:val="single" w:color="000000" w:sz="4" w:space="0"/>
              <w:left w:val="single" w:color="000000" w:sz="4" w:space="0"/>
              <w:bottom w:val="single" w:color="000000" w:sz="4" w:space="0"/>
              <w:right w:val="single" w:color="000000" w:sz="4" w:space="0"/>
            </w:tcBorders>
            <w:vAlign w:val="center"/>
          </w:tcPr>
          <w:p w14:paraId="1050F698">
            <w:pPr>
              <w:keepNext w:val="0"/>
              <w:keepLines w:val="0"/>
              <w:pageBreakBefore w:val="0"/>
              <w:overflowPunct/>
              <w:topLinePunct w:val="0"/>
              <w:bidi w:val="0"/>
              <w:spacing w:line="360" w:lineRule="auto"/>
              <w:jc w:val="center"/>
              <w:rPr>
                <w:rFonts w:hint="eastAsia" w:ascii="宋体" w:hAnsi="宋体" w:eastAsia="宋体" w:cs="宋体"/>
                <w:b/>
                <w:color w:val="auto"/>
                <w:sz w:val="24"/>
              </w:rPr>
            </w:pPr>
          </w:p>
        </w:tc>
      </w:tr>
      <w:tr w14:paraId="4CB0BBF8">
        <w:tblPrEx>
          <w:tblCellMar>
            <w:top w:w="15" w:type="dxa"/>
            <w:left w:w="15" w:type="dxa"/>
            <w:bottom w:w="15" w:type="dxa"/>
            <w:right w:w="15" w:type="dxa"/>
          </w:tblCellMar>
        </w:tblPrEx>
        <w:trPr>
          <w:trHeight w:val="646" w:hRule="atLeast"/>
        </w:trPr>
        <w:tc>
          <w:tcPr>
            <w:tcW w:w="2815" w:type="dxa"/>
            <w:tcBorders>
              <w:top w:val="single" w:color="000000" w:sz="4" w:space="0"/>
              <w:left w:val="single" w:color="000000" w:sz="4" w:space="0"/>
              <w:bottom w:val="single" w:color="000000" w:sz="4" w:space="0"/>
              <w:right w:val="single" w:color="000000" w:sz="4" w:space="0"/>
            </w:tcBorders>
            <w:vAlign w:val="center"/>
          </w:tcPr>
          <w:p w14:paraId="63EA2A95">
            <w:pPr>
              <w:keepNext w:val="0"/>
              <w:keepLines w:val="0"/>
              <w:pageBreakBefore w:val="0"/>
              <w:widowControl/>
              <w:overflowPunct/>
              <w:topLinePunct w:val="0"/>
              <w:bidi w:val="0"/>
              <w:spacing w:line="360" w:lineRule="auto"/>
              <w:jc w:val="center"/>
              <w:textAlignment w:val="center"/>
              <w:rPr>
                <w:rFonts w:hint="eastAsia" w:ascii="宋体" w:hAnsi="宋体" w:eastAsia="宋体" w:cs="宋体"/>
                <w:b/>
                <w:color w:val="auto"/>
                <w:sz w:val="24"/>
              </w:rPr>
            </w:pPr>
            <w:r>
              <w:rPr>
                <w:rFonts w:hint="eastAsia" w:ascii="宋体" w:hAnsi="宋体" w:eastAsia="宋体" w:cs="宋体"/>
                <w:b/>
                <w:color w:val="auto"/>
                <w:kern w:val="0"/>
                <w:sz w:val="24"/>
              </w:rPr>
              <w:t>营业执照号码</w:t>
            </w:r>
          </w:p>
        </w:tc>
        <w:tc>
          <w:tcPr>
            <w:tcW w:w="2661" w:type="dxa"/>
            <w:tcBorders>
              <w:top w:val="single" w:color="000000" w:sz="4" w:space="0"/>
              <w:left w:val="single" w:color="000000" w:sz="4" w:space="0"/>
              <w:right w:val="single" w:color="000000" w:sz="4" w:space="0"/>
            </w:tcBorders>
            <w:vAlign w:val="center"/>
          </w:tcPr>
          <w:p w14:paraId="039C0F64">
            <w:pPr>
              <w:keepNext w:val="0"/>
              <w:keepLines w:val="0"/>
              <w:pageBreakBefore w:val="0"/>
              <w:overflowPunct/>
              <w:topLinePunct w:val="0"/>
              <w:bidi w:val="0"/>
              <w:spacing w:line="360" w:lineRule="auto"/>
              <w:rPr>
                <w:rFonts w:hint="eastAsia" w:ascii="宋体" w:hAnsi="宋体" w:eastAsia="宋体" w:cs="宋体"/>
                <w:b/>
                <w:color w:val="auto"/>
                <w:sz w:val="24"/>
              </w:rPr>
            </w:pPr>
          </w:p>
        </w:tc>
        <w:tc>
          <w:tcPr>
            <w:tcW w:w="1115" w:type="dxa"/>
            <w:tcBorders>
              <w:top w:val="single" w:color="000000" w:sz="4" w:space="0"/>
              <w:left w:val="single" w:color="000000" w:sz="4" w:space="0"/>
              <w:right w:val="single" w:color="000000" w:sz="4" w:space="0"/>
            </w:tcBorders>
            <w:vAlign w:val="center"/>
          </w:tcPr>
          <w:p w14:paraId="1BCA0EDA">
            <w:pPr>
              <w:keepNext w:val="0"/>
              <w:keepLines w:val="0"/>
              <w:pageBreakBefore w:val="0"/>
              <w:widowControl/>
              <w:overflowPunct/>
              <w:topLinePunct w:val="0"/>
              <w:bidi w:val="0"/>
              <w:spacing w:line="360" w:lineRule="auto"/>
              <w:jc w:val="center"/>
              <w:textAlignment w:val="center"/>
              <w:rPr>
                <w:rFonts w:hint="eastAsia" w:ascii="宋体" w:hAnsi="宋体" w:eastAsia="宋体" w:cs="宋体"/>
                <w:b/>
                <w:color w:val="auto"/>
                <w:sz w:val="24"/>
              </w:rPr>
            </w:pPr>
            <w:r>
              <w:rPr>
                <w:rFonts w:hint="eastAsia" w:ascii="宋体" w:hAnsi="宋体" w:eastAsia="宋体" w:cs="宋体"/>
                <w:b/>
                <w:color w:val="auto"/>
                <w:kern w:val="0"/>
                <w:sz w:val="24"/>
              </w:rPr>
              <w:t>注册资金</w:t>
            </w:r>
          </w:p>
        </w:tc>
        <w:tc>
          <w:tcPr>
            <w:tcW w:w="2689" w:type="dxa"/>
            <w:tcBorders>
              <w:top w:val="single" w:color="000000" w:sz="4" w:space="0"/>
              <w:left w:val="single" w:color="000000" w:sz="4" w:space="0"/>
              <w:right w:val="single" w:color="000000" w:sz="4" w:space="0"/>
            </w:tcBorders>
            <w:vAlign w:val="center"/>
          </w:tcPr>
          <w:p w14:paraId="4D7F9BAC">
            <w:pPr>
              <w:keepNext w:val="0"/>
              <w:keepLines w:val="0"/>
              <w:pageBreakBefore w:val="0"/>
              <w:overflowPunct/>
              <w:topLinePunct w:val="0"/>
              <w:bidi w:val="0"/>
              <w:spacing w:line="360" w:lineRule="auto"/>
              <w:rPr>
                <w:rFonts w:hint="eastAsia" w:ascii="宋体" w:hAnsi="宋体" w:eastAsia="宋体" w:cs="宋体"/>
                <w:b/>
                <w:color w:val="auto"/>
                <w:sz w:val="24"/>
              </w:rPr>
            </w:pPr>
          </w:p>
        </w:tc>
      </w:tr>
      <w:tr w14:paraId="4B2B187B">
        <w:tblPrEx>
          <w:tblCellMar>
            <w:top w:w="15" w:type="dxa"/>
            <w:left w:w="15" w:type="dxa"/>
            <w:bottom w:w="15" w:type="dxa"/>
            <w:right w:w="15" w:type="dxa"/>
          </w:tblCellMar>
        </w:tblPrEx>
        <w:trPr>
          <w:trHeight w:val="646" w:hRule="atLeast"/>
        </w:trPr>
        <w:tc>
          <w:tcPr>
            <w:tcW w:w="2815" w:type="dxa"/>
            <w:tcBorders>
              <w:top w:val="single" w:color="000000" w:sz="4" w:space="0"/>
              <w:left w:val="single" w:color="000000" w:sz="4" w:space="0"/>
              <w:bottom w:val="single" w:color="000000" w:sz="4" w:space="0"/>
              <w:right w:val="single" w:color="000000" w:sz="4" w:space="0"/>
            </w:tcBorders>
            <w:vAlign w:val="center"/>
          </w:tcPr>
          <w:p w14:paraId="117721E2">
            <w:pPr>
              <w:keepNext w:val="0"/>
              <w:keepLines w:val="0"/>
              <w:pageBreakBefore w:val="0"/>
              <w:widowControl/>
              <w:overflowPunct/>
              <w:topLinePunct w:val="0"/>
              <w:bidi w:val="0"/>
              <w:spacing w:line="360" w:lineRule="auto"/>
              <w:jc w:val="center"/>
              <w:textAlignment w:val="center"/>
              <w:rPr>
                <w:rFonts w:hint="eastAsia" w:ascii="宋体" w:hAnsi="宋体" w:eastAsia="宋体" w:cs="宋体"/>
                <w:b/>
                <w:color w:val="auto"/>
                <w:sz w:val="24"/>
              </w:rPr>
            </w:pPr>
            <w:r>
              <w:rPr>
                <w:rFonts w:hint="eastAsia" w:ascii="宋体" w:hAnsi="宋体" w:eastAsia="宋体" w:cs="宋体"/>
                <w:b/>
                <w:color w:val="auto"/>
                <w:kern w:val="0"/>
                <w:sz w:val="24"/>
              </w:rPr>
              <w:t>资质证书号码</w:t>
            </w:r>
          </w:p>
        </w:tc>
        <w:tc>
          <w:tcPr>
            <w:tcW w:w="6465" w:type="dxa"/>
            <w:gridSpan w:val="3"/>
            <w:tcBorders>
              <w:top w:val="single" w:color="000000" w:sz="4" w:space="0"/>
              <w:left w:val="single" w:color="000000" w:sz="4" w:space="0"/>
              <w:bottom w:val="single" w:color="000000" w:sz="4" w:space="0"/>
              <w:right w:val="single" w:color="000000" w:sz="4" w:space="0"/>
            </w:tcBorders>
            <w:vAlign w:val="center"/>
          </w:tcPr>
          <w:p w14:paraId="5A13BAD1">
            <w:pPr>
              <w:keepNext w:val="0"/>
              <w:keepLines w:val="0"/>
              <w:pageBreakBefore w:val="0"/>
              <w:overflowPunct/>
              <w:topLinePunct w:val="0"/>
              <w:bidi w:val="0"/>
              <w:spacing w:line="360" w:lineRule="auto"/>
              <w:jc w:val="center"/>
              <w:rPr>
                <w:rFonts w:hint="eastAsia" w:ascii="宋体" w:hAnsi="宋体" w:eastAsia="宋体" w:cs="宋体"/>
                <w:b/>
                <w:color w:val="auto"/>
                <w:sz w:val="24"/>
              </w:rPr>
            </w:pPr>
          </w:p>
        </w:tc>
      </w:tr>
      <w:tr w14:paraId="6B8A70E1">
        <w:tblPrEx>
          <w:tblCellMar>
            <w:top w:w="15" w:type="dxa"/>
            <w:left w:w="15" w:type="dxa"/>
            <w:bottom w:w="15" w:type="dxa"/>
            <w:right w:w="15" w:type="dxa"/>
          </w:tblCellMar>
        </w:tblPrEx>
        <w:trPr>
          <w:trHeight w:val="646" w:hRule="atLeast"/>
        </w:trPr>
        <w:tc>
          <w:tcPr>
            <w:tcW w:w="2815" w:type="dxa"/>
            <w:tcBorders>
              <w:top w:val="single" w:color="000000" w:sz="4" w:space="0"/>
              <w:left w:val="single" w:color="000000" w:sz="4" w:space="0"/>
              <w:bottom w:val="single" w:color="000000" w:sz="4" w:space="0"/>
              <w:right w:val="single" w:color="000000" w:sz="4" w:space="0"/>
            </w:tcBorders>
            <w:vAlign w:val="center"/>
          </w:tcPr>
          <w:p w14:paraId="6C0DE170">
            <w:pPr>
              <w:keepNext w:val="0"/>
              <w:keepLines w:val="0"/>
              <w:pageBreakBefore w:val="0"/>
              <w:widowControl/>
              <w:overflowPunct/>
              <w:topLinePunct w:val="0"/>
              <w:bidi w:val="0"/>
              <w:spacing w:line="360" w:lineRule="auto"/>
              <w:jc w:val="center"/>
              <w:textAlignment w:val="center"/>
              <w:rPr>
                <w:rFonts w:hint="eastAsia" w:ascii="宋体" w:hAnsi="宋体" w:eastAsia="宋体" w:cs="宋体"/>
                <w:b/>
                <w:color w:val="auto"/>
                <w:sz w:val="22"/>
              </w:rPr>
            </w:pPr>
            <w:r>
              <w:rPr>
                <w:rFonts w:hint="eastAsia" w:ascii="宋体" w:hAnsi="宋体" w:eastAsia="宋体" w:cs="宋体"/>
                <w:b/>
                <w:color w:val="auto"/>
                <w:kern w:val="0"/>
                <w:sz w:val="24"/>
              </w:rPr>
              <w:t>资质证书类型及级别</w:t>
            </w:r>
          </w:p>
        </w:tc>
        <w:tc>
          <w:tcPr>
            <w:tcW w:w="6465" w:type="dxa"/>
            <w:gridSpan w:val="3"/>
            <w:tcBorders>
              <w:top w:val="single" w:color="000000" w:sz="4" w:space="0"/>
              <w:left w:val="single" w:color="000000" w:sz="4" w:space="0"/>
              <w:bottom w:val="single" w:color="000000" w:sz="4" w:space="0"/>
              <w:right w:val="single" w:color="000000" w:sz="4" w:space="0"/>
            </w:tcBorders>
            <w:vAlign w:val="center"/>
          </w:tcPr>
          <w:p w14:paraId="0B468EC1">
            <w:pPr>
              <w:keepNext w:val="0"/>
              <w:keepLines w:val="0"/>
              <w:pageBreakBefore w:val="0"/>
              <w:overflowPunct/>
              <w:topLinePunct w:val="0"/>
              <w:bidi w:val="0"/>
              <w:spacing w:line="360" w:lineRule="auto"/>
              <w:jc w:val="center"/>
              <w:rPr>
                <w:rFonts w:hint="eastAsia" w:ascii="宋体" w:hAnsi="宋体" w:eastAsia="宋体" w:cs="宋体"/>
                <w:b/>
                <w:color w:val="auto"/>
                <w:sz w:val="24"/>
              </w:rPr>
            </w:pPr>
          </w:p>
        </w:tc>
      </w:tr>
      <w:tr w14:paraId="00BCD1C0">
        <w:tblPrEx>
          <w:tblCellMar>
            <w:top w:w="15" w:type="dxa"/>
            <w:left w:w="15" w:type="dxa"/>
            <w:bottom w:w="15" w:type="dxa"/>
            <w:right w:w="15" w:type="dxa"/>
          </w:tblCellMar>
        </w:tblPrEx>
        <w:trPr>
          <w:trHeight w:val="646" w:hRule="atLeast"/>
        </w:trPr>
        <w:tc>
          <w:tcPr>
            <w:tcW w:w="2815" w:type="dxa"/>
            <w:tcBorders>
              <w:top w:val="single" w:color="000000" w:sz="4" w:space="0"/>
              <w:left w:val="single" w:color="000000" w:sz="4" w:space="0"/>
              <w:bottom w:val="single" w:color="000000" w:sz="4" w:space="0"/>
              <w:right w:val="single" w:color="000000" w:sz="4" w:space="0"/>
            </w:tcBorders>
            <w:vAlign w:val="center"/>
          </w:tcPr>
          <w:p w14:paraId="5EC7576C">
            <w:pPr>
              <w:keepNext w:val="0"/>
              <w:keepLines w:val="0"/>
              <w:pageBreakBefore w:val="0"/>
              <w:widowControl/>
              <w:overflowPunct/>
              <w:topLinePunct w:val="0"/>
              <w:bidi w:val="0"/>
              <w:spacing w:line="360" w:lineRule="auto"/>
              <w:jc w:val="center"/>
              <w:textAlignment w:val="center"/>
              <w:rPr>
                <w:rFonts w:hint="eastAsia" w:ascii="宋体" w:hAnsi="宋体" w:eastAsia="宋体" w:cs="宋体"/>
                <w:b/>
                <w:color w:val="auto"/>
                <w:sz w:val="24"/>
              </w:rPr>
            </w:pPr>
            <w:r>
              <w:rPr>
                <w:rFonts w:hint="eastAsia" w:ascii="宋体" w:hAnsi="宋体" w:eastAsia="宋体" w:cs="宋体"/>
                <w:b/>
                <w:color w:val="auto"/>
                <w:kern w:val="0"/>
                <w:sz w:val="24"/>
              </w:rPr>
              <w:t>供应商联系固定电话</w:t>
            </w:r>
          </w:p>
        </w:tc>
        <w:tc>
          <w:tcPr>
            <w:tcW w:w="6465" w:type="dxa"/>
            <w:gridSpan w:val="3"/>
            <w:tcBorders>
              <w:top w:val="single" w:color="000000" w:sz="4" w:space="0"/>
              <w:left w:val="single" w:color="000000" w:sz="4" w:space="0"/>
              <w:bottom w:val="single" w:color="000000" w:sz="4" w:space="0"/>
              <w:right w:val="single" w:color="000000" w:sz="4" w:space="0"/>
            </w:tcBorders>
            <w:vAlign w:val="center"/>
          </w:tcPr>
          <w:p w14:paraId="519FB676">
            <w:pPr>
              <w:keepNext w:val="0"/>
              <w:keepLines w:val="0"/>
              <w:pageBreakBefore w:val="0"/>
              <w:overflowPunct/>
              <w:topLinePunct w:val="0"/>
              <w:bidi w:val="0"/>
              <w:spacing w:line="360" w:lineRule="auto"/>
              <w:jc w:val="center"/>
              <w:rPr>
                <w:rFonts w:hint="eastAsia" w:ascii="宋体" w:hAnsi="宋体" w:eastAsia="宋体" w:cs="宋体"/>
                <w:b/>
                <w:color w:val="auto"/>
                <w:sz w:val="24"/>
              </w:rPr>
            </w:pPr>
          </w:p>
        </w:tc>
      </w:tr>
      <w:tr w14:paraId="34AB7DFD">
        <w:tblPrEx>
          <w:tblCellMar>
            <w:top w:w="15" w:type="dxa"/>
            <w:left w:w="15" w:type="dxa"/>
            <w:bottom w:w="15" w:type="dxa"/>
            <w:right w:w="15" w:type="dxa"/>
          </w:tblCellMar>
        </w:tblPrEx>
        <w:trPr>
          <w:trHeight w:val="646" w:hRule="atLeast"/>
        </w:trPr>
        <w:tc>
          <w:tcPr>
            <w:tcW w:w="2815" w:type="dxa"/>
            <w:tcBorders>
              <w:top w:val="single" w:color="000000" w:sz="4" w:space="0"/>
              <w:left w:val="single" w:color="000000" w:sz="4" w:space="0"/>
              <w:bottom w:val="single" w:color="000000" w:sz="4" w:space="0"/>
              <w:right w:val="single" w:color="000000" w:sz="4" w:space="0"/>
            </w:tcBorders>
            <w:vAlign w:val="center"/>
          </w:tcPr>
          <w:p w14:paraId="3C541294">
            <w:pPr>
              <w:keepNext w:val="0"/>
              <w:keepLines w:val="0"/>
              <w:pageBreakBefore w:val="0"/>
              <w:widowControl/>
              <w:overflowPunct/>
              <w:topLinePunct w:val="0"/>
              <w:bidi w:val="0"/>
              <w:spacing w:line="360" w:lineRule="auto"/>
              <w:jc w:val="center"/>
              <w:textAlignment w:val="center"/>
              <w:rPr>
                <w:rFonts w:hint="eastAsia" w:ascii="宋体" w:hAnsi="宋体" w:eastAsia="宋体" w:cs="宋体"/>
                <w:b/>
                <w:color w:val="auto"/>
                <w:sz w:val="24"/>
              </w:rPr>
            </w:pPr>
            <w:r>
              <w:rPr>
                <w:rFonts w:hint="eastAsia" w:ascii="宋体" w:hAnsi="宋体" w:eastAsia="宋体" w:cs="宋体"/>
                <w:b/>
                <w:color w:val="auto"/>
                <w:kern w:val="0"/>
                <w:sz w:val="24"/>
              </w:rPr>
              <w:t>供应商传真</w:t>
            </w:r>
          </w:p>
        </w:tc>
        <w:tc>
          <w:tcPr>
            <w:tcW w:w="6465" w:type="dxa"/>
            <w:gridSpan w:val="3"/>
            <w:tcBorders>
              <w:top w:val="single" w:color="000000" w:sz="4" w:space="0"/>
              <w:left w:val="single" w:color="000000" w:sz="4" w:space="0"/>
              <w:bottom w:val="single" w:color="000000" w:sz="4" w:space="0"/>
              <w:right w:val="single" w:color="000000" w:sz="4" w:space="0"/>
            </w:tcBorders>
            <w:vAlign w:val="center"/>
          </w:tcPr>
          <w:p w14:paraId="1E1514BD">
            <w:pPr>
              <w:keepNext w:val="0"/>
              <w:keepLines w:val="0"/>
              <w:pageBreakBefore w:val="0"/>
              <w:overflowPunct/>
              <w:topLinePunct w:val="0"/>
              <w:bidi w:val="0"/>
              <w:spacing w:line="360" w:lineRule="auto"/>
              <w:jc w:val="center"/>
              <w:rPr>
                <w:rFonts w:hint="eastAsia" w:ascii="宋体" w:hAnsi="宋体" w:eastAsia="宋体" w:cs="宋体"/>
                <w:b/>
                <w:color w:val="auto"/>
                <w:sz w:val="24"/>
              </w:rPr>
            </w:pPr>
          </w:p>
        </w:tc>
      </w:tr>
      <w:tr w14:paraId="73901A2D">
        <w:tblPrEx>
          <w:tblCellMar>
            <w:top w:w="15" w:type="dxa"/>
            <w:left w:w="15" w:type="dxa"/>
            <w:bottom w:w="15" w:type="dxa"/>
            <w:right w:w="15" w:type="dxa"/>
          </w:tblCellMar>
        </w:tblPrEx>
        <w:trPr>
          <w:trHeight w:val="653" w:hRule="atLeast"/>
        </w:trPr>
        <w:tc>
          <w:tcPr>
            <w:tcW w:w="9280" w:type="dxa"/>
            <w:gridSpan w:val="4"/>
            <w:tcBorders>
              <w:top w:val="single" w:color="000000" w:sz="4" w:space="0"/>
              <w:left w:val="single" w:color="000000" w:sz="4" w:space="0"/>
              <w:bottom w:val="single" w:color="000000" w:sz="4" w:space="0"/>
              <w:right w:val="single" w:color="000000" w:sz="4" w:space="0"/>
            </w:tcBorders>
            <w:vAlign w:val="center"/>
          </w:tcPr>
          <w:p w14:paraId="184EE3AD">
            <w:pPr>
              <w:keepNext w:val="0"/>
              <w:keepLines w:val="0"/>
              <w:pageBreakBefore w:val="0"/>
              <w:widowControl/>
              <w:overflowPunct/>
              <w:topLinePunct w:val="0"/>
              <w:bidi w:val="0"/>
              <w:spacing w:line="360" w:lineRule="auto"/>
              <w:jc w:val="center"/>
              <w:textAlignment w:val="center"/>
              <w:rPr>
                <w:rFonts w:hint="eastAsia" w:ascii="宋体" w:hAnsi="宋体" w:eastAsia="宋体" w:cs="宋体"/>
                <w:b/>
                <w:color w:val="auto"/>
                <w:sz w:val="24"/>
              </w:rPr>
            </w:pPr>
            <w:r>
              <w:rPr>
                <w:rFonts w:hint="eastAsia" w:ascii="宋体" w:hAnsi="宋体" w:eastAsia="宋体" w:cs="宋体"/>
                <w:b/>
                <w:color w:val="auto"/>
                <w:kern w:val="0"/>
                <w:sz w:val="24"/>
              </w:rPr>
              <w:t>年    月    日</w:t>
            </w:r>
          </w:p>
        </w:tc>
      </w:tr>
      <w:tr w14:paraId="24988BB9">
        <w:tblPrEx>
          <w:tblCellMar>
            <w:top w:w="15" w:type="dxa"/>
            <w:left w:w="15" w:type="dxa"/>
            <w:bottom w:w="15" w:type="dxa"/>
            <w:right w:w="15" w:type="dxa"/>
          </w:tblCellMar>
        </w:tblPrEx>
        <w:trPr>
          <w:trHeight w:val="1035" w:hRule="atLeast"/>
        </w:trPr>
        <w:tc>
          <w:tcPr>
            <w:tcW w:w="9280" w:type="dxa"/>
            <w:gridSpan w:val="4"/>
            <w:vAlign w:val="center"/>
          </w:tcPr>
          <w:p w14:paraId="7661FBB5">
            <w:pPr>
              <w:keepNext w:val="0"/>
              <w:keepLines w:val="0"/>
              <w:pageBreakBefore w:val="0"/>
              <w:widowControl/>
              <w:overflowPunct/>
              <w:topLinePunct w:val="0"/>
              <w:bidi w:val="0"/>
              <w:spacing w:line="360" w:lineRule="auto"/>
              <w:jc w:val="left"/>
              <w:textAlignment w:val="center"/>
              <w:rPr>
                <w:rFonts w:hint="eastAsia" w:ascii="宋体" w:hAnsi="宋体" w:eastAsia="宋体" w:cs="宋体"/>
                <w:color w:val="auto"/>
                <w:lang w:eastAsia="zh-CN"/>
              </w:rPr>
            </w:pPr>
            <w:r>
              <w:rPr>
                <w:rFonts w:hint="eastAsia" w:ascii="宋体" w:hAnsi="宋体" w:eastAsia="宋体" w:cs="宋体"/>
                <w:color w:val="auto"/>
              </w:rPr>
              <w:t>说明：</w:t>
            </w:r>
            <w:r>
              <w:rPr>
                <w:rFonts w:hint="eastAsia" w:ascii="宋体" w:hAnsi="宋体" w:eastAsia="宋体" w:cs="宋体"/>
                <w:b/>
                <w:bCs/>
                <w:color w:val="auto"/>
                <w:lang w:eastAsia="zh-CN"/>
              </w:rPr>
              <w:t>（</w:t>
            </w:r>
            <w:r>
              <w:rPr>
                <w:rFonts w:hint="eastAsia" w:ascii="宋体" w:hAnsi="宋体" w:eastAsia="宋体" w:cs="宋体"/>
                <w:b/>
                <w:bCs/>
                <w:color w:val="auto"/>
                <w:lang w:val="en-US" w:eastAsia="zh-CN"/>
              </w:rPr>
              <w:t>填写完整并加盖供应商公章</w:t>
            </w:r>
            <w:r>
              <w:rPr>
                <w:rFonts w:hint="eastAsia" w:ascii="宋体" w:hAnsi="宋体" w:eastAsia="宋体" w:cs="宋体"/>
                <w:b/>
                <w:bCs/>
                <w:color w:val="auto"/>
                <w:lang w:eastAsia="zh-CN"/>
              </w:rPr>
              <w:t>）</w:t>
            </w:r>
          </w:p>
          <w:p w14:paraId="71C206F7">
            <w:pPr>
              <w:keepNext w:val="0"/>
              <w:keepLines w:val="0"/>
              <w:pageBreakBefore w:val="0"/>
              <w:widowControl/>
              <w:overflowPunct/>
              <w:topLinePunct w:val="0"/>
              <w:bidi w:val="0"/>
              <w:spacing w:line="360" w:lineRule="auto"/>
              <w:jc w:val="left"/>
              <w:textAlignment w:val="center"/>
              <w:rPr>
                <w:rFonts w:hint="eastAsia" w:ascii="宋体" w:hAnsi="宋体" w:eastAsia="宋体" w:cs="宋体"/>
                <w:color w:val="auto"/>
              </w:rPr>
            </w:pPr>
            <w:r>
              <w:rPr>
                <w:rFonts w:hint="eastAsia" w:ascii="宋体" w:hAnsi="宋体" w:eastAsia="宋体" w:cs="宋体"/>
                <w:color w:val="auto"/>
              </w:rPr>
              <w:fldChar w:fldCharType="begin"/>
            </w:r>
            <w:r>
              <w:rPr>
                <w:rFonts w:hint="eastAsia" w:ascii="宋体" w:hAnsi="宋体" w:eastAsia="宋体" w:cs="宋体"/>
                <w:color w:val="auto"/>
              </w:rPr>
              <w:instrText xml:space="preserve"> HYPERLINK "mailto:1.报名信息必填。2.企业信息没有的可不填。3.填好后发到邮箱ahzfcg04@163.com。4.邮件标题为所投项目名称及报名企业名称，可粘贴到邮件正文。" </w:instrText>
            </w:r>
            <w:r>
              <w:rPr>
                <w:rFonts w:hint="eastAsia" w:ascii="宋体" w:hAnsi="宋体" w:eastAsia="宋体" w:cs="宋体"/>
                <w:color w:val="auto"/>
              </w:rPr>
              <w:fldChar w:fldCharType="separate"/>
            </w:r>
            <w:r>
              <w:rPr>
                <w:rFonts w:hint="eastAsia" w:ascii="宋体" w:hAnsi="宋体" w:eastAsia="宋体" w:cs="宋体"/>
                <w:color w:val="auto"/>
              </w:rPr>
              <w:t>1.报名信息必填。</w:t>
            </w:r>
          </w:p>
          <w:p w14:paraId="1350D358">
            <w:pPr>
              <w:keepNext w:val="0"/>
              <w:keepLines w:val="0"/>
              <w:pageBreakBefore w:val="0"/>
              <w:widowControl/>
              <w:overflowPunct/>
              <w:topLinePunct w:val="0"/>
              <w:bidi w:val="0"/>
              <w:spacing w:line="360" w:lineRule="auto"/>
              <w:jc w:val="left"/>
              <w:textAlignment w:val="center"/>
              <w:rPr>
                <w:rFonts w:hint="eastAsia" w:ascii="宋体" w:hAnsi="宋体" w:eastAsia="宋体" w:cs="宋体"/>
                <w:b/>
                <w:bCs/>
                <w:color w:val="auto"/>
              </w:rPr>
            </w:pPr>
            <w:r>
              <w:rPr>
                <w:rFonts w:hint="eastAsia" w:ascii="宋体" w:hAnsi="宋体" w:eastAsia="宋体" w:cs="宋体"/>
                <w:color w:val="auto"/>
              </w:rPr>
              <w:t>2.供应商基本信息没有的可不填。</w:t>
            </w:r>
            <w:r>
              <w:rPr>
                <w:rFonts w:hint="eastAsia" w:ascii="宋体" w:hAnsi="宋体" w:eastAsia="宋体" w:cs="宋体"/>
                <w:color w:val="auto"/>
              </w:rPr>
              <w:fldChar w:fldCharType="end"/>
            </w:r>
          </w:p>
        </w:tc>
      </w:tr>
    </w:tbl>
    <w:p w14:paraId="3D03FDE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8"/>
          <w:szCs w:val="28"/>
        </w:rPr>
        <w:sectPr>
          <w:footerReference r:id="rId7" w:type="default"/>
          <w:pgSz w:w="11900" w:h="16840"/>
          <w:pgMar w:top="1440" w:right="1080" w:bottom="1440" w:left="1080" w:header="0" w:footer="0" w:gutter="0"/>
          <w:pgNumType w:fmt="decimal" w:start="1"/>
          <w:cols w:space="720" w:num="1"/>
        </w:sectPr>
      </w:pPr>
    </w:p>
    <w:p w14:paraId="5F6D96CD">
      <w:pPr>
        <w:keepNext w:val="0"/>
        <w:keepLines w:val="0"/>
        <w:pageBreakBefore w:val="0"/>
        <w:overflowPunct/>
        <w:topLinePunct w:val="0"/>
        <w:bidi w:val="0"/>
        <w:spacing w:line="360" w:lineRule="auto"/>
        <w:jc w:val="center"/>
        <w:outlineLvl w:val="0"/>
        <w:rPr>
          <w:rFonts w:hint="eastAsia" w:ascii="宋体" w:hAnsi="宋体" w:eastAsia="宋体" w:cs="宋体"/>
          <w:b/>
          <w:bCs/>
          <w:color w:val="auto"/>
          <w:sz w:val="28"/>
          <w:szCs w:val="28"/>
        </w:rPr>
      </w:pPr>
      <w:bookmarkStart w:id="19" w:name="_Toc28792"/>
      <w:r>
        <w:rPr>
          <w:rFonts w:hint="eastAsia" w:ascii="宋体" w:hAnsi="宋体" w:eastAsia="宋体" w:cs="宋体"/>
          <w:b/>
          <w:bCs/>
          <w:color w:val="auto"/>
          <w:sz w:val="28"/>
          <w:szCs w:val="28"/>
        </w:rPr>
        <w:t>第二章 供应商须知</w:t>
      </w:r>
      <w:bookmarkEnd w:id="19"/>
    </w:p>
    <w:p w14:paraId="1F3C27CE">
      <w:pPr>
        <w:keepNext w:val="0"/>
        <w:keepLines w:val="0"/>
        <w:pageBreakBefore w:val="0"/>
        <w:overflowPunct/>
        <w:topLinePunct w:val="0"/>
        <w:bidi w:val="0"/>
        <w:spacing w:line="360" w:lineRule="auto"/>
        <w:jc w:val="both"/>
        <w:rPr>
          <w:rFonts w:hint="eastAsia" w:ascii="宋体" w:hAnsi="宋体" w:eastAsia="宋体" w:cs="宋体"/>
          <w:color w:val="auto"/>
          <w:sz w:val="28"/>
          <w:szCs w:val="28"/>
        </w:rPr>
      </w:pPr>
      <w:r>
        <w:rPr>
          <w:rFonts w:hint="eastAsia" w:ascii="宋体" w:hAnsi="宋体" w:eastAsia="宋体" w:cs="宋体"/>
          <w:b/>
          <w:bCs/>
          <w:color w:val="auto"/>
          <w:sz w:val="28"/>
          <w:szCs w:val="28"/>
        </w:rPr>
        <w:t>一</w:t>
      </w:r>
      <w:r>
        <w:rPr>
          <w:rFonts w:hint="eastAsia" w:ascii="宋体" w:hAnsi="宋体" w:eastAsia="宋体" w:cs="宋体"/>
          <w:b/>
          <w:bCs/>
          <w:color w:val="auto"/>
          <w:sz w:val="28"/>
          <w:szCs w:val="28"/>
          <w:lang w:eastAsia="zh-CN"/>
        </w:rPr>
        <w:t>、</w:t>
      </w:r>
      <w:r>
        <w:rPr>
          <w:rFonts w:hint="eastAsia" w:ascii="宋体" w:hAnsi="宋体" w:eastAsia="宋体" w:cs="宋体"/>
          <w:b/>
          <w:bCs/>
          <w:color w:val="auto"/>
          <w:sz w:val="28"/>
          <w:szCs w:val="28"/>
        </w:rPr>
        <w:t>前附表</w:t>
      </w:r>
    </w:p>
    <w:tbl>
      <w:tblPr>
        <w:tblStyle w:val="14"/>
        <w:tblW w:w="976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3"/>
        <w:gridCol w:w="2355"/>
        <w:gridCol w:w="6599"/>
      </w:tblGrid>
      <w:tr w14:paraId="57BA50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7" w:hRule="atLeast"/>
        </w:trPr>
        <w:tc>
          <w:tcPr>
            <w:tcW w:w="813" w:type="dxa"/>
            <w:vAlign w:val="top"/>
          </w:tcPr>
          <w:p w14:paraId="42978014">
            <w:pPr>
              <w:keepNext w:val="0"/>
              <w:keepLines w:val="0"/>
              <w:pageBreakBefore w:val="0"/>
              <w:overflowPunct/>
              <w:topLinePunct w:val="0"/>
              <w:bidi w:val="0"/>
              <w:spacing w:line="360" w:lineRule="auto"/>
              <w:jc w:val="center"/>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序号</w:t>
            </w:r>
          </w:p>
        </w:tc>
        <w:tc>
          <w:tcPr>
            <w:tcW w:w="2355" w:type="dxa"/>
            <w:vAlign w:val="top"/>
          </w:tcPr>
          <w:p w14:paraId="204F735C">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条款名称</w:t>
            </w:r>
          </w:p>
        </w:tc>
        <w:tc>
          <w:tcPr>
            <w:tcW w:w="6599" w:type="dxa"/>
            <w:vAlign w:val="top"/>
          </w:tcPr>
          <w:p w14:paraId="7F481A72">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内容及要求</w:t>
            </w:r>
          </w:p>
        </w:tc>
      </w:tr>
      <w:tr w14:paraId="11B50E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trPr>
        <w:tc>
          <w:tcPr>
            <w:tcW w:w="813" w:type="dxa"/>
            <w:vAlign w:val="top"/>
          </w:tcPr>
          <w:p w14:paraId="572D5D5C">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1</w:t>
            </w:r>
          </w:p>
        </w:tc>
        <w:tc>
          <w:tcPr>
            <w:tcW w:w="2355" w:type="dxa"/>
            <w:vAlign w:val="top"/>
          </w:tcPr>
          <w:p w14:paraId="767FF70C">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划分采购包情况</w:t>
            </w:r>
          </w:p>
        </w:tc>
        <w:tc>
          <w:tcPr>
            <w:tcW w:w="6599" w:type="dxa"/>
            <w:vAlign w:val="top"/>
          </w:tcPr>
          <w:p w14:paraId="03219D0A">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共1包</w:t>
            </w:r>
          </w:p>
        </w:tc>
      </w:tr>
      <w:tr w14:paraId="6A5D0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1" w:hRule="atLeast"/>
        </w:trPr>
        <w:tc>
          <w:tcPr>
            <w:tcW w:w="813" w:type="dxa"/>
            <w:vAlign w:val="top"/>
          </w:tcPr>
          <w:p w14:paraId="0A127A2E">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2</w:t>
            </w:r>
          </w:p>
        </w:tc>
        <w:tc>
          <w:tcPr>
            <w:tcW w:w="2355" w:type="dxa"/>
            <w:vAlign w:val="top"/>
          </w:tcPr>
          <w:p w14:paraId="3BEF34B8">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采购方式</w:t>
            </w:r>
          </w:p>
        </w:tc>
        <w:tc>
          <w:tcPr>
            <w:tcW w:w="6599" w:type="dxa"/>
            <w:vAlign w:val="top"/>
          </w:tcPr>
          <w:p w14:paraId="5617715E">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竞争性谈判</w:t>
            </w:r>
          </w:p>
        </w:tc>
      </w:tr>
      <w:tr w14:paraId="598D9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813" w:type="dxa"/>
            <w:vAlign w:val="top"/>
          </w:tcPr>
          <w:p w14:paraId="1ED2D295">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3</w:t>
            </w:r>
          </w:p>
        </w:tc>
        <w:tc>
          <w:tcPr>
            <w:tcW w:w="2355" w:type="dxa"/>
            <w:vAlign w:val="top"/>
          </w:tcPr>
          <w:p w14:paraId="4CDBBE0B">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开启方式</w:t>
            </w:r>
          </w:p>
        </w:tc>
        <w:tc>
          <w:tcPr>
            <w:tcW w:w="6599" w:type="dxa"/>
            <w:vAlign w:val="top"/>
          </w:tcPr>
          <w:p w14:paraId="5386EE4A">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现场递交纸质版响应文件</w:t>
            </w:r>
            <w:r>
              <w:rPr>
                <w:rFonts w:hint="eastAsia" w:ascii="宋体" w:hAnsi="宋体" w:eastAsia="宋体" w:cs="宋体"/>
                <w:color w:val="auto"/>
                <w:sz w:val="28"/>
                <w:szCs w:val="28"/>
              </w:rPr>
              <w:t>开标</w:t>
            </w:r>
          </w:p>
        </w:tc>
      </w:tr>
      <w:tr w14:paraId="2147C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813" w:type="dxa"/>
            <w:vAlign w:val="top"/>
          </w:tcPr>
          <w:p w14:paraId="6380494D">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4</w:t>
            </w:r>
          </w:p>
        </w:tc>
        <w:tc>
          <w:tcPr>
            <w:tcW w:w="2355" w:type="dxa"/>
            <w:vAlign w:val="top"/>
          </w:tcPr>
          <w:p w14:paraId="64E406FF">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评审方式</w:t>
            </w:r>
          </w:p>
        </w:tc>
        <w:tc>
          <w:tcPr>
            <w:tcW w:w="6599" w:type="dxa"/>
            <w:vAlign w:val="top"/>
          </w:tcPr>
          <w:p w14:paraId="4C42047D">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现场评标</w:t>
            </w:r>
          </w:p>
        </w:tc>
      </w:tr>
      <w:tr w14:paraId="223BE9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813" w:type="dxa"/>
            <w:vAlign w:val="top"/>
          </w:tcPr>
          <w:p w14:paraId="61D7D375">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5</w:t>
            </w:r>
          </w:p>
        </w:tc>
        <w:tc>
          <w:tcPr>
            <w:tcW w:w="2355" w:type="dxa"/>
            <w:vAlign w:val="top"/>
          </w:tcPr>
          <w:p w14:paraId="6FB80A3B">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评审方法</w:t>
            </w:r>
          </w:p>
        </w:tc>
        <w:tc>
          <w:tcPr>
            <w:tcW w:w="6599" w:type="dxa"/>
            <w:vAlign w:val="top"/>
          </w:tcPr>
          <w:p w14:paraId="5A3EC33A">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根据质量和服务均能满足采购文件实质性响应要求且最后报价最低的原则确定成交供应商</w:t>
            </w:r>
          </w:p>
        </w:tc>
      </w:tr>
      <w:tr w14:paraId="03B95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trPr>
        <w:tc>
          <w:tcPr>
            <w:tcW w:w="813" w:type="dxa"/>
            <w:vAlign w:val="top"/>
          </w:tcPr>
          <w:p w14:paraId="092BC9F7">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6</w:t>
            </w:r>
          </w:p>
        </w:tc>
        <w:tc>
          <w:tcPr>
            <w:tcW w:w="2355" w:type="dxa"/>
            <w:vAlign w:val="top"/>
          </w:tcPr>
          <w:p w14:paraId="2C2ECA82">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获取谈判文件时间</w:t>
            </w:r>
          </w:p>
        </w:tc>
        <w:tc>
          <w:tcPr>
            <w:tcW w:w="6599" w:type="dxa"/>
            <w:vAlign w:val="top"/>
          </w:tcPr>
          <w:p w14:paraId="7762F3AE">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详见竞争性谈判公告</w:t>
            </w:r>
          </w:p>
        </w:tc>
      </w:tr>
      <w:tr w14:paraId="07835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7" w:hRule="atLeast"/>
        </w:trPr>
        <w:tc>
          <w:tcPr>
            <w:tcW w:w="813" w:type="dxa"/>
            <w:vAlign w:val="top"/>
          </w:tcPr>
          <w:p w14:paraId="4B416119">
            <w:pPr>
              <w:keepNext w:val="0"/>
              <w:keepLines w:val="0"/>
              <w:pageBreakBefore w:val="0"/>
              <w:overflowPunct/>
              <w:topLinePunct w:val="0"/>
              <w:bidi w:val="0"/>
              <w:spacing w:line="360" w:lineRule="auto"/>
              <w:jc w:val="both"/>
              <w:rPr>
                <w:rFonts w:hint="eastAsia" w:ascii="宋体" w:hAnsi="宋体" w:eastAsia="宋体" w:cs="宋体"/>
                <w:color w:val="auto"/>
                <w:sz w:val="28"/>
                <w:szCs w:val="28"/>
              </w:rPr>
            </w:pPr>
          </w:p>
          <w:p w14:paraId="44F72655">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7</w:t>
            </w:r>
          </w:p>
        </w:tc>
        <w:tc>
          <w:tcPr>
            <w:tcW w:w="2355" w:type="dxa"/>
            <w:vAlign w:val="top"/>
          </w:tcPr>
          <w:p w14:paraId="5FDAF130">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保证金缴纳截止时间（同响应文件提交截止时间）</w:t>
            </w:r>
          </w:p>
        </w:tc>
        <w:tc>
          <w:tcPr>
            <w:tcW w:w="6599" w:type="dxa"/>
            <w:vAlign w:val="top"/>
          </w:tcPr>
          <w:p w14:paraId="010F6960">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4C7257D7">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详见竞争性谈判公告</w:t>
            </w:r>
          </w:p>
        </w:tc>
      </w:tr>
      <w:tr w14:paraId="15515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813" w:type="dxa"/>
            <w:vAlign w:val="top"/>
          </w:tcPr>
          <w:p w14:paraId="2D6C640F">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8</w:t>
            </w:r>
          </w:p>
        </w:tc>
        <w:tc>
          <w:tcPr>
            <w:tcW w:w="2355" w:type="dxa"/>
            <w:vAlign w:val="top"/>
          </w:tcPr>
          <w:p w14:paraId="2189B412">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响应文件提交</w:t>
            </w:r>
          </w:p>
        </w:tc>
        <w:tc>
          <w:tcPr>
            <w:tcW w:w="6599" w:type="dxa"/>
            <w:vAlign w:val="top"/>
          </w:tcPr>
          <w:p w14:paraId="2335C161">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响应文件在投标截止时间前递交至</w:t>
            </w:r>
            <w:r>
              <w:rPr>
                <w:rFonts w:hint="eastAsia" w:ascii="宋体" w:hAnsi="宋体" w:eastAsia="宋体" w:cs="宋体"/>
                <w:color w:val="auto"/>
                <w:sz w:val="28"/>
                <w:szCs w:val="28"/>
                <w:lang w:eastAsia="zh-CN"/>
              </w:rPr>
              <w:t>赤峰嘉恒项目管理有限公司</w:t>
            </w:r>
            <w:r>
              <w:rPr>
                <w:rFonts w:hint="eastAsia" w:ascii="宋体" w:hAnsi="宋体" w:eastAsia="宋体" w:cs="宋体"/>
                <w:color w:val="auto"/>
                <w:sz w:val="28"/>
                <w:szCs w:val="28"/>
                <w:lang w:val="en-US" w:eastAsia="zh-CN"/>
              </w:rPr>
              <w:t>开标室</w:t>
            </w:r>
          </w:p>
        </w:tc>
      </w:tr>
      <w:tr w14:paraId="34576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0" w:hRule="atLeast"/>
        </w:trPr>
        <w:tc>
          <w:tcPr>
            <w:tcW w:w="813" w:type="dxa"/>
            <w:vAlign w:val="top"/>
          </w:tcPr>
          <w:p w14:paraId="1B4376C4">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p>
          <w:p w14:paraId="764808FD">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9</w:t>
            </w:r>
          </w:p>
        </w:tc>
        <w:tc>
          <w:tcPr>
            <w:tcW w:w="2355" w:type="dxa"/>
            <w:vAlign w:val="top"/>
          </w:tcPr>
          <w:p w14:paraId="747B5450">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p>
          <w:p w14:paraId="1A8D495D">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响应文件数量</w:t>
            </w:r>
          </w:p>
        </w:tc>
        <w:tc>
          <w:tcPr>
            <w:tcW w:w="6599" w:type="dxa"/>
            <w:vAlign w:val="top"/>
          </w:tcPr>
          <w:p w14:paraId="45C57E4E">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文件按照“响应文件组成”的顺序统一编目、编码、编页，胶订装订成一式三份（A4纸），其中正本一份，副本二份。响应文件的正本所有页面必须加盖供应商公章，公章印记为复印或扫描的，为无效投标，副本可以是正本的复印件</w:t>
            </w:r>
          </w:p>
        </w:tc>
      </w:tr>
      <w:tr w14:paraId="5DC0C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 w:hRule="atLeast"/>
        </w:trPr>
        <w:tc>
          <w:tcPr>
            <w:tcW w:w="813" w:type="dxa"/>
            <w:vAlign w:val="top"/>
          </w:tcPr>
          <w:p w14:paraId="5E30CDEA">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10</w:t>
            </w:r>
          </w:p>
        </w:tc>
        <w:tc>
          <w:tcPr>
            <w:tcW w:w="2355" w:type="dxa"/>
            <w:vAlign w:val="top"/>
          </w:tcPr>
          <w:p w14:paraId="54EE9409">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成交人确定</w:t>
            </w:r>
          </w:p>
        </w:tc>
        <w:tc>
          <w:tcPr>
            <w:tcW w:w="6599" w:type="dxa"/>
            <w:vAlign w:val="top"/>
          </w:tcPr>
          <w:p w14:paraId="4C68BCC5">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采购人按照评审报告中推荐的成交候选人确定中标（成交）人</w:t>
            </w:r>
          </w:p>
        </w:tc>
      </w:tr>
      <w:tr w14:paraId="67D20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 w:hRule="atLeast"/>
        </w:trPr>
        <w:tc>
          <w:tcPr>
            <w:tcW w:w="813" w:type="dxa"/>
            <w:vAlign w:val="top"/>
          </w:tcPr>
          <w:p w14:paraId="64D772E9">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11</w:t>
            </w:r>
          </w:p>
        </w:tc>
        <w:tc>
          <w:tcPr>
            <w:tcW w:w="2355" w:type="dxa"/>
            <w:vAlign w:val="top"/>
          </w:tcPr>
          <w:p w14:paraId="604105FC">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联合体响应</w:t>
            </w:r>
          </w:p>
        </w:tc>
        <w:tc>
          <w:tcPr>
            <w:tcW w:w="6599" w:type="dxa"/>
            <w:vAlign w:val="top"/>
          </w:tcPr>
          <w:p w14:paraId="75F56D47">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包1： </w:t>
            </w:r>
            <w:r>
              <w:rPr>
                <w:rFonts w:hint="eastAsia" w:ascii="宋体" w:hAnsi="宋体" w:eastAsia="宋体" w:cs="宋体"/>
                <w:color w:val="auto"/>
                <w:sz w:val="28"/>
                <w:szCs w:val="28"/>
                <w:lang w:val="en-US" w:eastAsia="zh-CN"/>
              </w:rPr>
              <w:t>不</w:t>
            </w:r>
            <w:r>
              <w:rPr>
                <w:rFonts w:hint="eastAsia" w:ascii="宋体" w:hAnsi="宋体" w:eastAsia="宋体" w:cs="宋体"/>
                <w:color w:val="auto"/>
                <w:sz w:val="28"/>
                <w:szCs w:val="28"/>
              </w:rPr>
              <w:t>接受</w:t>
            </w:r>
          </w:p>
        </w:tc>
      </w:tr>
      <w:tr w14:paraId="3FCED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813" w:type="dxa"/>
            <w:vAlign w:val="top"/>
          </w:tcPr>
          <w:p w14:paraId="0E16DE58">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12</w:t>
            </w:r>
          </w:p>
        </w:tc>
        <w:tc>
          <w:tcPr>
            <w:tcW w:w="2355" w:type="dxa"/>
            <w:vAlign w:val="top"/>
          </w:tcPr>
          <w:p w14:paraId="6961E1E0">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采购代理机构</w:t>
            </w:r>
          </w:p>
          <w:p w14:paraId="39E16929">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代理费用</w:t>
            </w:r>
          </w:p>
        </w:tc>
        <w:tc>
          <w:tcPr>
            <w:tcW w:w="6599" w:type="dxa"/>
            <w:vAlign w:val="top"/>
          </w:tcPr>
          <w:p w14:paraId="0D315773">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收取</w:t>
            </w:r>
          </w:p>
        </w:tc>
      </w:tr>
      <w:tr w14:paraId="22645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0" w:hRule="atLeast"/>
        </w:trPr>
        <w:tc>
          <w:tcPr>
            <w:tcW w:w="813" w:type="dxa"/>
            <w:vAlign w:val="top"/>
          </w:tcPr>
          <w:p w14:paraId="478F4D4B">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13</w:t>
            </w:r>
          </w:p>
        </w:tc>
        <w:tc>
          <w:tcPr>
            <w:tcW w:w="2355" w:type="dxa"/>
            <w:vAlign w:val="top"/>
          </w:tcPr>
          <w:p w14:paraId="32F382ED">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代理费用收取</w:t>
            </w:r>
          </w:p>
          <w:p w14:paraId="061D0AC5">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方式</w:t>
            </w:r>
          </w:p>
        </w:tc>
        <w:tc>
          <w:tcPr>
            <w:tcW w:w="6599" w:type="dxa"/>
            <w:vAlign w:val="top"/>
          </w:tcPr>
          <w:p w14:paraId="6750C579">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向</w:t>
            </w:r>
            <w:r>
              <w:rPr>
                <w:rFonts w:hint="eastAsia" w:ascii="宋体" w:hAnsi="宋体" w:eastAsia="宋体" w:cs="宋体"/>
                <w:color w:val="auto"/>
                <w:sz w:val="28"/>
                <w:szCs w:val="28"/>
                <w:lang w:eastAsia="zh-CN"/>
              </w:rPr>
              <w:t>采购人</w:t>
            </w:r>
            <w:r>
              <w:rPr>
                <w:rFonts w:hint="eastAsia" w:ascii="宋体" w:hAnsi="宋体" w:eastAsia="宋体" w:cs="宋体"/>
                <w:color w:val="auto"/>
                <w:sz w:val="28"/>
                <w:szCs w:val="28"/>
              </w:rPr>
              <w:t>收取</w:t>
            </w:r>
          </w:p>
        </w:tc>
      </w:tr>
      <w:tr w14:paraId="0DC397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813" w:type="dxa"/>
            <w:vAlign w:val="top"/>
          </w:tcPr>
          <w:p w14:paraId="0D968475">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14</w:t>
            </w:r>
          </w:p>
        </w:tc>
        <w:tc>
          <w:tcPr>
            <w:tcW w:w="2355" w:type="dxa"/>
            <w:vAlign w:val="top"/>
          </w:tcPr>
          <w:p w14:paraId="2F5BFBBB">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代理费用收取标准</w:t>
            </w:r>
          </w:p>
        </w:tc>
        <w:tc>
          <w:tcPr>
            <w:tcW w:w="6599" w:type="dxa"/>
            <w:vAlign w:val="top"/>
          </w:tcPr>
          <w:p w14:paraId="2229F6A8">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本项目招标代理服务费用</w:t>
            </w:r>
            <w:r>
              <w:rPr>
                <w:rFonts w:hint="eastAsia" w:ascii="宋体" w:hAnsi="宋体" w:eastAsia="宋体" w:cs="宋体"/>
                <w:color w:val="auto"/>
                <w:sz w:val="28"/>
                <w:szCs w:val="28"/>
                <w:lang w:val="en-US" w:eastAsia="zh-CN"/>
              </w:rPr>
              <w:t>4000元，</w:t>
            </w:r>
            <w:r>
              <w:rPr>
                <w:rFonts w:hint="eastAsia" w:ascii="宋体" w:hAnsi="宋体" w:eastAsia="宋体" w:cs="宋体"/>
                <w:color w:val="auto"/>
                <w:sz w:val="28"/>
                <w:szCs w:val="28"/>
              </w:rPr>
              <w:t>由</w:t>
            </w:r>
            <w:r>
              <w:rPr>
                <w:rFonts w:hint="eastAsia" w:ascii="宋体" w:hAnsi="宋体" w:eastAsia="宋体" w:cs="宋体"/>
                <w:color w:val="auto"/>
                <w:sz w:val="28"/>
                <w:szCs w:val="28"/>
                <w:lang w:val="en-US" w:eastAsia="zh-CN"/>
              </w:rPr>
              <w:t>采购人支付</w:t>
            </w:r>
          </w:p>
        </w:tc>
      </w:tr>
      <w:tr w14:paraId="58657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813" w:type="dxa"/>
            <w:vAlign w:val="top"/>
          </w:tcPr>
          <w:p w14:paraId="2C5F634D">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15</w:t>
            </w:r>
          </w:p>
        </w:tc>
        <w:tc>
          <w:tcPr>
            <w:tcW w:w="2355" w:type="dxa"/>
            <w:vAlign w:val="top"/>
          </w:tcPr>
          <w:p w14:paraId="3E75E721">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lang w:eastAsia="zh-CN"/>
              </w:rPr>
              <w:t>投标</w:t>
            </w:r>
            <w:r>
              <w:rPr>
                <w:rFonts w:hint="eastAsia" w:ascii="宋体" w:hAnsi="宋体" w:eastAsia="宋体" w:cs="宋体"/>
                <w:color w:val="auto"/>
                <w:sz w:val="28"/>
                <w:szCs w:val="28"/>
              </w:rPr>
              <w:t>保证金</w:t>
            </w:r>
          </w:p>
        </w:tc>
        <w:tc>
          <w:tcPr>
            <w:tcW w:w="6599" w:type="dxa"/>
            <w:vAlign w:val="top"/>
          </w:tcPr>
          <w:p w14:paraId="2DA777AF">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赤峰市生态环境局敖汉旗分局2026年实验室耗材采购</w:t>
            </w:r>
            <w:r>
              <w:rPr>
                <w:rFonts w:hint="eastAsia" w:ascii="宋体" w:hAnsi="宋体" w:eastAsia="宋体" w:cs="宋体"/>
                <w:color w:val="auto"/>
                <w:sz w:val="28"/>
                <w:szCs w:val="28"/>
              </w:rPr>
              <w:t>：保证金人民币：0.00元整</w:t>
            </w:r>
          </w:p>
        </w:tc>
      </w:tr>
      <w:tr w14:paraId="2C021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9" w:hRule="atLeast"/>
        </w:trPr>
        <w:tc>
          <w:tcPr>
            <w:tcW w:w="813" w:type="dxa"/>
            <w:vAlign w:val="top"/>
          </w:tcPr>
          <w:p w14:paraId="10FB0A50">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16</w:t>
            </w:r>
          </w:p>
        </w:tc>
        <w:tc>
          <w:tcPr>
            <w:tcW w:w="2355" w:type="dxa"/>
            <w:vAlign w:val="top"/>
          </w:tcPr>
          <w:p w14:paraId="1425ED49">
            <w:pPr>
              <w:keepNext w:val="0"/>
              <w:keepLines w:val="0"/>
              <w:pageBreakBefore w:val="0"/>
              <w:overflowPunct/>
              <w:topLinePunct w:val="0"/>
              <w:bidi w:val="0"/>
              <w:spacing w:line="360" w:lineRule="auto"/>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rPr>
              <w:t>响应文件签字</w:t>
            </w:r>
            <w:r>
              <w:rPr>
                <w:rFonts w:hint="eastAsia" w:ascii="宋体" w:hAnsi="宋体" w:eastAsia="宋体" w:cs="宋体"/>
                <w:color w:val="auto"/>
                <w:sz w:val="28"/>
                <w:szCs w:val="28"/>
                <w:lang w:eastAsia="zh-CN"/>
              </w:rPr>
              <w:t>、</w:t>
            </w:r>
          </w:p>
          <w:p w14:paraId="64228775">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盖章要求</w:t>
            </w:r>
          </w:p>
        </w:tc>
        <w:tc>
          <w:tcPr>
            <w:tcW w:w="6599" w:type="dxa"/>
            <w:vAlign w:val="top"/>
          </w:tcPr>
          <w:p w14:paraId="095C7EB1">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应按照第七章“响应文件格式”要求，进行签字、加盖公章</w:t>
            </w:r>
          </w:p>
        </w:tc>
      </w:tr>
      <w:tr w14:paraId="0AE9B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813" w:type="dxa"/>
            <w:vAlign w:val="top"/>
          </w:tcPr>
          <w:p w14:paraId="5EC00372">
            <w:pPr>
              <w:keepNext w:val="0"/>
              <w:keepLines w:val="0"/>
              <w:pageBreakBefore w:val="0"/>
              <w:overflowPunct/>
              <w:topLinePunct w:val="0"/>
              <w:bidi w:val="0"/>
              <w:spacing w:line="360" w:lineRule="auto"/>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rPr>
              <w:t>1</w:t>
            </w:r>
            <w:r>
              <w:rPr>
                <w:rFonts w:hint="eastAsia" w:ascii="宋体" w:hAnsi="宋体" w:eastAsia="宋体" w:cs="宋体"/>
                <w:color w:val="auto"/>
                <w:sz w:val="28"/>
                <w:szCs w:val="28"/>
                <w:lang w:val="en-US" w:eastAsia="zh-CN"/>
              </w:rPr>
              <w:t>7</w:t>
            </w:r>
          </w:p>
        </w:tc>
        <w:tc>
          <w:tcPr>
            <w:tcW w:w="2355" w:type="dxa"/>
            <w:vAlign w:val="top"/>
          </w:tcPr>
          <w:p w14:paraId="4904E700">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是否专门面向</w:t>
            </w:r>
          </w:p>
          <w:p w14:paraId="55081E66">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中小企业采购</w:t>
            </w:r>
          </w:p>
        </w:tc>
        <w:tc>
          <w:tcPr>
            <w:tcW w:w="6599" w:type="dxa"/>
            <w:vAlign w:val="top"/>
          </w:tcPr>
          <w:p w14:paraId="45CDB0D9">
            <w:pPr>
              <w:keepNext w:val="0"/>
              <w:keepLines w:val="0"/>
              <w:pageBreakBefore w:val="0"/>
              <w:overflowPunct/>
              <w:topLinePunct w:val="0"/>
              <w:bidi w:val="0"/>
              <w:spacing w:line="360" w:lineRule="auto"/>
              <w:rPr>
                <w:rFonts w:hint="eastAsia" w:ascii="宋体" w:hAnsi="宋体" w:eastAsia="宋体" w:cs="宋体"/>
                <w:color w:val="auto"/>
                <w:sz w:val="28"/>
                <w:szCs w:val="28"/>
                <w:lang w:eastAsia="zh-CN"/>
              </w:rPr>
            </w:pPr>
            <w:r>
              <w:rPr>
                <w:rFonts w:hint="eastAsia" w:ascii="宋体" w:hAnsi="宋体" w:eastAsia="宋体" w:cs="宋体"/>
                <w:color w:val="auto"/>
                <w:sz w:val="28"/>
                <w:szCs w:val="28"/>
              </w:rPr>
              <w:t>采购包1：</w:t>
            </w:r>
            <w:r>
              <w:rPr>
                <w:rFonts w:hint="eastAsia" w:ascii="宋体" w:hAnsi="宋体" w:eastAsia="宋体" w:cs="宋体"/>
                <w:color w:val="auto"/>
                <w:sz w:val="28"/>
                <w:szCs w:val="28"/>
                <w:lang w:eastAsia="zh-CN"/>
              </w:rPr>
              <w:t>非</w:t>
            </w:r>
            <w:r>
              <w:rPr>
                <w:rFonts w:hint="eastAsia" w:ascii="宋体" w:hAnsi="宋体" w:eastAsia="宋体" w:cs="宋体"/>
                <w:color w:val="auto"/>
                <w:sz w:val="28"/>
                <w:szCs w:val="28"/>
              </w:rPr>
              <w:t>面向中小企业</w:t>
            </w:r>
          </w:p>
        </w:tc>
      </w:tr>
      <w:tr w14:paraId="45947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9" w:hRule="atLeast"/>
        </w:trPr>
        <w:tc>
          <w:tcPr>
            <w:tcW w:w="813" w:type="dxa"/>
            <w:vAlign w:val="top"/>
          </w:tcPr>
          <w:p w14:paraId="07C8A45C">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p>
          <w:p w14:paraId="52D58A0D">
            <w:pPr>
              <w:keepNext w:val="0"/>
              <w:keepLines w:val="0"/>
              <w:pageBreakBefore w:val="0"/>
              <w:overflowPunct/>
              <w:topLinePunct w:val="0"/>
              <w:bidi w:val="0"/>
              <w:spacing w:line="360" w:lineRule="auto"/>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rPr>
              <w:t>1</w:t>
            </w:r>
            <w:r>
              <w:rPr>
                <w:rFonts w:hint="eastAsia" w:ascii="宋体" w:hAnsi="宋体" w:eastAsia="宋体" w:cs="宋体"/>
                <w:color w:val="auto"/>
                <w:sz w:val="28"/>
                <w:szCs w:val="28"/>
                <w:lang w:val="en-US" w:eastAsia="zh-CN"/>
              </w:rPr>
              <w:t>8</w:t>
            </w:r>
          </w:p>
        </w:tc>
        <w:tc>
          <w:tcPr>
            <w:tcW w:w="2355" w:type="dxa"/>
            <w:vAlign w:val="top"/>
          </w:tcPr>
          <w:p w14:paraId="22731A03">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p>
          <w:p w14:paraId="179C3B25">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有效供应商家数</w:t>
            </w:r>
          </w:p>
        </w:tc>
        <w:tc>
          <w:tcPr>
            <w:tcW w:w="6599" w:type="dxa"/>
            <w:vAlign w:val="top"/>
          </w:tcPr>
          <w:p w14:paraId="62C39F61">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包1：3</w:t>
            </w:r>
          </w:p>
          <w:p w14:paraId="5C118459">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此数约定了开标与评标过程中的最低有效供应商家数，当家数不足时项目将不得开标、评标或直接废标；文件中其他描述若与此规定矛盾以此为准。</w:t>
            </w:r>
          </w:p>
        </w:tc>
      </w:tr>
      <w:tr w14:paraId="65F7A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813" w:type="dxa"/>
            <w:vAlign w:val="top"/>
          </w:tcPr>
          <w:p w14:paraId="331F5854">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p>
          <w:p w14:paraId="12CD8685">
            <w:pPr>
              <w:keepNext w:val="0"/>
              <w:keepLines w:val="0"/>
              <w:pageBreakBefore w:val="0"/>
              <w:overflowPunct/>
              <w:topLinePunct w:val="0"/>
              <w:bidi w:val="0"/>
              <w:spacing w:line="360" w:lineRule="auto"/>
              <w:jc w:val="center"/>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19</w:t>
            </w:r>
          </w:p>
        </w:tc>
        <w:tc>
          <w:tcPr>
            <w:tcW w:w="2355" w:type="dxa"/>
            <w:vAlign w:val="top"/>
          </w:tcPr>
          <w:p w14:paraId="694F56B6">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p>
          <w:p w14:paraId="42D1FC7A">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报价形式</w:t>
            </w:r>
          </w:p>
        </w:tc>
        <w:tc>
          <w:tcPr>
            <w:tcW w:w="6599" w:type="dxa"/>
            <w:vAlign w:val="top"/>
          </w:tcPr>
          <w:p w14:paraId="03F83D98">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合同包1（</w:t>
            </w:r>
            <w:r>
              <w:rPr>
                <w:rFonts w:hint="eastAsia" w:ascii="宋体" w:hAnsi="宋体" w:eastAsia="宋体" w:cs="宋体"/>
                <w:color w:val="auto"/>
                <w:sz w:val="28"/>
                <w:szCs w:val="28"/>
                <w:lang w:eastAsia="zh-CN"/>
              </w:rPr>
              <w:t>赤峰市生态环境局敖汉旗分局2026年实验室耗材采购</w:t>
            </w:r>
            <w:r>
              <w:rPr>
                <w:rFonts w:hint="eastAsia" w:ascii="宋体" w:hAnsi="宋体" w:eastAsia="宋体" w:cs="宋体"/>
                <w:color w:val="auto"/>
                <w:sz w:val="28"/>
                <w:szCs w:val="28"/>
              </w:rPr>
              <w:t>）:总价</w:t>
            </w:r>
          </w:p>
        </w:tc>
      </w:tr>
      <w:tr w14:paraId="443C0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9" w:hRule="atLeast"/>
        </w:trPr>
        <w:tc>
          <w:tcPr>
            <w:tcW w:w="813" w:type="dxa"/>
            <w:vAlign w:val="top"/>
          </w:tcPr>
          <w:p w14:paraId="555B02D9">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p>
          <w:p w14:paraId="6036F193">
            <w:pPr>
              <w:keepNext w:val="0"/>
              <w:keepLines w:val="0"/>
              <w:pageBreakBefore w:val="0"/>
              <w:overflowPunct/>
              <w:topLinePunct w:val="0"/>
              <w:bidi w:val="0"/>
              <w:spacing w:line="360" w:lineRule="auto"/>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rPr>
              <w:t>2</w:t>
            </w:r>
            <w:r>
              <w:rPr>
                <w:rFonts w:hint="eastAsia" w:ascii="宋体" w:hAnsi="宋体" w:eastAsia="宋体" w:cs="宋体"/>
                <w:color w:val="auto"/>
                <w:sz w:val="28"/>
                <w:szCs w:val="28"/>
                <w:lang w:val="en-US" w:eastAsia="zh-CN"/>
              </w:rPr>
              <w:t>0</w:t>
            </w:r>
          </w:p>
        </w:tc>
        <w:tc>
          <w:tcPr>
            <w:tcW w:w="2355" w:type="dxa"/>
            <w:vAlign w:val="top"/>
          </w:tcPr>
          <w:p w14:paraId="70D73610">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p>
          <w:p w14:paraId="76A9FA15">
            <w:pPr>
              <w:keepNext w:val="0"/>
              <w:keepLines w:val="0"/>
              <w:pageBreakBefore w:val="0"/>
              <w:overflowPunct/>
              <w:topLinePunct w:val="0"/>
              <w:bidi w:val="0"/>
              <w:spacing w:line="360" w:lineRule="auto"/>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参会人员</w:t>
            </w:r>
          </w:p>
        </w:tc>
        <w:tc>
          <w:tcPr>
            <w:tcW w:w="6599" w:type="dxa"/>
            <w:vAlign w:val="top"/>
          </w:tcPr>
          <w:p w14:paraId="26B3B2C1">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参加谈判会议时，提交法定代表人授权委托书原件、委托代理人身份证原件，如果委托代理人本人未到场或证件不齐全，视为无效投标，将予以拒绝。</w:t>
            </w:r>
          </w:p>
        </w:tc>
      </w:tr>
      <w:tr w14:paraId="26731C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9" w:hRule="atLeast"/>
        </w:trPr>
        <w:tc>
          <w:tcPr>
            <w:tcW w:w="813" w:type="dxa"/>
            <w:vAlign w:val="top"/>
          </w:tcPr>
          <w:p w14:paraId="789B0FFE">
            <w:pPr>
              <w:keepNext w:val="0"/>
              <w:keepLines w:val="0"/>
              <w:pageBreakBefore w:val="0"/>
              <w:overflowPunct/>
              <w:topLinePunct w:val="0"/>
              <w:bidi w:val="0"/>
              <w:spacing w:line="360" w:lineRule="auto"/>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21</w:t>
            </w:r>
          </w:p>
        </w:tc>
        <w:tc>
          <w:tcPr>
            <w:tcW w:w="2355" w:type="dxa"/>
            <w:vAlign w:val="top"/>
          </w:tcPr>
          <w:p w14:paraId="5492DA0D">
            <w:pPr>
              <w:keepNext w:val="0"/>
              <w:keepLines w:val="0"/>
              <w:pageBreakBefore w:val="0"/>
              <w:overflowPunct/>
              <w:topLinePunct w:val="0"/>
              <w:bidi w:val="0"/>
              <w:spacing w:line="360" w:lineRule="auto"/>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其他</w:t>
            </w:r>
          </w:p>
        </w:tc>
        <w:tc>
          <w:tcPr>
            <w:tcW w:w="6599" w:type="dxa"/>
            <w:vAlign w:val="top"/>
          </w:tcPr>
          <w:p w14:paraId="4620F991">
            <w:pPr>
              <w:keepNext w:val="0"/>
              <w:keepLines w:val="0"/>
              <w:pageBreakBefore w:val="0"/>
              <w:tabs>
                <w:tab w:val="left" w:pos="865"/>
              </w:tabs>
              <w:overflowPunct/>
              <w:topLinePunct w:val="0"/>
              <w:bidi w:val="0"/>
              <w:spacing w:line="360" w:lineRule="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rPr>
              <w:t>中标（成交）</w:t>
            </w:r>
            <w:r>
              <w:rPr>
                <w:rFonts w:hint="eastAsia" w:ascii="宋体" w:hAnsi="宋体" w:eastAsia="宋体" w:cs="宋体"/>
                <w:color w:val="auto"/>
                <w:sz w:val="28"/>
                <w:szCs w:val="28"/>
                <w:lang w:eastAsia="zh-CN"/>
              </w:rPr>
              <w:t>供应商需在</w:t>
            </w:r>
            <w:r>
              <w:rPr>
                <w:rFonts w:hint="eastAsia" w:ascii="宋体" w:hAnsi="宋体" w:eastAsia="宋体" w:cs="宋体"/>
                <w:color w:val="auto"/>
                <w:sz w:val="28"/>
                <w:szCs w:val="28"/>
                <w:lang w:val="en-US" w:eastAsia="zh-CN"/>
              </w:rPr>
              <w:t>7日内与采购人签订合同，对于拒不签订合同或超过时间期限签订合同的供应商，</w:t>
            </w:r>
            <w:r>
              <w:rPr>
                <w:rFonts w:hint="eastAsia" w:ascii="宋体" w:hAnsi="宋体" w:eastAsia="宋体" w:cs="宋体"/>
                <w:color w:val="auto"/>
                <w:sz w:val="28"/>
                <w:szCs w:val="28"/>
              </w:rPr>
              <w:t>采购单位可取消资格并追究责任</w:t>
            </w:r>
            <w:r>
              <w:rPr>
                <w:rFonts w:hint="eastAsia" w:ascii="宋体" w:hAnsi="宋体" w:eastAsia="宋体" w:cs="宋体"/>
                <w:color w:val="auto"/>
                <w:sz w:val="28"/>
                <w:szCs w:val="28"/>
                <w:lang w:eastAsia="zh-CN"/>
              </w:rPr>
              <w:t>。</w:t>
            </w:r>
          </w:p>
        </w:tc>
      </w:tr>
    </w:tbl>
    <w:p w14:paraId="5A7402EF">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1B977F8C">
      <w:pPr>
        <w:keepNext w:val="0"/>
        <w:keepLines w:val="0"/>
        <w:pageBreakBefore w:val="0"/>
        <w:overflowPunct/>
        <w:topLinePunct w:val="0"/>
        <w:bidi w:val="0"/>
        <w:spacing w:line="360" w:lineRule="auto"/>
        <w:rPr>
          <w:rFonts w:hint="eastAsia" w:ascii="宋体" w:hAnsi="宋体" w:eastAsia="宋体" w:cs="宋体"/>
          <w:color w:val="auto"/>
          <w:sz w:val="28"/>
          <w:szCs w:val="28"/>
        </w:rPr>
        <w:sectPr>
          <w:footerReference r:id="rId8" w:type="default"/>
          <w:pgSz w:w="11900" w:h="16840"/>
          <w:pgMar w:top="1440" w:right="1080" w:bottom="1440" w:left="1080" w:header="0" w:footer="0" w:gutter="0"/>
          <w:pgNumType w:fmt="decimal"/>
          <w:cols w:space="720" w:num="1"/>
        </w:sectPr>
      </w:pPr>
    </w:p>
    <w:p w14:paraId="37E3DC1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color w:val="auto"/>
          <w:sz w:val="28"/>
          <w:szCs w:val="28"/>
        </w:rPr>
      </w:pPr>
      <w:r>
        <w:rPr>
          <w:rFonts w:hint="eastAsia" w:ascii="宋体" w:hAnsi="宋体" w:eastAsia="宋体" w:cs="宋体"/>
          <w:b/>
          <w:bCs/>
          <w:color w:val="auto"/>
          <w:sz w:val="28"/>
          <w:szCs w:val="28"/>
        </w:rPr>
        <w:t>二.谈判须知</w:t>
      </w:r>
    </w:p>
    <w:p w14:paraId="39DB6DC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赤峰市生态环境局敖汉旗分局</w:t>
      </w:r>
      <w:r>
        <w:rPr>
          <w:rFonts w:hint="eastAsia" w:ascii="宋体" w:hAnsi="宋体" w:eastAsia="宋体" w:cs="宋体"/>
          <w:color w:val="auto"/>
          <w:sz w:val="28"/>
          <w:szCs w:val="28"/>
          <w:lang w:eastAsia="zh-CN"/>
        </w:rPr>
        <w:t>会</w:t>
      </w:r>
      <w:r>
        <w:rPr>
          <w:rFonts w:hint="eastAsia" w:ascii="宋体" w:hAnsi="宋体" w:eastAsia="宋体" w:cs="宋体"/>
          <w:color w:val="auto"/>
          <w:sz w:val="28"/>
          <w:szCs w:val="28"/>
        </w:rPr>
        <w:t>此次组织的本次采购活动</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其全部资金已落实到位，并计划将这部分资金用于支付此次实行竞争性</w:t>
      </w:r>
      <w:r>
        <w:rPr>
          <w:rFonts w:hint="eastAsia" w:ascii="宋体" w:hAnsi="宋体" w:eastAsia="宋体" w:cs="宋体"/>
          <w:color w:val="auto"/>
          <w:sz w:val="28"/>
          <w:szCs w:val="28"/>
          <w:lang w:val="en-US" w:eastAsia="zh-CN"/>
        </w:rPr>
        <w:t>谈判</w:t>
      </w:r>
      <w:r>
        <w:rPr>
          <w:rFonts w:hint="eastAsia" w:ascii="宋体" w:hAnsi="宋体" w:eastAsia="宋体" w:cs="宋体"/>
          <w:color w:val="auto"/>
          <w:sz w:val="28"/>
          <w:szCs w:val="28"/>
        </w:rPr>
        <w:t>采购方式进行的</w:t>
      </w:r>
      <w:r>
        <w:rPr>
          <w:rFonts w:hint="eastAsia" w:ascii="宋体" w:hAnsi="宋体" w:eastAsia="宋体" w:cs="宋体"/>
          <w:color w:val="auto"/>
          <w:sz w:val="28"/>
          <w:szCs w:val="28"/>
          <w:lang w:val="en-US" w:eastAsia="zh-CN"/>
        </w:rPr>
        <w:t>赤峰市生态环境局敖汉旗分局2026年实验室耗材采购</w:t>
      </w:r>
      <w:r>
        <w:rPr>
          <w:rFonts w:hint="eastAsia" w:ascii="宋体" w:hAnsi="宋体" w:eastAsia="宋体" w:cs="宋体"/>
          <w:color w:val="auto"/>
          <w:sz w:val="28"/>
          <w:szCs w:val="28"/>
        </w:rPr>
        <w:t>。</w:t>
      </w:r>
    </w:p>
    <w:p w14:paraId="6191CCD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三.说明</w:t>
      </w:r>
    </w:p>
    <w:p w14:paraId="63610F02">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rPr>
        <w:t>1.总则</w:t>
      </w:r>
    </w:p>
    <w:p w14:paraId="02A95E30">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本谈判文件依据《中华人民共和国政府采购法》《中华人民共和国政府采购法实施条例》和《政府采购非招标采购方式管理办法》（财政部令第74号）及国家和自治区有关法律、法规、规章制度编制。</w:t>
      </w:r>
    </w:p>
    <w:p w14:paraId="2F449085">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供应商应仔细阅读本项目信息公告及谈判文件的所有内容（包括澄清或者修改），按照谈判文件要求以及格式编制响应文件，并保证其真实性，否则一切后果自负。</w:t>
      </w:r>
    </w:p>
    <w:p w14:paraId="3C2B451A">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rPr>
        <w:t>2.适用范围</w:t>
      </w:r>
    </w:p>
    <w:p w14:paraId="7B1298A5">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本谈判文件仅适用于本次竞争性谈判公告中所涉及的项目和内容。</w:t>
      </w:r>
    </w:p>
    <w:p w14:paraId="0B8BE648">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rPr>
        <w:t>3.相关费用</w:t>
      </w:r>
    </w:p>
    <w:p w14:paraId="18566449">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供应商应承担所有与准备和参加竞争性谈判有关的费用。不论竞争性谈判结果如何，采购人或采购代理机构均无义务和责任承担相关费用。</w:t>
      </w:r>
    </w:p>
    <w:p w14:paraId="49FFD54B">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rPr>
        <w:t>4.各参与方</w:t>
      </w:r>
    </w:p>
    <w:p w14:paraId="3518B846">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4.1 “采购人”是指依法进行政府采购的国家机关、事业单位、团体组织。本谈判文件的采购人特指</w:t>
      </w:r>
      <w:r>
        <w:rPr>
          <w:rFonts w:hint="eastAsia" w:ascii="宋体" w:hAnsi="宋体" w:eastAsia="宋体" w:cs="宋体"/>
          <w:color w:val="auto"/>
          <w:sz w:val="28"/>
          <w:szCs w:val="28"/>
          <w:lang w:eastAsia="zh-CN"/>
        </w:rPr>
        <w:t>赤峰市生态环境局敖汉旗分局</w:t>
      </w:r>
      <w:r>
        <w:rPr>
          <w:rFonts w:hint="eastAsia" w:ascii="宋体" w:hAnsi="宋体" w:eastAsia="宋体" w:cs="宋体"/>
          <w:color w:val="auto"/>
          <w:sz w:val="28"/>
          <w:szCs w:val="28"/>
        </w:rPr>
        <w:t>。</w:t>
      </w:r>
    </w:p>
    <w:p w14:paraId="5ACC707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4.2 “采购代理机构”是指集中采购机构和集中采购机构以外的采购代理机构。本谈判文件的采购代理机构特指</w:t>
      </w:r>
      <w:r>
        <w:rPr>
          <w:rFonts w:hint="eastAsia" w:ascii="宋体" w:hAnsi="宋体" w:eastAsia="宋体" w:cs="宋体"/>
          <w:color w:val="auto"/>
          <w:sz w:val="28"/>
          <w:szCs w:val="28"/>
          <w:lang w:eastAsia="zh-CN"/>
        </w:rPr>
        <w:t>赤峰嘉恒项目管理有限公司</w:t>
      </w:r>
      <w:r>
        <w:rPr>
          <w:rFonts w:hint="eastAsia" w:ascii="宋体" w:hAnsi="宋体" w:eastAsia="宋体" w:cs="宋体"/>
          <w:color w:val="auto"/>
          <w:sz w:val="28"/>
          <w:szCs w:val="28"/>
        </w:rPr>
        <w:t>。</w:t>
      </w:r>
    </w:p>
    <w:p w14:paraId="28D37231">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4.3 “供应商”是指向采购人提供货物、工程或者服务的法人、其他组织或者自然人。</w:t>
      </w:r>
    </w:p>
    <w:p w14:paraId="1E07818E">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4.4 “谈判小组” 由采购人代表和评审专家组成。</w:t>
      </w:r>
    </w:p>
    <w:p w14:paraId="05C0EB25">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4.5 “成交供应商”是指取得与采购人签订合同资格的供应商。</w:t>
      </w:r>
    </w:p>
    <w:p w14:paraId="66EA04AC">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rPr>
        <w:t>5.合格的供应商</w:t>
      </w:r>
    </w:p>
    <w:p w14:paraId="329A00EA">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5.1 符合本谈判文件规定的资格要求，并按照要求提供相关证明材料。</w:t>
      </w:r>
    </w:p>
    <w:p w14:paraId="0945D0EC">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5.2 单位负责人为同一人或者存在直接控股、管理关系的不同供应商，不得参加同一合同项下的政府采购活动。</w:t>
      </w:r>
    </w:p>
    <w:p w14:paraId="3CFC1B0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5.3 为采购项目提供整体设计、规范编制或者项目管理、监理、检测等服务的供应商，不得再参加该采购项目的其他采购活动。</w:t>
      </w:r>
    </w:p>
    <w:p w14:paraId="7306A8D6">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rPr>
        <w:t>6.以联合体形式进行政府采购的，应符合以下规定：</w:t>
      </w:r>
    </w:p>
    <w:p w14:paraId="1A6C6E5A">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6.1 联合体各方应签订联合体协议书，明确联合体牵头人和各方权利义务，并作为响应文件组成部分。</w:t>
      </w:r>
    </w:p>
    <w:p w14:paraId="043F72F6">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6.2 联合体各方均应当具备《中华人民共和国政府采购法》第二十二条规定的条件，并在响应文件中提供联合体各方的相关证明材料。</w:t>
      </w:r>
    </w:p>
    <w:p w14:paraId="3D1C67DE">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6.3 联合体成员存在不良信用记录的，视同联合体存在不良信用记录。</w:t>
      </w:r>
    </w:p>
    <w:p w14:paraId="73B10482">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6.4 联合体中有同类资质的供应商按照联合体分工承担相同工作的，应当按照资质等级较低的供应商确定资质等级。</w:t>
      </w:r>
    </w:p>
    <w:p w14:paraId="3FCCC5B1">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6.5 以联合体形式参加政府采购活动的，联合体各方不得再单独参加或者与其他供应商另外组成联合体参加同一合同项下的政府采购活动。</w:t>
      </w:r>
    </w:p>
    <w:p w14:paraId="4F5FFA0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6.6 联合体各方应当共同与采购人签订采购合同，就合同约定的事项对采购人承担连带责任。</w:t>
      </w:r>
    </w:p>
    <w:p w14:paraId="039BFB69">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6.7 如要求缴纳保证金，以联合体牵头人名义缴纳，对联合体各方均具有约束力。</w:t>
      </w:r>
    </w:p>
    <w:p w14:paraId="2FEFEFFC">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rPr>
        <w:t>7.语言文字以及计量单位</w:t>
      </w:r>
    </w:p>
    <w:p w14:paraId="116EE6BC">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7.1 所有文件使用的语言文字为简体中文。专用术语使用外文的，应附有简体中文注释，否则视为无效。</w:t>
      </w:r>
    </w:p>
    <w:p w14:paraId="63F93B05">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7.2 所有计量均采用中华人民共和国法定的计量单位。</w:t>
      </w:r>
    </w:p>
    <w:p w14:paraId="6DC7BC46">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7.3 所有报价一律使用人民币，货币单位：元。</w:t>
      </w:r>
    </w:p>
    <w:p w14:paraId="2710A1E8">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rPr>
        <w:t>8.其他条款</w:t>
      </w:r>
    </w:p>
    <w:p w14:paraId="462E2383">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无论成交与否供应商递交的响应文件均不予退还。</w:t>
      </w:r>
    </w:p>
    <w:p w14:paraId="6D76A215">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四.谈判文件的澄清或者修改</w:t>
      </w:r>
    </w:p>
    <w:p w14:paraId="67E82801">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采购人或者谈判小组可以对已发出的谈判文件进行必要的澄清或者修改，澄清或者修改的内容作为谈判文件的组成部分。澄清或者修改的内容可能影响响应文件编制的，采购人或者谈判小组应当在提交首次响应文件截止之日3个工作日前，以书面形式通知所有接收谈判文件的供应商，不足3个工作日的，应当顺延提交首次响应文件截止之日。</w:t>
      </w:r>
    </w:p>
    <w:p w14:paraId="21931961">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五.响应文件</w:t>
      </w:r>
    </w:p>
    <w:p w14:paraId="76765148">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rPr>
        <w:t>1.响应文件的构成</w:t>
      </w:r>
    </w:p>
    <w:p w14:paraId="0511ECB2">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响应文件应按照谈判文件第七章“响应文件格式与要求”进行编写，可以增加附页，并作为响应文件的组成部分。</w:t>
      </w:r>
    </w:p>
    <w:p w14:paraId="2FF59EAB">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rPr>
        <w:t>2.报价</w:t>
      </w:r>
    </w:p>
    <w:p w14:paraId="16442197">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2.1 供应商应按照第三章“采购内容与技术要求”进行报价。报价中不得包含谈判文件要求以外的内容，否则，在评审时不予核减。</w:t>
      </w:r>
    </w:p>
    <w:p w14:paraId="784EB8F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2</w:t>
      </w: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rPr>
        <w:t>2 报价包括本项目采购需求和投入使用、实施的所有费用，涵盖方案设计、材料采购、加工制作、防腐喷漆、运输、吊装、人工安装、辅料、垃圾清运、税费、质保售后等全部费用，采购单位无需额外支付任何费用。</w:t>
      </w:r>
    </w:p>
    <w:p w14:paraId="5D135AE7">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2.3 报价不得有选择性报价和附有条件的报价</w:t>
      </w:r>
    </w:p>
    <w:p w14:paraId="504ABEF5">
      <w:pPr>
        <w:pStyle w:val="16"/>
        <w:keepNext w:val="0"/>
        <w:keepLines w:val="0"/>
        <w:pageBreakBefore w:val="0"/>
        <w:numPr>
          <w:ilvl w:val="0"/>
          <w:numId w:val="0"/>
        </w:numPr>
        <w:tabs>
          <w:tab w:val="left" w:pos="947"/>
        </w:tabs>
        <w:overflowPunct/>
        <w:topLinePunct w:val="0"/>
        <w:bidi w:val="0"/>
        <w:spacing w:before="0" w:after="0" w:line="360" w:lineRule="auto"/>
        <w:ind w:right="0" w:rightChars="0" w:firstLine="560" w:firstLineChars="200"/>
        <w:jc w:val="left"/>
        <w:rPr>
          <w:rFonts w:hint="eastAsia" w:ascii="宋体" w:hAnsi="宋体" w:eastAsia="宋体" w:cs="宋体"/>
          <w:snapToGrid w:val="0"/>
          <w:color w:val="auto"/>
          <w:kern w:val="0"/>
          <w:sz w:val="28"/>
          <w:szCs w:val="28"/>
          <w:lang w:val="zh-CN" w:eastAsia="zh-CN" w:bidi="ar-SA"/>
        </w:rPr>
      </w:pPr>
      <w:r>
        <w:rPr>
          <w:rFonts w:hint="eastAsia" w:ascii="宋体" w:hAnsi="宋体" w:eastAsia="宋体" w:cs="宋体"/>
          <w:snapToGrid w:val="0"/>
          <w:color w:val="auto"/>
          <w:kern w:val="0"/>
          <w:sz w:val="28"/>
          <w:szCs w:val="28"/>
          <w:lang w:val="en-US" w:eastAsia="zh-CN" w:bidi="ar-SA"/>
        </w:rPr>
        <w:t xml:space="preserve">2.4 </w:t>
      </w:r>
      <w:r>
        <w:rPr>
          <w:rFonts w:hint="eastAsia" w:ascii="宋体" w:hAnsi="宋体" w:eastAsia="宋体" w:cs="宋体"/>
          <w:snapToGrid w:val="0"/>
          <w:color w:val="auto"/>
          <w:kern w:val="0"/>
          <w:sz w:val="28"/>
          <w:szCs w:val="28"/>
          <w:lang w:val="zh-CN" w:eastAsia="zh-CN" w:bidi="ar-SA"/>
        </w:rPr>
        <w:t>对报价的计算错误按以下原则修正：</w:t>
      </w:r>
    </w:p>
    <w:p w14:paraId="7FBA42DA">
      <w:pPr>
        <w:pStyle w:val="16"/>
        <w:keepNext w:val="0"/>
        <w:keepLines w:val="0"/>
        <w:pageBreakBefore w:val="0"/>
        <w:numPr>
          <w:ilvl w:val="0"/>
          <w:numId w:val="0"/>
        </w:numPr>
        <w:tabs>
          <w:tab w:val="left" w:pos="947"/>
        </w:tabs>
        <w:overflowPunct/>
        <w:topLinePunct w:val="0"/>
        <w:bidi w:val="0"/>
        <w:spacing w:before="0" w:after="0" w:line="360" w:lineRule="auto"/>
        <w:ind w:right="0" w:rightChars="0" w:firstLine="560" w:firstLineChars="200"/>
        <w:jc w:val="left"/>
        <w:rPr>
          <w:rFonts w:hint="eastAsia" w:ascii="宋体" w:hAnsi="宋体" w:eastAsia="宋体" w:cs="宋体"/>
          <w:snapToGrid w:val="0"/>
          <w:color w:val="auto"/>
          <w:kern w:val="0"/>
          <w:sz w:val="28"/>
          <w:szCs w:val="28"/>
          <w:lang w:val="zh-CN" w:eastAsia="zh-CN" w:bidi="ar-SA"/>
        </w:rPr>
      </w:pPr>
      <w:r>
        <w:rPr>
          <w:rFonts w:hint="eastAsia" w:ascii="宋体" w:hAnsi="宋体" w:eastAsia="宋体" w:cs="宋体"/>
          <w:snapToGrid w:val="0"/>
          <w:color w:val="auto"/>
          <w:kern w:val="0"/>
          <w:sz w:val="28"/>
          <w:szCs w:val="28"/>
          <w:lang w:val="zh-CN" w:eastAsia="zh-CN" w:bidi="ar-SA"/>
        </w:rPr>
        <w:t>（</w:t>
      </w:r>
      <w:r>
        <w:rPr>
          <w:rFonts w:hint="eastAsia" w:ascii="宋体" w:hAnsi="宋体" w:eastAsia="宋体" w:cs="宋体"/>
          <w:snapToGrid w:val="0"/>
          <w:color w:val="auto"/>
          <w:kern w:val="0"/>
          <w:sz w:val="28"/>
          <w:szCs w:val="28"/>
          <w:lang w:val="en-US" w:eastAsia="zh-CN" w:bidi="ar-SA"/>
        </w:rPr>
        <w:t>1</w:t>
      </w:r>
      <w:r>
        <w:rPr>
          <w:rFonts w:hint="eastAsia" w:ascii="宋体" w:hAnsi="宋体" w:eastAsia="宋体" w:cs="宋体"/>
          <w:snapToGrid w:val="0"/>
          <w:color w:val="auto"/>
          <w:kern w:val="0"/>
          <w:sz w:val="28"/>
          <w:szCs w:val="28"/>
          <w:lang w:val="zh-CN" w:eastAsia="zh-CN" w:bidi="ar-SA"/>
        </w:rPr>
        <w:t>）响应文件中报价表内容与响应文件中相应内容不一致的，以报价表为准；</w:t>
      </w:r>
    </w:p>
    <w:p w14:paraId="512262AD">
      <w:pPr>
        <w:pStyle w:val="16"/>
        <w:keepNext w:val="0"/>
        <w:keepLines w:val="0"/>
        <w:pageBreakBefore w:val="0"/>
        <w:numPr>
          <w:ilvl w:val="0"/>
          <w:numId w:val="0"/>
        </w:numPr>
        <w:tabs>
          <w:tab w:val="left" w:pos="947"/>
        </w:tabs>
        <w:overflowPunct/>
        <w:topLinePunct w:val="0"/>
        <w:bidi w:val="0"/>
        <w:spacing w:before="0" w:after="0" w:line="360" w:lineRule="auto"/>
        <w:ind w:left="0" w:leftChars="0" w:right="0" w:rightChars="0" w:firstLine="560" w:firstLineChars="200"/>
        <w:jc w:val="left"/>
        <w:outlineLvl w:val="3"/>
        <w:rPr>
          <w:rFonts w:hint="eastAsia" w:ascii="宋体" w:hAnsi="宋体" w:eastAsia="宋体" w:cs="宋体"/>
          <w:snapToGrid w:val="0"/>
          <w:color w:val="auto"/>
          <w:kern w:val="0"/>
          <w:sz w:val="28"/>
          <w:szCs w:val="28"/>
          <w:lang w:val="zh-CN" w:eastAsia="zh-CN" w:bidi="ar-SA"/>
        </w:rPr>
      </w:pPr>
      <w:r>
        <w:rPr>
          <w:rFonts w:hint="eastAsia" w:ascii="宋体" w:hAnsi="宋体" w:eastAsia="宋体" w:cs="宋体"/>
          <w:snapToGrid w:val="0"/>
          <w:color w:val="auto"/>
          <w:kern w:val="0"/>
          <w:sz w:val="28"/>
          <w:szCs w:val="28"/>
          <w:lang w:val="zh-CN" w:eastAsia="zh-CN" w:bidi="ar-SA"/>
        </w:rPr>
        <w:t>（</w:t>
      </w:r>
      <w:r>
        <w:rPr>
          <w:rFonts w:hint="eastAsia" w:ascii="宋体" w:hAnsi="宋体" w:eastAsia="宋体" w:cs="宋体"/>
          <w:snapToGrid w:val="0"/>
          <w:color w:val="auto"/>
          <w:kern w:val="0"/>
          <w:sz w:val="28"/>
          <w:szCs w:val="28"/>
          <w:lang w:val="en-US" w:eastAsia="zh-CN" w:bidi="ar-SA"/>
        </w:rPr>
        <w:t>2</w:t>
      </w:r>
      <w:r>
        <w:rPr>
          <w:rFonts w:hint="eastAsia" w:ascii="宋体" w:hAnsi="宋体" w:eastAsia="宋体" w:cs="宋体"/>
          <w:snapToGrid w:val="0"/>
          <w:color w:val="auto"/>
          <w:kern w:val="0"/>
          <w:sz w:val="28"/>
          <w:szCs w:val="28"/>
          <w:lang w:val="zh-CN" w:eastAsia="zh-CN" w:bidi="ar-SA"/>
        </w:rPr>
        <w:t>）大写金额和小写金额不一致的，以大写金额为准；</w:t>
      </w:r>
    </w:p>
    <w:p w14:paraId="4F87CCA7">
      <w:pPr>
        <w:pStyle w:val="16"/>
        <w:keepNext w:val="0"/>
        <w:keepLines w:val="0"/>
        <w:pageBreakBefore w:val="0"/>
        <w:numPr>
          <w:ilvl w:val="0"/>
          <w:numId w:val="0"/>
        </w:numPr>
        <w:tabs>
          <w:tab w:val="left" w:pos="947"/>
        </w:tabs>
        <w:overflowPunct/>
        <w:topLinePunct w:val="0"/>
        <w:bidi w:val="0"/>
        <w:spacing w:before="0" w:after="0" w:line="360" w:lineRule="auto"/>
        <w:ind w:right="0" w:rightChars="0" w:firstLine="560" w:firstLineChars="200"/>
        <w:jc w:val="left"/>
        <w:rPr>
          <w:rFonts w:hint="eastAsia" w:ascii="宋体" w:hAnsi="宋体" w:eastAsia="宋体" w:cs="宋体"/>
          <w:snapToGrid w:val="0"/>
          <w:color w:val="auto"/>
          <w:kern w:val="0"/>
          <w:sz w:val="28"/>
          <w:szCs w:val="28"/>
          <w:lang w:val="zh-CN" w:eastAsia="zh-CN" w:bidi="ar-SA"/>
        </w:rPr>
      </w:pPr>
      <w:r>
        <w:rPr>
          <w:rFonts w:hint="eastAsia" w:ascii="宋体" w:hAnsi="宋体" w:eastAsia="宋体" w:cs="宋体"/>
          <w:snapToGrid w:val="0"/>
          <w:color w:val="auto"/>
          <w:kern w:val="0"/>
          <w:sz w:val="28"/>
          <w:szCs w:val="28"/>
          <w:lang w:val="zh-CN" w:eastAsia="zh-CN" w:bidi="ar-SA"/>
        </w:rPr>
        <w:t>（</w:t>
      </w:r>
      <w:r>
        <w:rPr>
          <w:rFonts w:hint="eastAsia" w:ascii="宋体" w:hAnsi="宋体" w:eastAsia="宋体" w:cs="宋体"/>
          <w:snapToGrid w:val="0"/>
          <w:color w:val="auto"/>
          <w:kern w:val="0"/>
          <w:sz w:val="28"/>
          <w:szCs w:val="28"/>
          <w:lang w:val="en-US" w:eastAsia="zh-CN" w:bidi="ar-SA"/>
        </w:rPr>
        <w:t>3</w:t>
      </w:r>
      <w:r>
        <w:rPr>
          <w:rFonts w:hint="eastAsia" w:ascii="宋体" w:hAnsi="宋体" w:eastAsia="宋体" w:cs="宋体"/>
          <w:snapToGrid w:val="0"/>
          <w:color w:val="auto"/>
          <w:kern w:val="0"/>
          <w:sz w:val="28"/>
          <w:szCs w:val="28"/>
          <w:lang w:val="zh-CN" w:eastAsia="zh-CN" w:bidi="ar-SA"/>
        </w:rPr>
        <w:t>）单价金额小数点或者百分比有明显错位的，以报价表的总价为准，并修改单价。</w:t>
      </w:r>
    </w:p>
    <w:p w14:paraId="4E9EDE17">
      <w:pPr>
        <w:pStyle w:val="4"/>
        <w:keepNext w:val="0"/>
        <w:keepLines w:val="0"/>
        <w:pageBreakBefore w:val="0"/>
        <w:overflowPunct/>
        <w:topLinePunct w:val="0"/>
        <w:bidi w:val="0"/>
        <w:spacing w:before="3" w:line="360" w:lineRule="auto"/>
        <w:ind w:right="0" w:rightChars="0" w:firstLine="560" w:firstLineChars="200"/>
        <w:rPr>
          <w:rFonts w:hint="eastAsia" w:ascii="宋体" w:hAnsi="宋体" w:eastAsia="宋体" w:cs="宋体"/>
          <w:snapToGrid w:val="0"/>
          <w:color w:val="auto"/>
          <w:kern w:val="0"/>
          <w:sz w:val="28"/>
          <w:szCs w:val="28"/>
          <w:lang w:val="en-US" w:eastAsia="en-US" w:bidi="ar-SA"/>
        </w:rPr>
      </w:pPr>
      <w:r>
        <w:rPr>
          <w:rFonts w:hint="eastAsia" w:ascii="宋体" w:hAnsi="宋体" w:eastAsia="宋体" w:cs="宋体"/>
          <w:snapToGrid w:val="0"/>
          <w:color w:val="auto"/>
          <w:kern w:val="0"/>
          <w:sz w:val="28"/>
          <w:szCs w:val="28"/>
          <w:lang w:val="en-US" w:eastAsia="en-US" w:bidi="ar-SA"/>
        </w:rPr>
        <w:t>注：修正后的报价供应商应当采用书面形式，并加盖公章，或者由法定代表人或其授权的代表签字确认后产生约束力，但不得超出响应文件的范围或者改变响应文件的实质性内容，供应商不确认的，其投标无效。</w:t>
      </w:r>
    </w:p>
    <w:p w14:paraId="19F8255D">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2"/>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lang w:val="en-US" w:eastAsia="zh-CN"/>
        </w:rPr>
        <w:t>3.</w:t>
      </w:r>
      <w:bookmarkStart w:id="20" w:name="_Toc6608"/>
      <w:r>
        <w:rPr>
          <w:rFonts w:hint="eastAsia" w:ascii="宋体" w:hAnsi="宋体" w:eastAsia="宋体" w:cs="宋体"/>
          <w:b/>
          <w:bCs/>
          <w:color w:val="auto"/>
          <w:sz w:val="28"/>
          <w:szCs w:val="28"/>
          <w:highlight w:val="none"/>
        </w:rPr>
        <w:t>响应文件装订</w:t>
      </w:r>
      <w:bookmarkEnd w:id="20"/>
    </w:p>
    <w:p w14:paraId="12204C8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bCs/>
          <w:color w:val="auto"/>
          <w:sz w:val="28"/>
          <w:szCs w:val="28"/>
          <w:highlight w:val="none"/>
        </w:rPr>
      </w:pPr>
      <w:r>
        <w:rPr>
          <w:rFonts w:hint="eastAsia" w:ascii="宋体" w:hAnsi="宋体" w:eastAsia="宋体" w:cs="宋体"/>
          <w:color w:val="auto"/>
          <w:sz w:val="28"/>
          <w:szCs w:val="28"/>
          <w:highlight w:val="none"/>
        </w:rPr>
        <w:t>1.响应文件按着“响应文件组成”的顺序统一编写目录、编制页码，装订成三份（A4纸正本一份，副本二份），正本和副本的封面上应清楚地标记“正本”或“副本”的字样，当副本和正本不一致时，以正本为准。</w:t>
      </w:r>
      <w:r>
        <w:rPr>
          <w:rFonts w:hint="eastAsia" w:ascii="宋体" w:hAnsi="宋体" w:eastAsia="宋体" w:cs="宋体"/>
          <w:b/>
          <w:bCs/>
          <w:color w:val="auto"/>
          <w:sz w:val="28"/>
          <w:szCs w:val="28"/>
          <w:highlight w:val="none"/>
        </w:rPr>
        <w:t>响应文件中规定的需要加盖供应商公章的，必须加盖供应商公章，副本可以是正本的复印件。</w:t>
      </w:r>
    </w:p>
    <w:p w14:paraId="7AD24B9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2.供应商愿意提供与本次谈判有关的其他资料，可视各自的情况自行编制，规格幅面应与其他谈判资料一致，附于响应文件之后，与其他谈判资料页码统一编写目录、编制页码装订。</w:t>
      </w:r>
    </w:p>
    <w:p w14:paraId="4B7C1BC6">
      <w:pPr>
        <w:pStyle w:val="3"/>
        <w:keepNext w:val="0"/>
        <w:keepLines w:val="0"/>
        <w:pageBreakBefore w:val="0"/>
        <w:kinsoku/>
        <w:wordWrap/>
        <w:overflowPunct/>
        <w:topLinePunct w:val="0"/>
        <w:autoSpaceDE/>
        <w:autoSpaceDN/>
        <w:bidi w:val="0"/>
        <w:adjustRightInd/>
        <w:snapToGrid/>
        <w:spacing w:line="360" w:lineRule="auto"/>
        <w:ind w:firstLine="56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3.胶左牢固装订成册（如果非胶左装订，竞标文件出现丢页而影响评标的后果自负）。</w:t>
      </w:r>
    </w:p>
    <w:p w14:paraId="1D405344">
      <w:pPr>
        <w:keepNext w:val="0"/>
        <w:keepLines w:val="0"/>
        <w:pageBreakBefore w:val="0"/>
        <w:kinsoku/>
        <w:wordWrap/>
        <w:overflowPunct/>
        <w:topLinePunct w:val="0"/>
        <w:autoSpaceDE/>
        <w:autoSpaceDN/>
        <w:bidi w:val="0"/>
        <w:adjustRightInd/>
        <w:snapToGrid/>
        <w:spacing w:line="360" w:lineRule="auto"/>
        <w:ind w:firstLine="562" w:firstLineChars="200"/>
        <w:textAlignment w:val="auto"/>
        <w:outlineLvl w:val="2"/>
        <w:rPr>
          <w:rFonts w:hint="eastAsia" w:ascii="宋体" w:hAnsi="宋体" w:eastAsia="宋体" w:cs="宋体"/>
          <w:b/>
          <w:bCs/>
          <w:color w:val="auto"/>
          <w:sz w:val="28"/>
          <w:szCs w:val="28"/>
          <w:highlight w:val="none"/>
        </w:rPr>
      </w:pPr>
      <w:bookmarkStart w:id="21" w:name="_Toc21286"/>
      <w:r>
        <w:rPr>
          <w:rFonts w:hint="eastAsia" w:ascii="宋体" w:hAnsi="宋体" w:eastAsia="宋体" w:cs="宋体"/>
          <w:b/>
          <w:bCs/>
          <w:color w:val="auto"/>
          <w:sz w:val="28"/>
          <w:szCs w:val="28"/>
          <w:highlight w:val="none"/>
          <w:lang w:val="en-US" w:eastAsia="zh-CN"/>
        </w:rPr>
        <w:t>4.</w:t>
      </w:r>
      <w:r>
        <w:rPr>
          <w:rFonts w:hint="eastAsia" w:ascii="宋体" w:hAnsi="宋体" w:eastAsia="宋体" w:cs="宋体"/>
          <w:b/>
          <w:bCs/>
          <w:color w:val="auto"/>
          <w:sz w:val="28"/>
          <w:szCs w:val="28"/>
          <w:highlight w:val="none"/>
        </w:rPr>
        <w:t>响应文件密封</w:t>
      </w:r>
      <w:bookmarkEnd w:id="21"/>
    </w:p>
    <w:p w14:paraId="6B2754A7">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pacing w:val="-8"/>
          <w:kern w:val="0"/>
          <w:sz w:val="28"/>
          <w:szCs w:val="28"/>
          <w:highlight w:val="none"/>
        </w:rPr>
      </w:pPr>
      <w:r>
        <w:rPr>
          <w:rFonts w:hint="eastAsia" w:ascii="宋体" w:hAnsi="宋体" w:eastAsia="宋体" w:cs="宋体"/>
          <w:color w:val="auto"/>
          <w:kern w:val="0"/>
          <w:sz w:val="28"/>
          <w:szCs w:val="28"/>
          <w:highlight w:val="none"/>
        </w:rPr>
        <w:t>供应商应当将响应文件密封并加盖公章或密封章。供应商另</w:t>
      </w:r>
      <w:r>
        <w:rPr>
          <w:rFonts w:hint="eastAsia" w:ascii="宋体" w:hAnsi="宋体" w:eastAsia="宋体" w:cs="宋体"/>
          <w:color w:val="auto"/>
          <w:spacing w:val="-8"/>
          <w:kern w:val="0"/>
          <w:sz w:val="28"/>
          <w:szCs w:val="28"/>
          <w:highlight w:val="none"/>
        </w:rPr>
        <w:t>行提供的资格审查资料原件单独递交，不要装订在响应文件里。</w:t>
      </w:r>
    </w:p>
    <w:p w14:paraId="77B30AA2">
      <w:pPr>
        <w:keepNext w:val="0"/>
        <w:keepLines w:val="0"/>
        <w:pageBreakBefore w:val="0"/>
        <w:widowControl/>
        <w:kinsoku/>
        <w:wordWrap/>
        <w:overflowPunct/>
        <w:topLinePunct w:val="0"/>
        <w:autoSpaceDE/>
        <w:autoSpaceDN/>
        <w:bidi w:val="0"/>
        <w:adjustRightInd/>
        <w:snapToGrid/>
        <w:spacing w:line="360" w:lineRule="auto"/>
        <w:ind w:firstLine="528" w:firstLineChars="200"/>
        <w:jc w:val="left"/>
        <w:textAlignment w:val="auto"/>
        <w:rPr>
          <w:rFonts w:hint="eastAsia" w:ascii="宋体" w:hAnsi="宋体" w:eastAsia="宋体" w:cs="宋体"/>
          <w:color w:val="auto"/>
          <w:spacing w:val="-8"/>
          <w:kern w:val="0"/>
          <w:sz w:val="28"/>
          <w:szCs w:val="28"/>
          <w:highlight w:val="none"/>
        </w:rPr>
      </w:pPr>
      <w:r>
        <w:rPr>
          <w:rFonts w:hint="eastAsia" w:ascii="宋体" w:hAnsi="宋体" w:eastAsia="宋体" w:cs="宋体"/>
          <w:color w:val="auto"/>
          <w:spacing w:val="-8"/>
          <w:kern w:val="0"/>
          <w:sz w:val="28"/>
          <w:szCs w:val="28"/>
          <w:highlight w:val="none"/>
          <w:lang w:val="en-US" w:eastAsia="zh-CN"/>
        </w:rPr>
        <w:t>响应</w:t>
      </w:r>
      <w:r>
        <w:rPr>
          <w:rFonts w:hint="eastAsia" w:ascii="宋体" w:hAnsi="宋体" w:eastAsia="宋体" w:cs="宋体"/>
          <w:color w:val="auto"/>
          <w:spacing w:val="-8"/>
          <w:kern w:val="0"/>
          <w:sz w:val="28"/>
          <w:szCs w:val="28"/>
          <w:highlight w:val="none"/>
        </w:rPr>
        <w:t>文件</w:t>
      </w:r>
      <w:r>
        <w:rPr>
          <w:rFonts w:hint="eastAsia" w:ascii="宋体" w:hAnsi="宋体" w:eastAsia="宋体" w:cs="宋体"/>
          <w:color w:val="auto"/>
          <w:spacing w:val="-8"/>
          <w:kern w:val="0"/>
          <w:sz w:val="28"/>
          <w:szCs w:val="28"/>
          <w:highlight w:val="none"/>
          <w:lang w:val="en-US" w:eastAsia="zh-CN"/>
        </w:rPr>
        <w:t>密封</w:t>
      </w:r>
      <w:r>
        <w:rPr>
          <w:rFonts w:hint="eastAsia" w:ascii="宋体" w:hAnsi="宋体" w:eastAsia="宋体" w:cs="宋体"/>
          <w:color w:val="auto"/>
          <w:spacing w:val="-8"/>
          <w:kern w:val="0"/>
          <w:sz w:val="28"/>
          <w:szCs w:val="28"/>
          <w:highlight w:val="none"/>
        </w:rPr>
        <w:t>袋上应写明：</w:t>
      </w:r>
    </w:p>
    <w:p w14:paraId="04B4B3A0">
      <w:pPr>
        <w:keepNext w:val="0"/>
        <w:keepLines w:val="0"/>
        <w:pageBreakBefore w:val="0"/>
        <w:widowControl/>
        <w:kinsoku/>
        <w:wordWrap/>
        <w:overflowPunct/>
        <w:topLinePunct w:val="0"/>
        <w:autoSpaceDE/>
        <w:autoSpaceDN/>
        <w:bidi w:val="0"/>
        <w:adjustRightInd/>
        <w:snapToGrid/>
        <w:spacing w:line="360" w:lineRule="auto"/>
        <w:ind w:firstLine="530" w:firstLineChars="200"/>
        <w:jc w:val="left"/>
        <w:textAlignment w:val="auto"/>
        <w:rPr>
          <w:rFonts w:hint="eastAsia" w:ascii="宋体" w:hAnsi="宋体" w:eastAsia="宋体" w:cs="宋体"/>
          <w:b/>
          <w:bCs/>
          <w:color w:val="auto"/>
          <w:spacing w:val="-8"/>
          <w:kern w:val="0"/>
          <w:sz w:val="28"/>
          <w:szCs w:val="28"/>
          <w:highlight w:val="none"/>
        </w:rPr>
      </w:pPr>
      <w:r>
        <w:rPr>
          <w:rFonts w:hint="eastAsia" w:ascii="宋体" w:hAnsi="宋体" w:eastAsia="宋体" w:cs="宋体"/>
          <w:b/>
          <w:bCs/>
          <w:color w:val="auto"/>
          <w:spacing w:val="-8"/>
          <w:kern w:val="0"/>
          <w:sz w:val="28"/>
          <w:szCs w:val="28"/>
          <w:highlight w:val="none"/>
        </w:rPr>
        <w:t>（1）投标单位；</w:t>
      </w:r>
    </w:p>
    <w:p w14:paraId="5A1CF2C0">
      <w:pPr>
        <w:keepNext w:val="0"/>
        <w:keepLines w:val="0"/>
        <w:pageBreakBefore w:val="0"/>
        <w:widowControl/>
        <w:kinsoku/>
        <w:wordWrap/>
        <w:overflowPunct/>
        <w:topLinePunct w:val="0"/>
        <w:autoSpaceDE/>
        <w:autoSpaceDN/>
        <w:bidi w:val="0"/>
        <w:adjustRightInd/>
        <w:snapToGrid/>
        <w:spacing w:line="360" w:lineRule="auto"/>
        <w:ind w:firstLine="530" w:firstLineChars="200"/>
        <w:jc w:val="left"/>
        <w:textAlignment w:val="auto"/>
        <w:rPr>
          <w:rFonts w:hint="eastAsia" w:ascii="宋体" w:hAnsi="宋体" w:eastAsia="宋体" w:cs="宋体"/>
          <w:b/>
          <w:bCs/>
          <w:color w:val="auto"/>
          <w:spacing w:val="-8"/>
          <w:kern w:val="0"/>
          <w:sz w:val="28"/>
          <w:szCs w:val="28"/>
          <w:highlight w:val="none"/>
        </w:rPr>
      </w:pPr>
      <w:r>
        <w:rPr>
          <w:rFonts w:hint="eastAsia" w:ascii="宋体" w:hAnsi="宋体" w:eastAsia="宋体" w:cs="宋体"/>
          <w:b/>
          <w:bCs/>
          <w:color w:val="auto"/>
          <w:spacing w:val="-8"/>
          <w:kern w:val="0"/>
          <w:sz w:val="28"/>
          <w:szCs w:val="28"/>
          <w:highlight w:val="none"/>
        </w:rPr>
        <w:t>（2）采购项目编号；</w:t>
      </w:r>
    </w:p>
    <w:p w14:paraId="0A8A44DE">
      <w:pPr>
        <w:keepNext w:val="0"/>
        <w:keepLines w:val="0"/>
        <w:pageBreakBefore w:val="0"/>
        <w:widowControl/>
        <w:kinsoku/>
        <w:wordWrap/>
        <w:overflowPunct/>
        <w:topLinePunct w:val="0"/>
        <w:autoSpaceDE/>
        <w:autoSpaceDN/>
        <w:bidi w:val="0"/>
        <w:adjustRightInd/>
        <w:snapToGrid/>
        <w:spacing w:line="360" w:lineRule="auto"/>
        <w:ind w:firstLine="530" w:firstLineChars="200"/>
        <w:jc w:val="left"/>
        <w:textAlignment w:val="auto"/>
        <w:rPr>
          <w:rFonts w:hint="eastAsia" w:ascii="宋体" w:hAnsi="宋体" w:eastAsia="宋体" w:cs="宋体"/>
          <w:b/>
          <w:bCs/>
          <w:color w:val="auto"/>
          <w:spacing w:val="-8"/>
          <w:kern w:val="0"/>
          <w:sz w:val="28"/>
          <w:szCs w:val="28"/>
          <w:highlight w:val="none"/>
        </w:rPr>
      </w:pPr>
      <w:r>
        <w:rPr>
          <w:rFonts w:hint="eastAsia" w:ascii="宋体" w:hAnsi="宋体" w:eastAsia="宋体" w:cs="宋体"/>
          <w:b/>
          <w:bCs/>
          <w:color w:val="auto"/>
          <w:spacing w:val="-8"/>
          <w:kern w:val="0"/>
          <w:sz w:val="28"/>
          <w:szCs w:val="28"/>
          <w:highlight w:val="none"/>
        </w:rPr>
        <w:t>（3）采购项目名称；</w:t>
      </w:r>
    </w:p>
    <w:p w14:paraId="2222A154">
      <w:pPr>
        <w:keepNext w:val="0"/>
        <w:keepLines w:val="0"/>
        <w:pageBreakBefore w:val="0"/>
        <w:widowControl/>
        <w:kinsoku/>
        <w:wordWrap/>
        <w:overflowPunct/>
        <w:topLinePunct w:val="0"/>
        <w:autoSpaceDE/>
        <w:autoSpaceDN/>
        <w:bidi w:val="0"/>
        <w:adjustRightInd/>
        <w:snapToGrid/>
        <w:spacing w:line="360" w:lineRule="auto"/>
        <w:ind w:firstLine="530" w:firstLineChars="200"/>
        <w:jc w:val="left"/>
        <w:textAlignment w:val="auto"/>
        <w:rPr>
          <w:rFonts w:hint="eastAsia" w:ascii="宋体" w:hAnsi="宋体" w:eastAsia="宋体" w:cs="宋体"/>
          <w:b/>
          <w:bCs/>
          <w:color w:val="auto"/>
          <w:kern w:val="0"/>
          <w:sz w:val="28"/>
          <w:szCs w:val="28"/>
          <w:highlight w:val="none"/>
        </w:rPr>
      </w:pPr>
      <w:r>
        <w:rPr>
          <w:rFonts w:hint="eastAsia" w:ascii="宋体" w:hAnsi="宋体" w:eastAsia="宋体" w:cs="宋体"/>
          <w:b/>
          <w:bCs/>
          <w:color w:val="auto"/>
          <w:spacing w:val="-8"/>
          <w:kern w:val="0"/>
          <w:sz w:val="28"/>
          <w:szCs w:val="28"/>
          <w:highlight w:val="none"/>
        </w:rPr>
        <w:t>（4）注明“开标时才能启封”。</w:t>
      </w:r>
    </w:p>
    <w:p w14:paraId="1108D8D8">
      <w:pPr>
        <w:keepNext w:val="0"/>
        <w:keepLines w:val="0"/>
        <w:pageBreakBefore w:val="0"/>
        <w:overflowPunct/>
        <w:topLinePunct w:val="0"/>
        <w:bidi w:val="0"/>
        <w:spacing w:line="360" w:lineRule="auto"/>
        <w:ind w:firstLine="562" w:firstLineChars="200"/>
        <w:rPr>
          <w:rFonts w:hint="eastAsia" w:ascii="宋体" w:hAnsi="宋体" w:eastAsia="宋体" w:cs="宋体"/>
          <w:b/>
          <w:bCs/>
          <w:color w:val="auto"/>
          <w:sz w:val="28"/>
          <w:szCs w:val="28"/>
          <w:highlight w:val="none"/>
        </w:rPr>
      </w:pPr>
      <w:bookmarkStart w:id="22" w:name="_Toc15992"/>
      <w:r>
        <w:rPr>
          <w:rFonts w:hint="eastAsia" w:ascii="宋体" w:hAnsi="宋体" w:eastAsia="宋体" w:cs="宋体"/>
          <w:b/>
          <w:bCs/>
          <w:color w:val="auto"/>
          <w:sz w:val="28"/>
          <w:szCs w:val="28"/>
          <w:highlight w:val="none"/>
          <w:lang w:val="en-US" w:eastAsia="zh-CN"/>
        </w:rPr>
        <w:t>5.</w:t>
      </w:r>
      <w:r>
        <w:rPr>
          <w:rFonts w:hint="eastAsia" w:ascii="宋体" w:hAnsi="宋体" w:eastAsia="宋体" w:cs="宋体"/>
          <w:b/>
          <w:bCs/>
          <w:color w:val="auto"/>
          <w:sz w:val="28"/>
          <w:szCs w:val="28"/>
          <w:highlight w:val="none"/>
        </w:rPr>
        <w:t>免谈情况</w:t>
      </w:r>
      <w:bookmarkEnd w:id="22"/>
    </w:p>
    <w:p w14:paraId="3A851E96">
      <w:pPr>
        <w:keepNext w:val="0"/>
        <w:keepLines w:val="0"/>
        <w:pageBreakBefore w:val="0"/>
        <w:overflowPunct/>
        <w:topLinePunct w:val="0"/>
        <w:autoSpaceDE w:val="0"/>
        <w:autoSpaceDN w:val="0"/>
        <w:bidi w:val="0"/>
        <w:adjustRightInd w:val="0"/>
        <w:snapToGrid w:val="0"/>
        <w:spacing w:line="360" w:lineRule="auto"/>
        <w:ind w:right="32" w:firstLine="560" w:firstLineChars="200"/>
        <w:rPr>
          <w:rFonts w:hint="eastAsia" w:ascii="宋体" w:hAnsi="宋体" w:eastAsia="宋体" w:cs="宋体"/>
          <w:color w:val="auto"/>
          <w:kern w:val="0"/>
          <w:sz w:val="28"/>
          <w:szCs w:val="28"/>
          <w:highlight w:val="none"/>
        </w:rPr>
      </w:pPr>
      <w:r>
        <w:rPr>
          <w:rFonts w:hint="eastAsia" w:ascii="宋体" w:hAnsi="宋体" w:eastAsia="宋体" w:cs="宋体"/>
          <w:color w:val="auto"/>
          <w:sz w:val="28"/>
          <w:szCs w:val="28"/>
          <w:highlight w:val="none"/>
          <w:shd w:val="clear" w:color="050000" w:fill="auto"/>
        </w:rPr>
        <w:t>1.供应商资格</w:t>
      </w:r>
      <w:r>
        <w:rPr>
          <w:rFonts w:hint="eastAsia" w:ascii="宋体" w:hAnsi="宋体" w:eastAsia="宋体" w:cs="宋体"/>
          <w:color w:val="auto"/>
          <w:sz w:val="28"/>
          <w:szCs w:val="28"/>
          <w:highlight w:val="none"/>
          <w:shd w:val="clear" w:color="050000" w:fill="auto"/>
          <w:lang w:val="en-US" w:eastAsia="zh-CN"/>
        </w:rPr>
        <w:t>不符合的</w:t>
      </w:r>
      <w:r>
        <w:rPr>
          <w:rFonts w:hint="eastAsia" w:ascii="宋体" w:hAnsi="宋体" w:eastAsia="宋体" w:cs="宋体"/>
          <w:color w:val="auto"/>
          <w:kern w:val="0"/>
          <w:sz w:val="28"/>
          <w:szCs w:val="28"/>
          <w:highlight w:val="none"/>
        </w:rPr>
        <w:t>；</w:t>
      </w:r>
    </w:p>
    <w:p w14:paraId="1F68EE87">
      <w:pPr>
        <w:keepNext w:val="0"/>
        <w:keepLines w:val="0"/>
        <w:pageBreakBefore w:val="0"/>
        <w:overflowPunct/>
        <w:topLinePunct w:val="0"/>
        <w:bidi w:val="0"/>
        <w:spacing w:line="360" w:lineRule="auto"/>
        <w:ind w:firstLine="560"/>
        <w:rPr>
          <w:rFonts w:hint="eastAsia" w:ascii="宋体" w:hAnsi="宋体" w:eastAsia="宋体" w:cs="宋体"/>
          <w:color w:val="auto"/>
          <w:sz w:val="28"/>
          <w:szCs w:val="28"/>
          <w:highlight w:val="none"/>
          <w:shd w:val="clear" w:color="050000" w:fill="auto"/>
        </w:rPr>
      </w:pPr>
      <w:r>
        <w:rPr>
          <w:rFonts w:hint="eastAsia" w:ascii="宋体" w:hAnsi="宋体" w:eastAsia="宋体" w:cs="宋体"/>
          <w:color w:val="auto"/>
          <w:sz w:val="28"/>
          <w:szCs w:val="28"/>
          <w:highlight w:val="none"/>
          <w:shd w:val="clear" w:color="050000" w:fill="auto"/>
        </w:rPr>
        <w:t>2.供应商递交的响应文件没有按照谈判文件要求密封、签字、盖章的；</w:t>
      </w:r>
    </w:p>
    <w:p w14:paraId="62764019">
      <w:pPr>
        <w:keepNext w:val="0"/>
        <w:keepLines w:val="0"/>
        <w:pageBreakBefore w:val="0"/>
        <w:overflowPunct/>
        <w:topLinePunct w:val="0"/>
        <w:bidi w:val="0"/>
        <w:spacing w:line="360" w:lineRule="auto"/>
        <w:ind w:firstLine="560"/>
        <w:rPr>
          <w:rFonts w:hint="eastAsia" w:ascii="宋体" w:hAnsi="宋体" w:eastAsia="宋体" w:cs="宋体"/>
          <w:color w:val="auto"/>
          <w:sz w:val="28"/>
          <w:szCs w:val="28"/>
          <w:highlight w:val="none"/>
          <w:shd w:val="clear" w:color="050000" w:fill="auto"/>
        </w:rPr>
      </w:pPr>
      <w:r>
        <w:rPr>
          <w:rFonts w:hint="eastAsia" w:ascii="宋体" w:hAnsi="宋体" w:eastAsia="宋体" w:cs="宋体"/>
          <w:color w:val="auto"/>
          <w:sz w:val="28"/>
          <w:szCs w:val="28"/>
          <w:highlight w:val="none"/>
          <w:shd w:val="clear" w:color="050000" w:fill="auto"/>
        </w:rPr>
        <w:t>3.</w:t>
      </w:r>
      <w:r>
        <w:rPr>
          <w:rFonts w:hint="eastAsia" w:ascii="宋体" w:hAnsi="宋体" w:eastAsia="宋体" w:cs="宋体"/>
          <w:color w:val="auto"/>
          <w:sz w:val="28"/>
          <w:szCs w:val="28"/>
          <w:highlight w:val="none"/>
        </w:rPr>
        <w:t>供应商递交的响应文件未响应</w:t>
      </w:r>
      <w:r>
        <w:rPr>
          <w:rFonts w:hint="eastAsia" w:ascii="宋体" w:hAnsi="宋体" w:eastAsia="宋体" w:cs="宋体"/>
          <w:color w:val="auto"/>
          <w:kern w:val="0"/>
          <w:sz w:val="28"/>
          <w:szCs w:val="28"/>
          <w:highlight w:val="none"/>
          <w:lang w:val="en-US" w:eastAsia="zh-CN"/>
        </w:rPr>
        <w:t>服务期限</w:t>
      </w:r>
      <w:r>
        <w:rPr>
          <w:rFonts w:hint="eastAsia" w:ascii="宋体" w:hAnsi="宋体" w:eastAsia="宋体" w:cs="宋体"/>
          <w:color w:val="auto"/>
          <w:kern w:val="0"/>
          <w:sz w:val="28"/>
          <w:szCs w:val="28"/>
          <w:highlight w:val="none"/>
        </w:rPr>
        <w:t>、</w:t>
      </w:r>
      <w:r>
        <w:rPr>
          <w:rFonts w:hint="eastAsia" w:ascii="宋体" w:hAnsi="宋体" w:eastAsia="宋体" w:cs="宋体"/>
          <w:color w:val="auto"/>
          <w:kern w:val="0"/>
          <w:sz w:val="28"/>
          <w:szCs w:val="28"/>
          <w:highlight w:val="none"/>
          <w:lang w:val="en-US" w:eastAsia="zh-CN"/>
        </w:rPr>
        <w:t>服务</w:t>
      </w:r>
      <w:r>
        <w:rPr>
          <w:rFonts w:hint="eastAsia" w:ascii="宋体" w:hAnsi="宋体" w:eastAsia="宋体" w:cs="宋体"/>
          <w:color w:val="auto"/>
          <w:kern w:val="0"/>
          <w:sz w:val="28"/>
          <w:szCs w:val="28"/>
          <w:highlight w:val="none"/>
        </w:rPr>
        <w:t>质量和付款方式</w:t>
      </w:r>
      <w:r>
        <w:rPr>
          <w:rFonts w:hint="eastAsia" w:ascii="宋体" w:hAnsi="宋体" w:eastAsia="宋体" w:cs="宋体"/>
          <w:color w:val="auto"/>
          <w:kern w:val="0"/>
          <w:sz w:val="28"/>
          <w:szCs w:val="28"/>
          <w:highlight w:val="none"/>
          <w:lang w:val="en-US" w:eastAsia="zh-CN"/>
        </w:rPr>
        <w:t>要求</w:t>
      </w:r>
      <w:r>
        <w:rPr>
          <w:rFonts w:hint="eastAsia" w:ascii="宋体" w:hAnsi="宋体" w:eastAsia="宋体" w:cs="宋体"/>
          <w:color w:val="auto"/>
          <w:kern w:val="0"/>
          <w:sz w:val="28"/>
          <w:szCs w:val="28"/>
          <w:highlight w:val="none"/>
        </w:rPr>
        <w:t>的</w:t>
      </w:r>
      <w:r>
        <w:rPr>
          <w:rFonts w:hint="eastAsia" w:ascii="宋体" w:hAnsi="宋体" w:eastAsia="宋体" w:cs="宋体"/>
          <w:color w:val="auto"/>
          <w:sz w:val="28"/>
          <w:szCs w:val="28"/>
          <w:highlight w:val="none"/>
          <w:shd w:val="clear" w:color="050000" w:fill="auto"/>
        </w:rPr>
        <w:t xml:space="preserve">； </w:t>
      </w:r>
    </w:p>
    <w:p w14:paraId="51AAF67B">
      <w:pPr>
        <w:keepNext w:val="0"/>
        <w:keepLines w:val="0"/>
        <w:pageBreakBefore w:val="0"/>
        <w:overflowPunct/>
        <w:topLinePunct w:val="0"/>
        <w:bidi w:val="0"/>
        <w:spacing w:line="360" w:lineRule="auto"/>
        <w:ind w:firstLine="560"/>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rPr>
        <w:t>4.供应商递交的响应文件不足三份（A4纸正本一份，副本二份）的；正本和副本的封面上未标明“正本”或“副本”的字样的；</w:t>
      </w:r>
    </w:p>
    <w:p w14:paraId="58005516">
      <w:pPr>
        <w:keepNext w:val="0"/>
        <w:keepLines w:val="0"/>
        <w:pageBreakBefore w:val="0"/>
        <w:overflowPunct/>
        <w:topLinePunct w:val="0"/>
        <w:bidi w:val="0"/>
        <w:spacing w:line="360" w:lineRule="auto"/>
        <w:ind w:firstLine="560"/>
        <w:rPr>
          <w:rFonts w:hint="eastAsia" w:ascii="宋体" w:hAnsi="宋体" w:eastAsia="宋体" w:cs="宋体"/>
          <w:color w:val="auto"/>
          <w:sz w:val="28"/>
          <w:szCs w:val="28"/>
          <w:highlight w:val="none"/>
          <w:shd w:val="clear" w:color="050000" w:fill="auto"/>
        </w:rPr>
      </w:pPr>
      <w:r>
        <w:rPr>
          <w:rFonts w:hint="eastAsia" w:ascii="宋体" w:hAnsi="宋体" w:eastAsia="宋体" w:cs="宋体"/>
          <w:color w:val="auto"/>
          <w:sz w:val="28"/>
          <w:szCs w:val="28"/>
          <w:highlight w:val="none"/>
          <w:shd w:val="clear" w:color="050000" w:fill="auto"/>
        </w:rPr>
        <w:t>5.供应商的报价（包括分项报价，投标总报价）只能有一个有效报价且不超过采购预算或最高限价；</w:t>
      </w:r>
    </w:p>
    <w:p w14:paraId="34C0E1CD">
      <w:pPr>
        <w:keepNext w:val="0"/>
        <w:keepLines w:val="0"/>
        <w:pageBreakBefore w:val="0"/>
        <w:widowControl/>
        <w:overflowPunct/>
        <w:topLinePunct w:val="0"/>
        <w:bidi w:val="0"/>
        <w:spacing w:line="360" w:lineRule="auto"/>
        <w:ind w:firstLine="562" w:firstLineChars="201"/>
        <w:rPr>
          <w:rFonts w:hint="eastAsia" w:ascii="宋体" w:hAnsi="宋体" w:eastAsia="宋体" w:cs="宋体"/>
          <w:color w:val="auto"/>
          <w:kern w:val="0"/>
          <w:sz w:val="28"/>
          <w:szCs w:val="28"/>
          <w:highlight w:val="none"/>
        </w:rPr>
      </w:pPr>
      <w:r>
        <w:rPr>
          <w:rFonts w:hint="eastAsia" w:ascii="宋体" w:hAnsi="宋体" w:eastAsia="宋体" w:cs="宋体"/>
          <w:color w:val="auto"/>
          <w:sz w:val="28"/>
          <w:szCs w:val="28"/>
          <w:highlight w:val="none"/>
          <w:shd w:val="clear" w:color="050000" w:fill="auto"/>
        </w:rPr>
        <w:t>6.</w:t>
      </w:r>
      <w:r>
        <w:rPr>
          <w:rFonts w:hint="eastAsia" w:ascii="宋体" w:hAnsi="宋体" w:eastAsia="宋体" w:cs="宋体"/>
          <w:color w:val="auto"/>
          <w:kern w:val="0"/>
          <w:sz w:val="28"/>
          <w:szCs w:val="28"/>
          <w:highlight w:val="none"/>
        </w:rPr>
        <w:t>单位负责人为同一人或者存在直接控股、管理关系供应商，参加同一项下的采购活动的；</w:t>
      </w:r>
    </w:p>
    <w:p w14:paraId="70D6F2FA">
      <w:pPr>
        <w:keepNext w:val="0"/>
        <w:keepLines w:val="0"/>
        <w:pageBreakBefore w:val="0"/>
        <w:widowControl/>
        <w:overflowPunct/>
        <w:topLinePunct w:val="0"/>
        <w:bidi w:val="0"/>
        <w:spacing w:line="360" w:lineRule="auto"/>
        <w:ind w:firstLine="560" w:firstLineChars="200"/>
        <w:rPr>
          <w:rFonts w:hint="eastAsia" w:ascii="宋体" w:hAnsi="宋体" w:eastAsia="宋体" w:cs="宋体"/>
          <w:color w:val="auto"/>
          <w:kern w:val="0"/>
          <w:sz w:val="28"/>
          <w:szCs w:val="28"/>
          <w:highlight w:val="none"/>
        </w:rPr>
      </w:pPr>
      <w:r>
        <w:rPr>
          <w:rFonts w:hint="eastAsia" w:ascii="宋体" w:hAnsi="宋体" w:eastAsia="宋体" w:cs="宋体"/>
          <w:color w:val="auto"/>
          <w:sz w:val="28"/>
          <w:szCs w:val="28"/>
          <w:highlight w:val="none"/>
          <w:shd w:val="clear" w:color="050000" w:fill="auto"/>
        </w:rPr>
        <w:t>7.为</w:t>
      </w:r>
      <w:r>
        <w:rPr>
          <w:rFonts w:hint="eastAsia" w:ascii="宋体" w:hAnsi="宋体" w:eastAsia="宋体" w:cs="宋体"/>
          <w:color w:val="auto"/>
          <w:kern w:val="0"/>
          <w:sz w:val="28"/>
          <w:szCs w:val="28"/>
          <w:highlight w:val="none"/>
        </w:rPr>
        <w:t>采购项目提供整体设计、规范编制或者项目管理、监理、检测等服务的供应商，再参加该采购项目其他采购活动的；</w:t>
      </w:r>
    </w:p>
    <w:p w14:paraId="3339D5E3">
      <w:pPr>
        <w:keepNext w:val="0"/>
        <w:keepLines w:val="0"/>
        <w:pageBreakBefore w:val="0"/>
        <w:overflowPunct/>
        <w:topLinePunct w:val="0"/>
        <w:bidi w:val="0"/>
        <w:spacing w:line="360" w:lineRule="auto"/>
        <w:ind w:firstLine="560" w:firstLineChars="200"/>
        <w:rPr>
          <w:rFonts w:hint="eastAsia" w:ascii="宋体" w:hAnsi="宋体" w:eastAsia="宋体" w:cs="宋体"/>
          <w:b/>
          <w:bCs/>
          <w:color w:val="auto"/>
          <w:sz w:val="28"/>
          <w:szCs w:val="28"/>
          <w:lang w:val="en-US" w:eastAsia="zh-CN"/>
        </w:rPr>
      </w:pPr>
      <w:r>
        <w:rPr>
          <w:rFonts w:hint="eastAsia" w:ascii="宋体" w:hAnsi="宋体" w:eastAsia="宋体" w:cs="宋体"/>
          <w:color w:val="auto"/>
          <w:kern w:val="0"/>
          <w:sz w:val="28"/>
          <w:szCs w:val="28"/>
          <w:highlight w:val="none"/>
        </w:rPr>
        <w:t>8.</w:t>
      </w:r>
      <w:r>
        <w:rPr>
          <w:rFonts w:hint="eastAsia" w:ascii="宋体" w:hAnsi="宋体" w:eastAsia="宋体" w:cs="宋体"/>
          <w:color w:val="auto"/>
          <w:sz w:val="28"/>
          <w:szCs w:val="28"/>
          <w:highlight w:val="none"/>
        </w:rPr>
        <w:t>谈判文件要求的其他无效投标情形；围标、串标和法律法规规定的其它无效投标条款。</w:t>
      </w:r>
    </w:p>
    <w:p w14:paraId="77A82F6B">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lang w:val="en-US" w:eastAsia="zh-CN"/>
        </w:rPr>
        <w:t>6</w:t>
      </w:r>
      <w:r>
        <w:rPr>
          <w:rFonts w:hint="eastAsia" w:ascii="宋体" w:hAnsi="宋体" w:eastAsia="宋体" w:cs="宋体"/>
          <w:b/>
          <w:bCs/>
          <w:color w:val="auto"/>
          <w:sz w:val="28"/>
          <w:szCs w:val="28"/>
        </w:rPr>
        <w:t>.响应文件的递交</w:t>
      </w:r>
    </w:p>
    <w:p w14:paraId="2C377D19">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供应商应当在提交响应文件截止时间前递交响应文件，否则视为自动放弃</w:t>
      </w:r>
      <w:r>
        <w:rPr>
          <w:rFonts w:hint="eastAsia" w:ascii="宋体" w:hAnsi="宋体" w:eastAsia="宋体" w:cs="宋体"/>
          <w:color w:val="auto"/>
          <w:sz w:val="28"/>
          <w:szCs w:val="28"/>
          <w:lang w:eastAsia="zh-CN"/>
        </w:rPr>
        <w:t>。</w:t>
      </w:r>
    </w:p>
    <w:p w14:paraId="4F5699A3">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lang w:val="en-US" w:eastAsia="zh-CN"/>
        </w:rPr>
        <w:t>7</w:t>
      </w:r>
      <w:r>
        <w:rPr>
          <w:rFonts w:hint="eastAsia" w:ascii="宋体" w:hAnsi="宋体" w:eastAsia="宋体" w:cs="宋体"/>
          <w:b/>
          <w:bCs/>
          <w:color w:val="auto"/>
          <w:sz w:val="28"/>
          <w:szCs w:val="28"/>
        </w:rPr>
        <w:t>.样品</w:t>
      </w:r>
    </w:p>
    <w:p w14:paraId="640450D9">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7</w:t>
      </w:r>
      <w:r>
        <w:rPr>
          <w:rFonts w:hint="eastAsia" w:ascii="宋体" w:hAnsi="宋体" w:eastAsia="宋体" w:cs="宋体"/>
          <w:color w:val="auto"/>
          <w:sz w:val="28"/>
          <w:szCs w:val="28"/>
        </w:rPr>
        <w:t>.1谈判文件规定供应商提交样品的，样品属于响应文件的组成部分。样品的生产、运输、安装、保全等一切费用由供应商自理。</w:t>
      </w:r>
    </w:p>
    <w:p w14:paraId="5DEA4EC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7</w:t>
      </w:r>
      <w:r>
        <w:rPr>
          <w:rFonts w:hint="eastAsia" w:ascii="宋体" w:hAnsi="宋体" w:eastAsia="宋体" w:cs="宋体"/>
          <w:color w:val="auto"/>
          <w:sz w:val="28"/>
          <w:szCs w:val="28"/>
        </w:rPr>
        <w:t>.2响应文件开启前，供应商应将样品送达至指定地点，按要求摆放并做好展示。若需要现场演示的，供应商应提前做好演示准备（包括演示设备）。</w:t>
      </w:r>
    </w:p>
    <w:p w14:paraId="1A218C00">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7</w:t>
      </w:r>
      <w:r>
        <w:rPr>
          <w:rFonts w:hint="eastAsia" w:ascii="宋体" w:hAnsi="宋体" w:eastAsia="宋体" w:cs="宋体"/>
          <w:color w:val="auto"/>
          <w:sz w:val="28"/>
          <w:szCs w:val="28"/>
        </w:rPr>
        <w:t>.3采购活动结束后，对于未成交供应商提供的样品，应当及时退还或者经未成交供应商同意后自行处理；对于成交供应商提供的样品，应当按照谈判文件的规定进行保管、封存，并作为履约验收的参考。</w:t>
      </w:r>
    </w:p>
    <w:p w14:paraId="29CA4075">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rPr>
          <w:rFonts w:hint="eastAsia" w:ascii="宋体" w:hAnsi="宋体" w:eastAsia="宋体" w:cs="宋体"/>
          <w:b/>
          <w:bCs/>
          <w:color w:val="auto"/>
          <w:sz w:val="28"/>
          <w:szCs w:val="28"/>
        </w:rPr>
      </w:pPr>
      <w:r>
        <w:rPr>
          <w:rFonts w:hint="eastAsia" w:ascii="宋体" w:hAnsi="宋体" w:eastAsia="宋体" w:cs="宋体"/>
          <w:b/>
          <w:bCs/>
          <w:color w:val="auto"/>
          <w:sz w:val="28"/>
          <w:szCs w:val="28"/>
          <w:lang w:val="en-US" w:eastAsia="zh-CN"/>
        </w:rPr>
        <w:t>8</w:t>
      </w:r>
      <w:r>
        <w:rPr>
          <w:rFonts w:hint="eastAsia" w:ascii="宋体" w:hAnsi="宋体" w:eastAsia="宋体" w:cs="宋体"/>
          <w:b/>
          <w:bCs/>
          <w:color w:val="auto"/>
          <w:sz w:val="28"/>
          <w:szCs w:val="28"/>
        </w:rPr>
        <w:t>、开启、评审、结果公告、成交通知书</w:t>
      </w:r>
    </w:p>
    <w:p w14:paraId="3C851721">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8.开启</w:t>
      </w:r>
    </w:p>
    <w:p w14:paraId="51FC2ADB">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3"/>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8</w:t>
      </w:r>
      <w:r>
        <w:rPr>
          <w:rFonts w:hint="eastAsia" w:ascii="宋体" w:hAnsi="宋体" w:eastAsia="宋体" w:cs="宋体"/>
          <w:color w:val="auto"/>
          <w:sz w:val="28"/>
          <w:szCs w:val="28"/>
        </w:rPr>
        <w:t>.1主持人按下列程序进行开标：</w:t>
      </w:r>
    </w:p>
    <w:p w14:paraId="2200AAD6">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（1）宣布开标纪律；</w:t>
      </w:r>
    </w:p>
    <w:p w14:paraId="1F628C3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（2）宣布开标会议相关人员姓名；</w:t>
      </w:r>
    </w:p>
    <w:p w14:paraId="691EB204">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（3）供应商对已提交的响应文件密封情况进行确认，由采购人或者采购代理机构工作人员当众宣布供应商名称和磋商文件规定的需要宣布的其他内容（以开标一览表要求为准）；</w:t>
      </w:r>
    </w:p>
    <w:p w14:paraId="20E239A3">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（4）参加开标会议人员对开标情况确认；</w:t>
      </w:r>
    </w:p>
    <w:p w14:paraId="18442EEC">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（5）开标结束，响应文件移交磋商小组。</w:t>
      </w:r>
    </w:p>
    <w:p w14:paraId="13E1707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3"/>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8</w:t>
      </w:r>
      <w:r>
        <w:rPr>
          <w:rFonts w:hint="eastAsia" w:ascii="宋体" w:hAnsi="宋体" w:eastAsia="宋体" w:cs="宋体"/>
          <w:color w:val="auto"/>
          <w:sz w:val="28"/>
          <w:szCs w:val="28"/>
        </w:rPr>
        <w:t>.2开标异议</w:t>
      </w:r>
    </w:p>
    <w:p w14:paraId="22AA428B">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供应商代表对开标过程和开标记录有疑义，以及认为采购人、采购代理机构相关工作人员有需要回避的情形的，应当当场提出询问或者回避申请，开标会议结束后不再接受相关询问、质疑或者回避申请。</w:t>
      </w:r>
    </w:p>
    <w:p w14:paraId="044A7E17">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lang w:val="en-US" w:eastAsia="zh-CN"/>
        </w:rPr>
        <w:t>9</w:t>
      </w:r>
      <w:r>
        <w:rPr>
          <w:rFonts w:hint="eastAsia" w:ascii="宋体" w:hAnsi="宋体" w:eastAsia="宋体" w:cs="宋体"/>
          <w:b/>
          <w:bCs/>
          <w:color w:val="auto"/>
          <w:sz w:val="28"/>
          <w:szCs w:val="28"/>
        </w:rPr>
        <w:t>.评审</w:t>
      </w:r>
    </w:p>
    <w:p w14:paraId="5001466F">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3"/>
        <w:rPr>
          <w:rFonts w:hint="eastAsia" w:ascii="宋体" w:hAnsi="宋体" w:eastAsia="宋体" w:cs="宋体"/>
          <w:color w:val="auto"/>
          <w:sz w:val="28"/>
          <w:szCs w:val="28"/>
        </w:rPr>
      </w:pPr>
      <w:r>
        <w:rPr>
          <w:rFonts w:hint="eastAsia" w:ascii="宋体" w:hAnsi="宋体" w:eastAsia="宋体" w:cs="宋体"/>
          <w:color w:val="auto"/>
          <w:sz w:val="28"/>
          <w:szCs w:val="28"/>
        </w:rPr>
        <w:t>详见第五章</w:t>
      </w:r>
    </w:p>
    <w:p w14:paraId="647F90FC">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lang w:val="en-US" w:eastAsia="zh-CN"/>
        </w:rPr>
        <w:t>10.</w:t>
      </w:r>
      <w:r>
        <w:rPr>
          <w:rFonts w:hint="eastAsia" w:ascii="宋体" w:hAnsi="宋体" w:eastAsia="宋体" w:cs="宋体"/>
          <w:b/>
          <w:bCs/>
          <w:color w:val="auto"/>
          <w:sz w:val="28"/>
          <w:szCs w:val="28"/>
        </w:rPr>
        <w:t>提交评审报告</w:t>
      </w:r>
    </w:p>
    <w:p w14:paraId="77DDD6F8">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采购人</w:t>
      </w:r>
      <w:r>
        <w:rPr>
          <w:rFonts w:hint="eastAsia" w:ascii="宋体" w:hAnsi="宋体" w:eastAsia="宋体" w:cs="宋体"/>
          <w:bCs/>
          <w:color w:val="auto"/>
          <w:sz w:val="24"/>
          <w:highlight w:val="none"/>
          <w:lang w:val="en-US" w:eastAsia="zh-CN"/>
        </w:rPr>
        <w:t>应当</w:t>
      </w:r>
      <w:r>
        <w:rPr>
          <w:rFonts w:hint="eastAsia" w:ascii="宋体" w:hAnsi="宋体" w:eastAsia="宋体" w:cs="宋体"/>
          <w:bCs/>
          <w:color w:val="auto"/>
          <w:sz w:val="24"/>
          <w:highlight w:val="none"/>
        </w:rPr>
        <w:t>在评审结束后1个工作日内确认评审报告。</w:t>
      </w:r>
    </w:p>
    <w:p w14:paraId="37DB619A">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11.确定成交供应商</w:t>
      </w:r>
    </w:p>
    <w:p w14:paraId="1EE73CE4">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11.1采购人应当在收到评审报告后1个工作日内，从评审报告提出的成交候选供应商中，按照排序由高到低的原则确定成交供应商，也可以书面授权</w:t>
      </w:r>
      <w:r>
        <w:rPr>
          <w:rFonts w:hint="eastAsia" w:ascii="宋体" w:hAnsi="宋体" w:eastAsia="宋体" w:cs="宋体"/>
          <w:bCs/>
          <w:color w:val="auto"/>
          <w:sz w:val="24"/>
          <w:highlight w:val="none"/>
          <w:lang w:val="en-US" w:eastAsia="zh-CN"/>
        </w:rPr>
        <w:t>谈判</w:t>
      </w:r>
      <w:r>
        <w:rPr>
          <w:rFonts w:hint="eastAsia" w:ascii="宋体" w:hAnsi="宋体" w:eastAsia="宋体" w:cs="宋体"/>
          <w:bCs/>
          <w:color w:val="auto"/>
          <w:sz w:val="24"/>
          <w:highlight w:val="none"/>
        </w:rPr>
        <w:t>小组直接确定成交供应商。采购人逾期未确定成交供应商且不提出异议的，视为确定评审报告提出的排序第一的供应商为成交供应商。</w:t>
      </w:r>
    </w:p>
    <w:p w14:paraId="3F562458">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11.2成交供应商拒绝与采购人签订合同的，采购人可以按照评审报告推荐的成交候选供应商名单排序，确定其他供应商作为成交供应商并签订政府采购合同，也可以重新开展采购活动。拒绝签订政府采购合同的成交供应商不得参加对该项目重新开展的采购活动。</w:t>
      </w:r>
    </w:p>
    <w:p w14:paraId="5B540910">
      <w:pPr>
        <w:spacing w:line="360" w:lineRule="auto"/>
        <w:ind w:firstLine="562" w:firstLineChars="200"/>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lang w:val="en-US" w:eastAsia="zh-CN"/>
        </w:rPr>
        <w:t>12.</w:t>
      </w:r>
      <w:r>
        <w:rPr>
          <w:rFonts w:hint="eastAsia" w:ascii="宋体" w:hAnsi="宋体" w:eastAsia="宋体" w:cs="宋体"/>
          <w:b/>
          <w:bCs w:val="0"/>
          <w:color w:val="auto"/>
          <w:sz w:val="28"/>
          <w:szCs w:val="28"/>
          <w:highlight w:val="none"/>
        </w:rPr>
        <w:t>成交结果</w:t>
      </w:r>
    </w:p>
    <w:p w14:paraId="73F35A5F">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采购人应当在成交供应商确定后2个工作日内，在</w:t>
      </w:r>
      <w:r>
        <w:rPr>
          <w:rFonts w:hint="eastAsia" w:ascii="宋体" w:hAnsi="宋体" w:eastAsia="宋体" w:cs="宋体"/>
          <w:bCs/>
          <w:color w:val="auto"/>
          <w:sz w:val="24"/>
          <w:highlight w:val="none"/>
          <w:lang w:eastAsia="zh-CN"/>
        </w:rPr>
        <w:t>赤峰市生态环境局官网</w:t>
      </w:r>
      <w:r>
        <w:rPr>
          <w:rFonts w:hint="eastAsia" w:ascii="宋体" w:hAnsi="宋体" w:eastAsia="宋体" w:cs="宋体"/>
          <w:bCs/>
          <w:color w:val="auto"/>
          <w:sz w:val="24"/>
          <w:highlight w:val="none"/>
        </w:rPr>
        <w:t>（http://sthjj.chifeng.gov.cn/）上公告成交结果，同时向成交供应商发出成交通知书。</w:t>
      </w:r>
    </w:p>
    <w:p w14:paraId="139ABA4E">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成交结果公告包括以下内容：</w:t>
      </w:r>
    </w:p>
    <w:p w14:paraId="0DE4DB67">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（一）采购人的名称、地址和联系方式；</w:t>
      </w:r>
    </w:p>
    <w:p w14:paraId="51BF7F7F">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（二）项目名称和项目编号；</w:t>
      </w:r>
    </w:p>
    <w:p w14:paraId="4EB9BCD7">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（三）成交供应商名称、地址和成交金额；</w:t>
      </w:r>
    </w:p>
    <w:p w14:paraId="15298E98">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（四）主要成交标的的名称、规格型号、数量、单价、服务要求；</w:t>
      </w:r>
    </w:p>
    <w:p w14:paraId="53B35E2D">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（五）磋商小组成员名单。</w:t>
      </w:r>
    </w:p>
    <w:p w14:paraId="1A74B4A6">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成交通知书发出后，采购人改变成交结果，或者成交供应商放弃成交，应当承担相应的法律责任。</w:t>
      </w:r>
    </w:p>
    <w:p w14:paraId="19148725">
      <w:pPr>
        <w:spacing w:line="360" w:lineRule="auto"/>
        <w:ind w:firstLine="562" w:firstLineChars="200"/>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lang w:val="en-US" w:eastAsia="zh-CN"/>
        </w:rPr>
        <w:t>13.</w:t>
      </w:r>
      <w:r>
        <w:rPr>
          <w:rFonts w:hint="eastAsia" w:ascii="宋体" w:hAnsi="宋体" w:eastAsia="宋体" w:cs="宋体"/>
          <w:b/>
          <w:bCs w:val="0"/>
          <w:color w:val="auto"/>
          <w:sz w:val="28"/>
          <w:szCs w:val="28"/>
          <w:highlight w:val="none"/>
        </w:rPr>
        <w:t>合同签订</w:t>
      </w:r>
    </w:p>
    <w:p w14:paraId="0240FE8C">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13.1采购人与成交供应商应当在成交通知书发出之日起7日内，按照</w:t>
      </w:r>
      <w:r>
        <w:rPr>
          <w:rFonts w:hint="eastAsia" w:ascii="宋体" w:hAnsi="宋体" w:eastAsia="宋体" w:cs="宋体"/>
          <w:bCs/>
          <w:color w:val="auto"/>
          <w:sz w:val="24"/>
          <w:highlight w:val="none"/>
          <w:lang w:val="en-US" w:eastAsia="zh-CN"/>
        </w:rPr>
        <w:t>谈判</w:t>
      </w:r>
      <w:r>
        <w:rPr>
          <w:rFonts w:hint="eastAsia" w:ascii="宋体" w:hAnsi="宋体" w:eastAsia="宋体" w:cs="宋体"/>
          <w:bCs/>
          <w:color w:val="auto"/>
          <w:sz w:val="24"/>
          <w:highlight w:val="none"/>
        </w:rPr>
        <w:t>文件确定的合同文本以及采购标的、规格型号、采购金额、采购数量、技术和服务要求等事项签订政府采购合同。</w:t>
      </w:r>
    </w:p>
    <w:p w14:paraId="68A365A8">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13.2采购人不得向成交供应商提出超出</w:t>
      </w:r>
      <w:r>
        <w:rPr>
          <w:rFonts w:hint="eastAsia" w:ascii="宋体" w:hAnsi="宋体" w:eastAsia="宋体" w:cs="宋体"/>
          <w:bCs/>
          <w:color w:val="auto"/>
          <w:sz w:val="24"/>
          <w:highlight w:val="none"/>
          <w:lang w:val="en-US" w:eastAsia="zh-CN"/>
        </w:rPr>
        <w:t>谈判</w:t>
      </w:r>
      <w:r>
        <w:rPr>
          <w:rFonts w:hint="eastAsia" w:ascii="宋体" w:hAnsi="宋体" w:eastAsia="宋体" w:cs="宋体"/>
          <w:bCs/>
          <w:color w:val="auto"/>
          <w:sz w:val="24"/>
          <w:highlight w:val="none"/>
        </w:rPr>
        <w:t>文件以外的任何要求作为签订合同的条件，不得与成交供应商订立背离</w:t>
      </w:r>
      <w:r>
        <w:rPr>
          <w:rFonts w:hint="eastAsia" w:ascii="宋体" w:hAnsi="宋体" w:eastAsia="宋体" w:cs="宋体"/>
          <w:bCs/>
          <w:color w:val="auto"/>
          <w:sz w:val="24"/>
          <w:highlight w:val="none"/>
          <w:lang w:val="en-US" w:eastAsia="zh-CN"/>
        </w:rPr>
        <w:t>谈判</w:t>
      </w:r>
      <w:r>
        <w:rPr>
          <w:rFonts w:hint="eastAsia" w:ascii="宋体" w:hAnsi="宋体" w:eastAsia="宋体" w:cs="宋体"/>
          <w:bCs/>
          <w:color w:val="auto"/>
          <w:sz w:val="24"/>
          <w:highlight w:val="none"/>
        </w:rPr>
        <w:t>文件确定的合同样本以及采购标的、规格型号、采购金额、采购数量、技术和服务要求等实质性内容的协议。</w:t>
      </w:r>
    </w:p>
    <w:p w14:paraId="737E846C">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13.3</w:t>
      </w:r>
      <w:r>
        <w:rPr>
          <w:rFonts w:hint="eastAsia" w:ascii="宋体" w:hAnsi="宋体" w:eastAsia="宋体" w:cs="宋体"/>
          <w:bCs/>
          <w:color w:val="auto"/>
          <w:sz w:val="24"/>
          <w:highlight w:val="none"/>
          <w:lang w:val="en-US" w:eastAsia="zh-CN"/>
        </w:rPr>
        <w:t>谈判</w:t>
      </w:r>
      <w:r>
        <w:rPr>
          <w:rFonts w:hint="eastAsia" w:ascii="宋体" w:hAnsi="宋体" w:eastAsia="宋体" w:cs="宋体"/>
          <w:bCs/>
          <w:color w:val="auto"/>
          <w:sz w:val="24"/>
          <w:highlight w:val="none"/>
        </w:rPr>
        <w:t>文件、响应文件及</w:t>
      </w:r>
      <w:r>
        <w:rPr>
          <w:rFonts w:hint="eastAsia" w:ascii="宋体" w:hAnsi="宋体" w:eastAsia="宋体" w:cs="宋体"/>
          <w:bCs/>
          <w:color w:val="auto"/>
          <w:sz w:val="24"/>
          <w:highlight w:val="none"/>
          <w:lang w:val="en-US" w:eastAsia="zh-CN"/>
        </w:rPr>
        <w:t>谈判</w:t>
      </w:r>
      <w:r>
        <w:rPr>
          <w:rFonts w:hint="eastAsia" w:ascii="宋体" w:hAnsi="宋体" w:eastAsia="宋体" w:cs="宋体"/>
          <w:bCs/>
          <w:color w:val="auto"/>
          <w:sz w:val="24"/>
          <w:highlight w:val="none"/>
        </w:rPr>
        <w:t>过程中有关补充文件均作为合同附件，并与合同具有相同的法律效力。</w:t>
      </w:r>
    </w:p>
    <w:p w14:paraId="26B3D5E4">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13.4供应商应当按照合同履行义务，完成</w:t>
      </w:r>
      <w:r>
        <w:rPr>
          <w:rFonts w:hint="eastAsia" w:ascii="宋体" w:hAnsi="宋体" w:eastAsia="宋体" w:cs="宋体"/>
          <w:bCs/>
          <w:color w:val="auto"/>
          <w:sz w:val="24"/>
          <w:highlight w:val="none"/>
          <w:lang w:val="en-US" w:eastAsia="zh-CN"/>
        </w:rPr>
        <w:t>谈判</w:t>
      </w:r>
      <w:r>
        <w:rPr>
          <w:rFonts w:hint="eastAsia" w:ascii="宋体" w:hAnsi="宋体" w:eastAsia="宋体" w:cs="宋体"/>
          <w:bCs/>
          <w:color w:val="auto"/>
          <w:sz w:val="24"/>
          <w:highlight w:val="none"/>
        </w:rPr>
        <w:t>项目。未经采购人同意，成交供应商不得向他人分包、转包成交项目。</w:t>
      </w:r>
    </w:p>
    <w:p w14:paraId="0705CC17">
      <w:pPr>
        <w:spacing w:line="360" w:lineRule="auto"/>
        <w:ind w:firstLine="562" w:firstLineChars="200"/>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lang w:val="en-US" w:eastAsia="zh-CN"/>
        </w:rPr>
        <w:t>14.</w:t>
      </w:r>
      <w:r>
        <w:rPr>
          <w:rFonts w:hint="eastAsia" w:ascii="宋体" w:hAnsi="宋体" w:eastAsia="宋体" w:cs="宋体"/>
          <w:b/>
          <w:bCs w:val="0"/>
          <w:color w:val="auto"/>
          <w:sz w:val="28"/>
          <w:szCs w:val="28"/>
          <w:highlight w:val="none"/>
        </w:rPr>
        <w:t>验收</w:t>
      </w:r>
    </w:p>
    <w:p w14:paraId="4AAF2606">
      <w:pPr>
        <w:spacing w:line="360" w:lineRule="auto"/>
        <w:ind w:firstLine="480" w:firstLineChars="200"/>
        <w:rPr>
          <w:rFonts w:hint="eastAsia" w:ascii="宋体" w:hAnsi="宋体" w:eastAsia="宋体" w:cs="宋体"/>
          <w:b/>
          <w:bCs/>
          <w:color w:val="auto"/>
          <w:sz w:val="28"/>
          <w:szCs w:val="28"/>
        </w:rPr>
      </w:pPr>
      <w:r>
        <w:rPr>
          <w:rFonts w:hint="eastAsia" w:ascii="宋体" w:hAnsi="宋体" w:eastAsia="宋体" w:cs="宋体"/>
          <w:bCs/>
          <w:color w:val="auto"/>
          <w:sz w:val="24"/>
          <w:highlight w:val="none"/>
        </w:rPr>
        <w:t>项目完成后，成交供应商应当配合采购人提供验收需要的相关资料，按采购人要求的验收流程及措施对项目进行履约验收。</w:t>
      </w:r>
    </w:p>
    <w:p w14:paraId="2844E463">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七.询问、质疑与投诉</w:t>
      </w:r>
    </w:p>
    <w:p w14:paraId="58B25A56">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rPr>
        <w:t>1.询问</w:t>
      </w:r>
    </w:p>
    <w:p w14:paraId="40540640">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供应商对政府采购活动事项有疑问的，可以向采购人或采购代理机构提出询问，采购人或采购代理机构应当在3个工作日内作出答复，但答复的内容不得涉及商业秘密。供应商提出的询问超出采购人对采购代理机构委托授权范围的，采购代理机构应当告知其向采购人提出。</w:t>
      </w:r>
    </w:p>
    <w:p w14:paraId="47BB49E3">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rPr>
        <w:t>2.质疑</w:t>
      </w:r>
    </w:p>
    <w:p w14:paraId="366A97FC">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2.1供应商认为采购文件、采购过程、成交结果使自己的权益受到损害的，可以在知道或者应知其权益受到损害之日起7个工作日内，以书面形式向采购人、采购代理机构提出质疑。</w:t>
      </w:r>
    </w:p>
    <w:p w14:paraId="3AAD66D2">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供应商在法定质疑期内应当一次性提出针对同一采购程序环节的质疑。</w:t>
      </w:r>
    </w:p>
    <w:p w14:paraId="64A49554">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提出质疑的供应商应当是参与所质疑项目采购活动的供应商。</w:t>
      </w:r>
    </w:p>
    <w:p w14:paraId="52390DA0">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潜在供应商已依法获取其可质疑的采购文件的，可以对该文件提出质疑。对采购文件提出质疑的，应当在获取采购文件或者采购文件公告期限届满之日起7个工作日内提出。</w:t>
      </w:r>
    </w:p>
    <w:p w14:paraId="1058D985">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2.2采购人、采购代理机构应当在收到供应商的书面质疑后7个工作日内作出答复，并以书面形式通知质疑供应商和其他有关供应商，但答复的内容不得涉及商业秘密。</w:t>
      </w:r>
    </w:p>
    <w:p w14:paraId="1939D372">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2.3询问或者质疑事项可能影响成交结果的，采购人应当暂停签订合同，已经签订合同的，应当中止履行合同。</w:t>
      </w:r>
    </w:p>
    <w:p w14:paraId="74EC1AFE">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2.4供应商提出质疑应当提交质疑函和必要的证明材料。质疑函应当包括下列内容：</w:t>
      </w:r>
    </w:p>
    <w:p w14:paraId="572654E4">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（一）供应商的姓名或者名称、地址、邮编、联系人及联系电话；</w:t>
      </w:r>
    </w:p>
    <w:p w14:paraId="20F0DFC1">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（二）质疑项目的名称、编号；</w:t>
      </w:r>
    </w:p>
    <w:p w14:paraId="295014E0">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（三）具体、明确的质疑事项和与质疑事项相关的请求；</w:t>
      </w:r>
    </w:p>
    <w:p w14:paraId="3FAB71E5">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（四）事实依据；</w:t>
      </w:r>
    </w:p>
    <w:p w14:paraId="567DBA62">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（五）必要的法律依据；</w:t>
      </w:r>
    </w:p>
    <w:p w14:paraId="60B55B7C">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（六）提出质疑的日期。</w:t>
      </w:r>
    </w:p>
    <w:p w14:paraId="601493EB">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供应商为自然人的，应当由本人签字；供应商为法人或者其他组织的，应当由法定代表人、主要负责人，或者其授权代表签字或者盖章，并加盖公章。</w:t>
      </w:r>
    </w:p>
    <w:p w14:paraId="24D36976">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供应商可以委托代理人进行质疑，代理人提出质疑时应当提交供应商签署的授权委托书。其授权委托书应当载明代理人的姓名或者名称、代理事项、具体权限、期限和相关事项。</w:t>
      </w:r>
    </w:p>
    <w:p w14:paraId="3056FDFC">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2.5供应商提交的质疑函，应按照内蒙古自治区政府采购网中的“质疑函范本”制作。</w:t>
      </w:r>
    </w:p>
    <w:p w14:paraId="6172AAFF">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2.6接收质疑函的方式。为了使提出的质疑事项在规定时间内得到有效答复、处理，质疑可以由法定代表人或授权代表亲自将质疑函递交至采购人或采购代理机构，也可以通过邮寄、快递等方式提交。质疑函以邮寄、快递方式递交的，以邮寄件上的戳记日期、邮政快递件上的戳记日期和非邮政快递件上的签注日期为质疑提起日期。</w:t>
      </w:r>
    </w:p>
    <w:p w14:paraId="66387345">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接收质疑函的联系部门、联系电话、通讯地址（详见第一章谈判邀请）。</w:t>
      </w:r>
    </w:p>
    <w:p w14:paraId="4FEA1DB9">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rPr>
        <w:t>3.投诉</w:t>
      </w:r>
    </w:p>
    <w:p w14:paraId="4D0D297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3.1质疑人对采购人、采购代理机构的答复不满意或者采购人、采购代理机构未在规定的时间内作出书面答复的，可以在答复期满后15个工作日内向财政部门提起投诉。</w:t>
      </w:r>
    </w:p>
    <w:p w14:paraId="7DD9BFE6">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供应商投诉的事项不得超出已质疑事项的范围，但基于质疑答复内容提出的投诉事项除外。</w:t>
      </w:r>
    </w:p>
    <w:p w14:paraId="3568D353">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3.2 投诉人投诉时，应当提交投诉书和必要的证明材料，并按照被投诉采购人、采购代理机构（以下简称被投诉人）和与投诉事项有关的供应商数量提供投诉书的副本。投诉书应当包括下列内容：</w:t>
      </w:r>
    </w:p>
    <w:p w14:paraId="0277BF19">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（一）投诉人和被投诉人的姓名或者名称、通讯地址、邮编、联系人及联系电话；</w:t>
      </w:r>
    </w:p>
    <w:p w14:paraId="0DF03C24">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（二）质疑和质疑答复情况说明及相关证明材料；</w:t>
      </w:r>
    </w:p>
    <w:p w14:paraId="44525A4C">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（三）具体、明确的投诉事项和与投诉事项相关的投诉请求；</w:t>
      </w:r>
    </w:p>
    <w:p w14:paraId="508CFAD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（四）事实依据；</w:t>
      </w:r>
    </w:p>
    <w:p w14:paraId="5E67E323">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（五）法律依据；</w:t>
      </w:r>
    </w:p>
    <w:p w14:paraId="62AA2A3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（六）提起投诉的日期。</w:t>
      </w:r>
    </w:p>
    <w:p w14:paraId="0EE5842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投诉人为自然人的，应当由本人签字；投诉人为法人或者其他组织的，应当由法定代表人、主要负责人，或者其授权代表签字或者盖章，并加盖公章。</w:t>
      </w:r>
    </w:p>
    <w:p w14:paraId="23351AE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3.3投诉人提交的投诉书，应严格按照内蒙古自治区政府采购网中的“投诉书范本”制作。</w:t>
      </w:r>
    </w:p>
    <w:p w14:paraId="103041F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sectPr>
          <w:footerReference r:id="rId9" w:type="default"/>
          <w:pgSz w:w="11900" w:h="16840"/>
          <w:pgMar w:top="1440" w:right="1080" w:bottom="1440" w:left="1080" w:header="0" w:footer="0" w:gutter="0"/>
          <w:pgNumType w:fmt="decimal"/>
          <w:cols w:space="720" w:num="1"/>
        </w:sectPr>
      </w:pPr>
    </w:p>
    <w:p w14:paraId="71889E94">
      <w:pPr>
        <w:keepNext w:val="0"/>
        <w:keepLines w:val="0"/>
        <w:pageBreakBefore w:val="0"/>
        <w:overflowPunct/>
        <w:topLinePunct w:val="0"/>
        <w:bidi w:val="0"/>
        <w:spacing w:line="360" w:lineRule="auto"/>
        <w:jc w:val="center"/>
        <w:outlineLvl w:val="0"/>
        <w:rPr>
          <w:rFonts w:hint="eastAsia" w:ascii="宋体" w:hAnsi="宋体" w:eastAsia="宋体" w:cs="宋体"/>
          <w:color w:val="auto"/>
          <w:sz w:val="28"/>
          <w:szCs w:val="28"/>
        </w:rPr>
      </w:pPr>
      <w:bookmarkStart w:id="23" w:name="_Toc25272"/>
      <w:r>
        <w:rPr>
          <w:rFonts w:hint="eastAsia" w:ascii="宋体" w:hAnsi="宋体" w:eastAsia="宋体" w:cs="宋体"/>
          <w:b/>
          <w:bCs/>
          <w:color w:val="auto"/>
          <w:sz w:val="28"/>
          <w:szCs w:val="28"/>
        </w:rPr>
        <w:t>第三章 采购内容与技术要求</w:t>
      </w:r>
      <w:bookmarkEnd w:id="23"/>
    </w:p>
    <w:p w14:paraId="1234DFA4">
      <w:pPr>
        <w:keepNext w:val="0"/>
        <w:keepLines w:val="0"/>
        <w:pageBreakBefore w:val="0"/>
        <w:overflowPunct/>
        <w:topLinePunct w:val="0"/>
        <w:bidi w:val="0"/>
        <w:spacing w:line="360" w:lineRule="auto"/>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一.项目概况</w:t>
      </w:r>
    </w:p>
    <w:p w14:paraId="202F6694">
      <w:pPr>
        <w:keepNext w:val="0"/>
        <w:keepLines w:val="0"/>
        <w:pageBreakBefore w:val="0"/>
        <w:widowControl w:val="0"/>
        <w:tabs>
          <w:tab w:val="left" w:pos="453"/>
        </w:tabs>
        <w:kinsoku/>
        <w:wordWrap/>
        <w:overflowPunct/>
        <w:topLinePunct w:val="0"/>
        <w:autoSpaceDE/>
        <w:autoSpaceDN/>
        <w:bidi w:val="0"/>
        <w:adjustRightInd w:val="0"/>
        <w:snapToGrid w:val="0"/>
        <w:spacing w:line="360" w:lineRule="auto"/>
        <w:ind w:firstLine="560" w:firstLineChars="200"/>
        <w:jc w:val="both"/>
        <w:textAlignment w:val="auto"/>
        <w:rPr>
          <w:rFonts w:hint="eastAsia" w:ascii="宋体" w:hAnsi="宋体" w:eastAsia="宋体" w:cs="宋体"/>
          <w:snapToGrid/>
          <w:color w:val="auto"/>
          <w:kern w:val="0"/>
          <w:sz w:val="28"/>
          <w:szCs w:val="28"/>
        </w:rPr>
      </w:pPr>
      <w:r>
        <w:rPr>
          <w:rFonts w:hint="eastAsia" w:ascii="宋体" w:hAnsi="宋体" w:eastAsia="宋体" w:cs="宋体"/>
          <w:color w:val="auto"/>
          <w:sz w:val="28"/>
          <w:szCs w:val="28"/>
          <w:lang w:eastAsia="zh-CN"/>
        </w:rPr>
        <w:t>赤峰市生态环境局敖汉旗分局2026年实验室耗材采购</w:t>
      </w:r>
      <w:r>
        <w:rPr>
          <w:rFonts w:hint="eastAsia" w:ascii="宋体" w:hAnsi="宋体" w:eastAsia="宋体" w:cs="宋体"/>
          <w:snapToGrid/>
          <w:color w:val="auto"/>
          <w:kern w:val="0"/>
          <w:sz w:val="28"/>
          <w:szCs w:val="28"/>
        </w:rPr>
        <w:t>。</w:t>
      </w:r>
    </w:p>
    <w:p w14:paraId="18CED702">
      <w:pPr>
        <w:keepNext w:val="0"/>
        <w:keepLines w:val="0"/>
        <w:pageBreakBefore w:val="0"/>
        <w:overflowPunct/>
        <w:topLinePunct w:val="0"/>
        <w:bidi w:val="0"/>
        <w:spacing w:line="360" w:lineRule="auto"/>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二.主要商务要求、技术要求</w:t>
      </w:r>
    </w:p>
    <w:p w14:paraId="6AA297C0">
      <w:pPr>
        <w:keepNext w:val="0"/>
        <w:keepLines w:val="0"/>
        <w:pageBreakBefore w:val="0"/>
        <w:overflowPunct/>
        <w:topLinePunct w:val="0"/>
        <w:bidi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合同包1（</w:t>
      </w:r>
      <w:r>
        <w:rPr>
          <w:rFonts w:hint="eastAsia" w:ascii="宋体" w:hAnsi="宋体" w:eastAsia="宋体" w:cs="宋体"/>
          <w:color w:val="auto"/>
          <w:sz w:val="28"/>
          <w:szCs w:val="28"/>
          <w:lang w:eastAsia="zh-CN"/>
        </w:rPr>
        <w:t>赤峰市生态环境局敖汉旗分局2026年实验室耗材采购</w:t>
      </w:r>
      <w:r>
        <w:rPr>
          <w:rFonts w:hint="eastAsia" w:ascii="宋体" w:hAnsi="宋体" w:eastAsia="宋体" w:cs="宋体"/>
          <w:color w:val="auto"/>
          <w:sz w:val="28"/>
          <w:szCs w:val="28"/>
        </w:rPr>
        <w:t>）</w:t>
      </w:r>
    </w:p>
    <w:p w14:paraId="6EE5E997">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b/>
          <w:bCs/>
          <w:color w:val="auto"/>
          <w:sz w:val="28"/>
          <w:szCs w:val="28"/>
        </w:rPr>
        <w:t>1.主要商务要求</w:t>
      </w:r>
    </w:p>
    <w:tbl>
      <w:tblPr>
        <w:tblStyle w:val="14"/>
        <w:tblW w:w="975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58"/>
        <w:gridCol w:w="7495"/>
      </w:tblGrid>
      <w:tr w14:paraId="3A28E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trPr>
        <w:tc>
          <w:tcPr>
            <w:tcW w:w="2258" w:type="dxa"/>
            <w:vAlign w:val="top"/>
          </w:tcPr>
          <w:p w14:paraId="134D6737">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标的提供的时间</w:t>
            </w:r>
          </w:p>
        </w:tc>
        <w:tc>
          <w:tcPr>
            <w:tcW w:w="7495" w:type="dxa"/>
            <w:vAlign w:val="top"/>
          </w:tcPr>
          <w:p w14:paraId="720827CB">
            <w:pPr>
              <w:keepNext w:val="0"/>
              <w:keepLines w:val="0"/>
              <w:pageBreakBefore w:val="0"/>
              <w:overflowPunct/>
              <w:topLinePunct w:val="0"/>
              <w:bidi w:val="0"/>
              <w:spacing w:line="360" w:lineRule="auto"/>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自合同签订之日起20日内完成供货，货物送至采购人指定的现场地点，并负责卸货、安放到位。</w:t>
            </w:r>
          </w:p>
        </w:tc>
      </w:tr>
      <w:tr w14:paraId="6CA10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2258" w:type="dxa"/>
            <w:vAlign w:val="top"/>
          </w:tcPr>
          <w:p w14:paraId="21A4DDB7">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标的提供的地点</w:t>
            </w:r>
          </w:p>
        </w:tc>
        <w:tc>
          <w:tcPr>
            <w:tcW w:w="7495" w:type="dxa"/>
            <w:vAlign w:val="top"/>
          </w:tcPr>
          <w:p w14:paraId="3007D72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赤峰市生态环境局敖汉旗分局。</w:t>
            </w:r>
          </w:p>
        </w:tc>
      </w:tr>
      <w:tr w14:paraId="4A604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2258" w:type="dxa"/>
            <w:vAlign w:val="top"/>
          </w:tcPr>
          <w:p w14:paraId="161209CE">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p>
          <w:p w14:paraId="1937CE9B">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付款方式</w:t>
            </w:r>
          </w:p>
        </w:tc>
        <w:tc>
          <w:tcPr>
            <w:tcW w:w="7495" w:type="dxa"/>
            <w:vAlign w:val="top"/>
          </w:tcPr>
          <w:p w14:paraId="69A7981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供应商将</w:t>
            </w:r>
            <w:r>
              <w:rPr>
                <w:rFonts w:hint="eastAsia" w:ascii="宋体" w:hAnsi="宋体" w:eastAsia="宋体" w:cs="宋体"/>
                <w:color w:val="auto"/>
                <w:sz w:val="28"/>
                <w:szCs w:val="28"/>
                <w:lang w:eastAsia="zh-CN"/>
              </w:rPr>
              <w:t>全部货物送至交货地点、安装、调试、验收合格后凭《验收书》，供应商开支持效的发票。支付合同总价款的100%。</w:t>
            </w:r>
          </w:p>
        </w:tc>
      </w:tr>
      <w:tr w14:paraId="6BA84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2258" w:type="dxa"/>
            <w:vAlign w:val="top"/>
          </w:tcPr>
          <w:p w14:paraId="58BC9B4E">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验收要求</w:t>
            </w:r>
          </w:p>
        </w:tc>
        <w:tc>
          <w:tcPr>
            <w:tcW w:w="7495" w:type="dxa"/>
            <w:vAlign w:val="top"/>
          </w:tcPr>
          <w:p w14:paraId="768BDF4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各项性能指标达到技术要求、质量符合采购方要求并符合产品功能设计规定的各项标准，达到验收要求</w:t>
            </w:r>
            <w:r>
              <w:rPr>
                <w:rFonts w:hint="eastAsia" w:ascii="宋体" w:hAnsi="宋体" w:eastAsia="宋体" w:cs="宋体"/>
                <w:color w:val="auto"/>
                <w:sz w:val="28"/>
                <w:szCs w:val="28"/>
                <w:lang w:val="zh-CN" w:eastAsia="zh-CN"/>
              </w:rPr>
              <w:t>。</w:t>
            </w:r>
          </w:p>
        </w:tc>
      </w:tr>
      <w:tr w14:paraId="31D95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2258" w:type="dxa"/>
            <w:vAlign w:val="top"/>
          </w:tcPr>
          <w:p w14:paraId="6E6D80F2">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履约保证金</w:t>
            </w:r>
          </w:p>
        </w:tc>
        <w:tc>
          <w:tcPr>
            <w:tcW w:w="7495" w:type="dxa"/>
            <w:vAlign w:val="top"/>
          </w:tcPr>
          <w:p w14:paraId="07413BDB">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不收取</w:t>
            </w:r>
          </w:p>
        </w:tc>
      </w:tr>
      <w:tr w14:paraId="760CD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5" w:hRule="atLeast"/>
        </w:trPr>
        <w:tc>
          <w:tcPr>
            <w:tcW w:w="2258" w:type="dxa"/>
            <w:vAlign w:val="top"/>
          </w:tcPr>
          <w:p w14:paraId="7E2F0559">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0E69C14A">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lang w:eastAsia="zh-CN"/>
              </w:rPr>
              <w:t>其他</w:t>
            </w:r>
            <w:r>
              <w:rPr>
                <w:rFonts w:hint="eastAsia" w:ascii="宋体" w:hAnsi="宋体" w:eastAsia="宋体" w:cs="宋体"/>
                <w:color w:val="auto"/>
                <w:sz w:val="28"/>
                <w:szCs w:val="28"/>
              </w:rPr>
              <w:t>要求</w:t>
            </w:r>
          </w:p>
        </w:tc>
        <w:tc>
          <w:tcPr>
            <w:tcW w:w="7495" w:type="dxa"/>
            <w:vAlign w:val="top"/>
          </w:tcPr>
          <w:p w14:paraId="1C002617">
            <w:pPr>
              <w:keepNext w:val="0"/>
              <w:keepLines w:val="0"/>
              <w:pageBreakBefore w:val="0"/>
              <w:numPr>
                <w:ilvl w:val="0"/>
                <w:numId w:val="1"/>
              </w:numPr>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质保要求：质保期</w:t>
            </w:r>
            <w:r>
              <w:rPr>
                <w:rFonts w:hint="eastAsia" w:ascii="宋体" w:hAnsi="宋体" w:eastAsia="宋体" w:cs="宋体"/>
                <w:color w:val="auto"/>
                <w:sz w:val="28"/>
                <w:szCs w:val="28"/>
                <w:lang w:val="en-US" w:eastAsia="zh-CN"/>
              </w:rPr>
              <w:t>1年</w:t>
            </w:r>
            <w:r>
              <w:rPr>
                <w:rFonts w:hint="eastAsia" w:ascii="宋体" w:hAnsi="宋体" w:eastAsia="宋体" w:cs="宋体"/>
                <w:color w:val="auto"/>
                <w:sz w:val="28"/>
                <w:szCs w:val="28"/>
              </w:rPr>
              <w:t>，质保期内提供全免费保修、维护</w:t>
            </w:r>
          </w:p>
          <w:p w14:paraId="4C81B133">
            <w:pPr>
              <w:keepNext w:val="0"/>
              <w:keepLines w:val="0"/>
              <w:pageBreakBefore w:val="0"/>
              <w:numPr>
                <w:ilvl w:val="0"/>
                <w:numId w:val="0"/>
              </w:numPr>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2</w:t>
            </w:r>
            <w:r>
              <w:rPr>
                <w:rFonts w:hint="eastAsia" w:ascii="宋体" w:hAnsi="宋体" w:eastAsia="宋体" w:cs="宋体"/>
                <w:color w:val="auto"/>
                <w:sz w:val="28"/>
                <w:szCs w:val="28"/>
              </w:rPr>
              <w:t>、运输要求：拥有与所供产品储运、配送相适应的设备、设施，保证仓储安全和运输安全。运输过程中严格按相关规范执行，确保安全送到交货地点，节假日照常配送。</w:t>
            </w:r>
          </w:p>
          <w:p w14:paraId="5743FEFC">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rPr>
              <w:t>、售后服务要求：对于采购人提出的质量问题，中标人需在48小时响应，并提出解决方案，确认需更换的设备更换时限为5日历日。</w:t>
            </w:r>
          </w:p>
          <w:p w14:paraId="56511578">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4、</w:t>
            </w:r>
            <w:r>
              <w:rPr>
                <w:rFonts w:hint="eastAsia" w:ascii="宋体" w:hAnsi="宋体" w:eastAsia="宋体" w:cs="宋体"/>
                <w:color w:val="auto"/>
                <w:sz w:val="28"/>
                <w:szCs w:val="28"/>
              </w:rPr>
              <w:t>供应商应保证所投产品为全新原厂正品，严禁翻新、改装</w:t>
            </w:r>
          </w:p>
          <w:p w14:paraId="6E02477B">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成交供应商无正当理由拒不签订合同，采购单位可取消资格并追究责任</w:t>
            </w:r>
            <w:r>
              <w:rPr>
                <w:rFonts w:hint="eastAsia" w:ascii="宋体" w:hAnsi="宋体" w:eastAsia="宋体" w:cs="宋体"/>
                <w:color w:val="auto"/>
                <w:sz w:val="28"/>
                <w:szCs w:val="28"/>
                <w:lang w:eastAsia="zh-CN"/>
              </w:rPr>
              <w:t>。</w:t>
            </w:r>
          </w:p>
        </w:tc>
      </w:tr>
    </w:tbl>
    <w:p w14:paraId="460E2A36">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76B7669E">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2.技术要求</w:t>
      </w:r>
    </w:p>
    <w:tbl>
      <w:tblPr>
        <w:tblStyle w:val="14"/>
        <w:tblW w:w="975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
        <w:gridCol w:w="1164"/>
        <w:gridCol w:w="2070"/>
        <w:gridCol w:w="750"/>
        <w:gridCol w:w="720"/>
        <w:gridCol w:w="1065"/>
        <w:gridCol w:w="1050"/>
        <w:gridCol w:w="930"/>
        <w:gridCol w:w="765"/>
        <w:gridCol w:w="825"/>
      </w:tblGrid>
      <w:tr w14:paraId="4DFA4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 w:hRule="atLeast"/>
        </w:trPr>
        <w:tc>
          <w:tcPr>
            <w:tcW w:w="414" w:type="dxa"/>
            <w:textDirection w:val="tbRlV"/>
            <w:vAlign w:val="top"/>
          </w:tcPr>
          <w:p w14:paraId="585D35E2">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序  号</w:t>
            </w:r>
          </w:p>
        </w:tc>
        <w:tc>
          <w:tcPr>
            <w:tcW w:w="1164" w:type="dxa"/>
            <w:vAlign w:val="top"/>
          </w:tcPr>
          <w:p w14:paraId="3BB796FA">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核心</w:t>
            </w:r>
          </w:p>
          <w:p w14:paraId="6E2A2FA6">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产品</w:t>
            </w:r>
          </w:p>
          <w:p w14:paraId="5F97D305">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w:t>
            </w:r>
          </w:p>
        </w:tc>
        <w:tc>
          <w:tcPr>
            <w:tcW w:w="2070" w:type="dxa"/>
            <w:vAlign w:val="top"/>
          </w:tcPr>
          <w:p w14:paraId="65AEA0DE">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标的名称</w:t>
            </w:r>
          </w:p>
        </w:tc>
        <w:tc>
          <w:tcPr>
            <w:tcW w:w="750" w:type="dxa"/>
            <w:vAlign w:val="top"/>
          </w:tcPr>
          <w:p w14:paraId="7AADFF4C">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单位</w:t>
            </w:r>
          </w:p>
        </w:tc>
        <w:tc>
          <w:tcPr>
            <w:tcW w:w="720" w:type="dxa"/>
            <w:vAlign w:val="top"/>
          </w:tcPr>
          <w:p w14:paraId="00503BE0">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数量</w:t>
            </w:r>
          </w:p>
        </w:tc>
        <w:tc>
          <w:tcPr>
            <w:tcW w:w="1065" w:type="dxa"/>
            <w:vAlign w:val="top"/>
          </w:tcPr>
          <w:p w14:paraId="35370790">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分项预算单价</w:t>
            </w:r>
          </w:p>
          <w:p w14:paraId="0C2F44D1">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（元）</w:t>
            </w:r>
          </w:p>
        </w:tc>
        <w:tc>
          <w:tcPr>
            <w:tcW w:w="1050" w:type="dxa"/>
            <w:vAlign w:val="top"/>
          </w:tcPr>
          <w:p w14:paraId="5071FDA4">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分项预算总价</w:t>
            </w:r>
          </w:p>
          <w:p w14:paraId="2C0CA734">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（元）</w:t>
            </w:r>
          </w:p>
        </w:tc>
        <w:tc>
          <w:tcPr>
            <w:tcW w:w="930" w:type="dxa"/>
            <w:vAlign w:val="top"/>
          </w:tcPr>
          <w:p w14:paraId="3AD3654C">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面向对</w:t>
            </w:r>
          </w:p>
          <w:p w14:paraId="092AD78D">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象情况</w:t>
            </w:r>
          </w:p>
        </w:tc>
        <w:tc>
          <w:tcPr>
            <w:tcW w:w="765" w:type="dxa"/>
            <w:vAlign w:val="top"/>
          </w:tcPr>
          <w:p w14:paraId="4F34F14B">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所属</w:t>
            </w:r>
          </w:p>
          <w:p w14:paraId="13FA55E4">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行业</w:t>
            </w:r>
          </w:p>
        </w:tc>
        <w:tc>
          <w:tcPr>
            <w:tcW w:w="825" w:type="dxa"/>
            <w:vAlign w:val="top"/>
          </w:tcPr>
          <w:p w14:paraId="219C966F">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技术</w:t>
            </w:r>
          </w:p>
          <w:p w14:paraId="119B354A">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要求</w:t>
            </w:r>
          </w:p>
        </w:tc>
      </w:tr>
      <w:tr w14:paraId="0993FA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414" w:type="dxa"/>
            <w:vAlign w:val="top"/>
          </w:tcPr>
          <w:p w14:paraId="1769D38D">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p>
          <w:p w14:paraId="552D53DF">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1</w:t>
            </w:r>
          </w:p>
        </w:tc>
        <w:tc>
          <w:tcPr>
            <w:tcW w:w="1164" w:type="dxa"/>
            <w:vAlign w:val="top"/>
          </w:tcPr>
          <w:p w14:paraId="58E697CF">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p>
        </w:tc>
        <w:tc>
          <w:tcPr>
            <w:tcW w:w="2070" w:type="dxa"/>
            <w:vAlign w:val="top"/>
          </w:tcPr>
          <w:p w14:paraId="2A1288DF">
            <w:pPr>
              <w:keepNext w:val="0"/>
              <w:keepLines w:val="0"/>
              <w:pageBreakBefore w:val="0"/>
              <w:overflowPunct/>
              <w:topLinePunct w:val="0"/>
              <w:bidi w:val="0"/>
              <w:spacing w:line="360" w:lineRule="auto"/>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赤峰市生态环境局敖汉旗分局2026年实验室耗材采购</w:t>
            </w:r>
          </w:p>
        </w:tc>
        <w:tc>
          <w:tcPr>
            <w:tcW w:w="750" w:type="dxa"/>
            <w:vAlign w:val="top"/>
          </w:tcPr>
          <w:p w14:paraId="57CFE530">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p>
          <w:p w14:paraId="7F734D24">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项</w:t>
            </w:r>
          </w:p>
        </w:tc>
        <w:tc>
          <w:tcPr>
            <w:tcW w:w="720" w:type="dxa"/>
            <w:vAlign w:val="top"/>
          </w:tcPr>
          <w:p w14:paraId="49F7F84A">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p>
          <w:p w14:paraId="3BD93555">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1</w:t>
            </w:r>
          </w:p>
        </w:tc>
        <w:tc>
          <w:tcPr>
            <w:tcW w:w="1065" w:type="dxa"/>
            <w:vAlign w:val="top"/>
          </w:tcPr>
          <w:p w14:paraId="4D36D452">
            <w:pPr>
              <w:keepNext w:val="0"/>
              <w:keepLines w:val="0"/>
              <w:pageBreakBefore w:val="0"/>
              <w:overflowPunct/>
              <w:topLinePunct w:val="0"/>
              <w:bidi w:val="0"/>
              <w:spacing w:line="360" w:lineRule="auto"/>
              <w:jc w:val="center"/>
              <w:rPr>
                <w:rFonts w:hint="eastAsia" w:ascii="宋体" w:hAnsi="宋体" w:eastAsia="宋体" w:cs="宋体"/>
                <w:color w:val="auto"/>
                <w:sz w:val="24"/>
                <w:szCs w:val="24"/>
              </w:rPr>
            </w:pPr>
          </w:p>
          <w:p w14:paraId="03D36857">
            <w:pPr>
              <w:keepNext w:val="0"/>
              <w:keepLines w:val="0"/>
              <w:pageBreakBefore w:val="0"/>
              <w:overflowPunct/>
              <w:topLinePunct w:val="0"/>
              <w:bidi w:val="0"/>
              <w:spacing w:line="360" w:lineRule="auto"/>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93475.00</w:t>
            </w:r>
          </w:p>
        </w:tc>
        <w:tc>
          <w:tcPr>
            <w:tcW w:w="1050" w:type="dxa"/>
            <w:vAlign w:val="top"/>
          </w:tcPr>
          <w:p w14:paraId="51BA8EE3">
            <w:pPr>
              <w:keepNext w:val="0"/>
              <w:keepLines w:val="0"/>
              <w:pageBreakBefore w:val="0"/>
              <w:overflowPunct/>
              <w:topLinePunct w:val="0"/>
              <w:bidi w:val="0"/>
              <w:spacing w:line="360" w:lineRule="auto"/>
              <w:jc w:val="center"/>
              <w:rPr>
                <w:rFonts w:hint="eastAsia" w:ascii="宋体" w:hAnsi="宋体" w:eastAsia="宋体" w:cs="宋体"/>
                <w:color w:val="auto"/>
                <w:sz w:val="24"/>
                <w:szCs w:val="24"/>
              </w:rPr>
            </w:pPr>
          </w:p>
          <w:p w14:paraId="6D8CA8ED">
            <w:pPr>
              <w:keepNext w:val="0"/>
              <w:keepLines w:val="0"/>
              <w:pageBreakBefore w:val="0"/>
              <w:overflowPunct/>
              <w:topLinePunct w:val="0"/>
              <w:bidi w:val="0"/>
              <w:spacing w:line="360" w:lineRule="auto"/>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93475.00</w:t>
            </w:r>
          </w:p>
        </w:tc>
        <w:tc>
          <w:tcPr>
            <w:tcW w:w="930" w:type="dxa"/>
            <w:vAlign w:val="top"/>
          </w:tcPr>
          <w:p w14:paraId="38AA1A9E">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lang w:eastAsia="zh-CN"/>
              </w:rPr>
              <w:t>非</w:t>
            </w:r>
            <w:r>
              <w:rPr>
                <w:rFonts w:hint="eastAsia" w:ascii="宋体" w:hAnsi="宋体" w:eastAsia="宋体" w:cs="宋体"/>
                <w:color w:val="auto"/>
                <w:sz w:val="28"/>
                <w:szCs w:val="28"/>
              </w:rPr>
              <w:t>面向中小企业</w:t>
            </w:r>
          </w:p>
        </w:tc>
        <w:tc>
          <w:tcPr>
            <w:tcW w:w="765" w:type="dxa"/>
            <w:vAlign w:val="top"/>
          </w:tcPr>
          <w:p w14:paraId="410B34DD">
            <w:pPr>
              <w:keepNext w:val="0"/>
              <w:keepLines w:val="0"/>
              <w:pageBreakBefore w:val="0"/>
              <w:overflowPunct/>
              <w:topLinePunct w:val="0"/>
              <w:bidi w:val="0"/>
              <w:spacing w:line="360" w:lineRule="auto"/>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零售业</w:t>
            </w:r>
          </w:p>
        </w:tc>
        <w:tc>
          <w:tcPr>
            <w:tcW w:w="825" w:type="dxa"/>
            <w:vAlign w:val="top"/>
          </w:tcPr>
          <w:p w14:paraId="070A575C">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详见附表一</w:t>
            </w:r>
          </w:p>
        </w:tc>
      </w:tr>
    </w:tbl>
    <w:p w14:paraId="1FFBCC06">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101E5571">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4B8DBD0F">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713027E7">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66FCA25D">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5222891F">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62986B1B">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59F2C101">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23DC4F97">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089AE886">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14068827">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0546AED5">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75A75C4C">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19271CFC">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163212A7">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1BDC618A">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06D38F81">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附表一：</w:t>
      </w:r>
      <w:r>
        <w:rPr>
          <w:rFonts w:hint="eastAsia" w:ascii="宋体" w:hAnsi="宋体" w:eastAsia="宋体" w:cs="宋体"/>
          <w:color w:val="auto"/>
          <w:sz w:val="28"/>
          <w:szCs w:val="28"/>
          <w:lang w:eastAsia="zh-CN"/>
        </w:rPr>
        <w:t>赤峰市生态环境局敖汉旗分局2026年实验室耗材采购</w:t>
      </w:r>
      <w:r>
        <w:rPr>
          <w:rFonts w:hint="eastAsia" w:ascii="宋体" w:hAnsi="宋体" w:eastAsia="宋体" w:cs="宋体"/>
          <w:color w:val="auto"/>
          <w:sz w:val="28"/>
          <w:szCs w:val="28"/>
        </w:rPr>
        <w:t xml:space="preserve">  </w:t>
      </w:r>
    </w:p>
    <w:p w14:paraId="5FE4E85A">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是否允许进口： 否</w:t>
      </w:r>
    </w:p>
    <w:tbl>
      <w:tblPr>
        <w:tblStyle w:val="12"/>
        <w:tblW w:w="976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1"/>
        <w:gridCol w:w="4297"/>
        <w:gridCol w:w="1590"/>
        <w:gridCol w:w="765"/>
        <w:gridCol w:w="780"/>
        <w:gridCol w:w="698"/>
        <w:gridCol w:w="817"/>
      </w:tblGrid>
      <w:tr w14:paraId="6D244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68" w:type="dxa"/>
            <w:gridSpan w:val="7"/>
            <w:tcBorders>
              <w:top w:val="nil"/>
              <w:left w:val="nil"/>
              <w:bottom w:val="nil"/>
              <w:right w:val="nil"/>
            </w:tcBorders>
            <w:shd w:val="clear" w:color="auto" w:fill="auto"/>
            <w:noWrap/>
            <w:vAlign w:val="center"/>
          </w:tcPr>
          <w:p w14:paraId="56393F38">
            <w:pPr>
              <w:keepNext w:val="0"/>
              <w:keepLines w:val="0"/>
              <w:widowControl/>
              <w:suppressLineNumbers w:val="0"/>
              <w:jc w:val="center"/>
              <w:textAlignment w:val="center"/>
              <w:rPr>
                <w:rFonts w:hint="eastAsia" w:ascii="宋体" w:hAnsi="宋体" w:eastAsia="宋体" w:cs="宋体"/>
                <w:b/>
                <w:bCs/>
                <w:i w:val="0"/>
                <w:iCs w:val="0"/>
                <w:color w:val="auto"/>
                <w:sz w:val="32"/>
                <w:szCs w:val="32"/>
                <w:u w:val="none"/>
              </w:rPr>
            </w:pPr>
            <w:r>
              <w:rPr>
                <w:rFonts w:hint="eastAsia" w:ascii="宋体" w:hAnsi="宋体" w:eastAsia="宋体" w:cs="宋体"/>
                <w:b/>
                <w:bCs/>
                <w:i w:val="0"/>
                <w:iCs w:val="0"/>
                <w:snapToGrid w:val="0"/>
                <w:color w:val="auto"/>
                <w:kern w:val="0"/>
                <w:sz w:val="32"/>
                <w:szCs w:val="32"/>
                <w:u w:val="none"/>
                <w:lang w:val="en-US" w:eastAsia="zh-CN" w:bidi="ar"/>
              </w:rPr>
              <w:t>1.日常易耗品</w:t>
            </w:r>
          </w:p>
        </w:tc>
      </w:tr>
      <w:tr w14:paraId="3D258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1" w:type="dxa"/>
            <w:tcBorders>
              <w:top w:val="single" w:color="000000" w:sz="4" w:space="0"/>
              <w:left w:val="single" w:color="000000" w:sz="4" w:space="0"/>
              <w:bottom w:val="nil"/>
              <w:right w:val="single" w:color="000000" w:sz="4" w:space="0"/>
            </w:tcBorders>
            <w:shd w:val="clear" w:color="auto" w:fill="auto"/>
            <w:noWrap/>
            <w:vAlign w:val="center"/>
          </w:tcPr>
          <w:p w14:paraId="0B0DA49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序号</w:t>
            </w:r>
          </w:p>
        </w:tc>
        <w:tc>
          <w:tcPr>
            <w:tcW w:w="4297" w:type="dxa"/>
            <w:tcBorders>
              <w:top w:val="single" w:color="000000" w:sz="4" w:space="0"/>
              <w:left w:val="single" w:color="000000" w:sz="4" w:space="0"/>
              <w:bottom w:val="nil"/>
              <w:right w:val="single" w:color="000000" w:sz="4" w:space="0"/>
            </w:tcBorders>
            <w:shd w:val="clear" w:color="auto" w:fill="auto"/>
            <w:noWrap/>
            <w:vAlign w:val="center"/>
          </w:tcPr>
          <w:p w14:paraId="5F0B83A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名称</w:t>
            </w:r>
          </w:p>
        </w:tc>
        <w:tc>
          <w:tcPr>
            <w:tcW w:w="1590" w:type="dxa"/>
            <w:tcBorders>
              <w:top w:val="single" w:color="000000" w:sz="4" w:space="0"/>
              <w:left w:val="single" w:color="000000" w:sz="4" w:space="0"/>
              <w:bottom w:val="nil"/>
              <w:right w:val="single" w:color="000000" w:sz="4" w:space="0"/>
            </w:tcBorders>
            <w:shd w:val="clear" w:color="auto" w:fill="auto"/>
            <w:noWrap/>
            <w:vAlign w:val="center"/>
          </w:tcPr>
          <w:p w14:paraId="41339FF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级别</w:t>
            </w:r>
          </w:p>
        </w:tc>
        <w:tc>
          <w:tcPr>
            <w:tcW w:w="765" w:type="dxa"/>
            <w:tcBorders>
              <w:top w:val="single" w:color="000000" w:sz="4" w:space="0"/>
              <w:left w:val="single" w:color="000000" w:sz="4" w:space="0"/>
              <w:bottom w:val="nil"/>
              <w:right w:val="single" w:color="000000" w:sz="4" w:space="0"/>
            </w:tcBorders>
            <w:shd w:val="clear" w:color="auto" w:fill="auto"/>
            <w:noWrap/>
            <w:vAlign w:val="center"/>
          </w:tcPr>
          <w:p w14:paraId="64A1B10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单位</w:t>
            </w:r>
          </w:p>
        </w:tc>
        <w:tc>
          <w:tcPr>
            <w:tcW w:w="780" w:type="dxa"/>
            <w:tcBorders>
              <w:top w:val="single" w:color="000000" w:sz="4" w:space="0"/>
              <w:left w:val="single" w:color="000000" w:sz="4" w:space="0"/>
              <w:bottom w:val="nil"/>
              <w:right w:val="single" w:color="000000" w:sz="4" w:space="0"/>
            </w:tcBorders>
            <w:shd w:val="clear" w:color="auto" w:fill="auto"/>
            <w:noWrap/>
            <w:vAlign w:val="center"/>
          </w:tcPr>
          <w:p w14:paraId="3245D0B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数量</w:t>
            </w:r>
          </w:p>
        </w:tc>
        <w:tc>
          <w:tcPr>
            <w:tcW w:w="698" w:type="dxa"/>
            <w:tcBorders>
              <w:top w:val="single" w:color="000000" w:sz="4" w:space="0"/>
              <w:left w:val="single" w:color="000000" w:sz="4" w:space="0"/>
              <w:bottom w:val="nil"/>
              <w:right w:val="single" w:color="000000" w:sz="4" w:space="0"/>
            </w:tcBorders>
            <w:shd w:val="clear" w:color="auto" w:fill="auto"/>
            <w:noWrap/>
            <w:vAlign w:val="center"/>
          </w:tcPr>
          <w:p w14:paraId="09487AA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单价</w:t>
            </w:r>
          </w:p>
        </w:tc>
        <w:tc>
          <w:tcPr>
            <w:tcW w:w="817" w:type="dxa"/>
            <w:tcBorders>
              <w:top w:val="single" w:color="000000" w:sz="4" w:space="0"/>
              <w:left w:val="single" w:color="000000" w:sz="4" w:space="0"/>
              <w:bottom w:val="nil"/>
              <w:right w:val="single" w:color="000000" w:sz="4" w:space="0"/>
            </w:tcBorders>
            <w:shd w:val="clear" w:color="auto" w:fill="auto"/>
            <w:noWrap/>
            <w:vAlign w:val="center"/>
          </w:tcPr>
          <w:p w14:paraId="13261F8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总价</w:t>
            </w:r>
          </w:p>
        </w:tc>
      </w:tr>
      <w:tr w14:paraId="3C860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894F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A6DE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安瓿瓶开瓶器</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7368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多尺寸</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16EC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个</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9483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E26D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7D556">
            <w:pPr>
              <w:keepNext w:val="0"/>
              <w:keepLines w:val="0"/>
              <w:widowControl/>
              <w:suppressLineNumbers w:val="0"/>
              <w:jc w:val="righ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100</w:t>
            </w:r>
          </w:p>
        </w:tc>
      </w:tr>
      <w:tr w14:paraId="2B2FE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67D7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EB6D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油水分离膜（虹远科仪（天津）科技有限公司）</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D0E4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30mm</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9C1A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盒</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50CE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951E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550</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60934">
            <w:pPr>
              <w:keepNext w:val="0"/>
              <w:keepLines w:val="0"/>
              <w:widowControl/>
              <w:suppressLineNumbers w:val="0"/>
              <w:jc w:val="righ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1100</w:t>
            </w:r>
          </w:p>
        </w:tc>
      </w:tr>
      <w:tr w14:paraId="722B6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424B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E329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镉空心阴极灯（北京普析AFG型原子吸收分光光度计专用）</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D62F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北京普析AFG型</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CE05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个</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3533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AB9F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300</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DA457">
            <w:pPr>
              <w:keepNext w:val="0"/>
              <w:keepLines w:val="0"/>
              <w:widowControl/>
              <w:suppressLineNumbers w:val="0"/>
              <w:jc w:val="righ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600</w:t>
            </w:r>
          </w:p>
        </w:tc>
      </w:tr>
      <w:tr w14:paraId="617F0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39E2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A34A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化玻圈</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0676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小号</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68DF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个</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B187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FD0A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1.5</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DE33F">
            <w:pPr>
              <w:keepNext w:val="0"/>
              <w:keepLines w:val="0"/>
              <w:widowControl/>
              <w:suppressLineNumbers w:val="0"/>
              <w:jc w:val="righ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300</w:t>
            </w:r>
          </w:p>
        </w:tc>
      </w:tr>
      <w:tr w14:paraId="6D528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F844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5ADA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化玻圈</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3FD9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大号</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6450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个</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6C7A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1C52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1.5</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4B424">
            <w:pPr>
              <w:keepNext w:val="0"/>
              <w:keepLines w:val="0"/>
              <w:widowControl/>
              <w:suppressLineNumbers w:val="0"/>
              <w:jc w:val="righ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300</w:t>
            </w:r>
          </w:p>
        </w:tc>
      </w:tr>
      <w:tr w14:paraId="22BFD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0FD6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6</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60E5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洗耳球</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3022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小号</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9764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个</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DC49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3680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AE52E">
            <w:pPr>
              <w:keepNext w:val="0"/>
              <w:keepLines w:val="0"/>
              <w:widowControl/>
              <w:suppressLineNumbers w:val="0"/>
              <w:jc w:val="righ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150</w:t>
            </w:r>
          </w:p>
        </w:tc>
      </w:tr>
      <w:tr w14:paraId="62D80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275D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7</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69AE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具塞磨口比色管（普析原子荧光分光光度计专用）</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04D8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25ml</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C3D5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个</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0F45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92ED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00952">
            <w:pPr>
              <w:keepNext w:val="0"/>
              <w:keepLines w:val="0"/>
              <w:widowControl/>
              <w:suppressLineNumbers w:val="0"/>
              <w:jc w:val="righ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500</w:t>
            </w:r>
          </w:p>
        </w:tc>
      </w:tr>
      <w:tr w14:paraId="2D19A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3E55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8</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60C9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具塞磨口比色管（普析原子荧光分光光度计专用）</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A6D3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50ml</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E63A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个</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50F3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481E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15</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60C59">
            <w:pPr>
              <w:keepNext w:val="0"/>
              <w:keepLines w:val="0"/>
              <w:widowControl/>
              <w:suppressLineNumbers w:val="0"/>
              <w:jc w:val="righ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750</w:t>
            </w:r>
          </w:p>
        </w:tc>
      </w:tr>
      <w:tr w14:paraId="13F1E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E97A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14B8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丝口棕色玻璃采样瓶</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B136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250ml</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0B75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个</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86AE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AE82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5B1DA">
            <w:pPr>
              <w:keepNext w:val="0"/>
              <w:keepLines w:val="0"/>
              <w:widowControl/>
              <w:suppressLineNumbers w:val="0"/>
              <w:jc w:val="righ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400</w:t>
            </w:r>
          </w:p>
        </w:tc>
      </w:tr>
      <w:tr w14:paraId="56663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080A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6DCA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丝口棕色玻璃采样瓶</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1D7D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500ml</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68E3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个</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8A9F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8D0D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047CD">
            <w:pPr>
              <w:keepNext w:val="0"/>
              <w:keepLines w:val="0"/>
              <w:widowControl/>
              <w:suppressLineNumbers w:val="0"/>
              <w:jc w:val="righ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400</w:t>
            </w:r>
          </w:p>
        </w:tc>
      </w:tr>
      <w:tr w14:paraId="5FF40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634C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11</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20D0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丝口棕色玻璃采样瓶</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0983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1000ml</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F1C6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个</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8AA0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5290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98EC1">
            <w:pPr>
              <w:keepNext w:val="0"/>
              <w:keepLines w:val="0"/>
              <w:widowControl/>
              <w:suppressLineNumbers w:val="0"/>
              <w:jc w:val="righ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250</w:t>
            </w:r>
          </w:p>
        </w:tc>
      </w:tr>
      <w:tr w14:paraId="15CFE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F16E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12</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17C2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白色塑料采样瓶</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DEED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500ml</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8FBF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个</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E629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B549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A0E3F">
            <w:pPr>
              <w:keepNext w:val="0"/>
              <w:keepLines w:val="0"/>
              <w:widowControl/>
              <w:suppressLineNumbers w:val="0"/>
              <w:jc w:val="righ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2000</w:t>
            </w:r>
          </w:p>
        </w:tc>
      </w:tr>
      <w:tr w14:paraId="638DF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3E9D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13</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B952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白色塑料采样瓶</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E918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250ml</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1A87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个</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B8C4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2BF8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0B730">
            <w:pPr>
              <w:keepNext w:val="0"/>
              <w:keepLines w:val="0"/>
              <w:widowControl/>
              <w:suppressLineNumbers w:val="0"/>
              <w:jc w:val="righ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1500</w:t>
            </w:r>
          </w:p>
        </w:tc>
      </w:tr>
      <w:tr w14:paraId="393EB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FF33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14</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9269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棕色酸式滴定管</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1261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50ml</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C848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个</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9DCF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2B71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60</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2B17A">
            <w:pPr>
              <w:keepNext w:val="0"/>
              <w:keepLines w:val="0"/>
              <w:widowControl/>
              <w:suppressLineNumbers w:val="0"/>
              <w:jc w:val="righ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300</w:t>
            </w:r>
          </w:p>
        </w:tc>
      </w:tr>
      <w:tr w14:paraId="402FF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A6A2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15</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CC83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白色酸式滴定管</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0E19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50ml</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A854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个</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8B8E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8615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60</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1CDD9">
            <w:pPr>
              <w:keepNext w:val="0"/>
              <w:keepLines w:val="0"/>
              <w:widowControl/>
              <w:suppressLineNumbers w:val="0"/>
              <w:jc w:val="righ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300</w:t>
            </w:r>
          </w:p>
        </w:tc>
      </w:tr>
      <w:tr w14:paraId="10C90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5C30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16</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E27F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锥形瓶</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7D2A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150ml</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4B7E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个</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8944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E122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A81BB">
            <w:pPr>
              <w:keepNext w:val="0"/>
              <w:keepLines w:val="0"/>
              <w:widowControl/>
              <w:suppressLineNumbers w:val="0"/>
              <w:jc w:val="righ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300</w:t>
            </w:r>
          </w:p>
        </w:tc>
      </w:tr>
      <w:tr w14:paraId="5DAB2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6A92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17</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D809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白色容量瓶</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43B3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1000ml</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0FEA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个</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2334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DB7A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30</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D67FB">
            <w:pPr>
              <w:keepNext w:val="0"/>
              <w:keepLines w:val="0"/>
              <w:widowControl/>
              <w:suppressLineNumbers w:val="0"/>
              <w:jc w:val="righ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600</w:t>
            </w:r>
          </w:p>
        </w:tc>
      </w:tr>
      <w:tr w14:paraId="30195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1484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18</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C7CE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烧杯</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D630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250ml</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8BBA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个</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8ED4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828A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126F8">
            <w:pPr>
              <w:keepNext w:val="0"/>
              <w:keepLines w:val="0"/>
              <w:widowControl/>
              <w:suppressLineNumbers w:val="0"/>
              <w:jc w:val="righ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200</w:t>
            </w:r>
          </w:p>
        </w:tc>
      </w:tr>
      <w:tr w14:paraId="200E0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C8C8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19</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F258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烧杯</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66E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100ml</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FA54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个</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6265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3675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59C9D">
            <w:pPr>
              <w:keepNext w:val="0"/>
              <w:keepLines w:val="0"/>
              <w:widowControl/>
              <w:suppressLineNumbers w:val="0"/>
              <w:jc w:val="righ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200</w:t>
            </w:r>
          </w:p>
        </w:tc>
      </w:tr>
      <w:tr w14:paraId="0C1DF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0A2B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4645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石英比色皿</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437C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1CM</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A4A7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个</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CF3F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8DC1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95</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4C659">
            <w:pPr>
              <w:keepNext w:val="0"/>
              <w:keepLines w:val="0"/>
              <w:widowControl/>
              <w:suppressLineNumbers w:val="0"/>
              <w:jc w:val="righ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1900</w:t>
            </w:r>
          </w:p>
        </w:tc>
      </w:tr>
      <w:tr w14:paraId="2AC4A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DD68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21</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D5B9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水温计</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ED7C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-20-110℃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A62F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个</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9057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FA80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100</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1B4A1">
            <w:pPr>
              <w:keepNext w:val="0"/>
              <w:keepLines w:val="0"/>
              <w:widowControl/>
              <w:suppressLineNumbers w:val="0"/>
              <w:jc w:val="righ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500</w:t>
            </w:r>
          </w:p>
        </w:tc>
      </w:tr>
      <w:tr w14:paraId="40D3E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B705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22</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6B4A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玻璃比色皿</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97C0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2CM</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A71A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个</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EB6B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26E4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14</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040C8">
            <w:pPr>
              <w:keepNext w:val="0"/>
              <w:keepLines w:val="0"/>
              <w:widowControl/>
              <w:suppressLineNumbers w:val="0"/>
              <w:jc w:val="righ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280</w:t>
            </w:r>
          </w:p>
        </w:tc>
      </w:tr>
      <w:tr w14:paraId="433C8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04C5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23</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1EC9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石油类采样器</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CD15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F75F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套</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B2B9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E1B2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1700</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C5403">
            <w:pPr>
              <w:keepNext w:val="0"/>
              <w:keepLines w:val="0"/>
              <w:widowControl/>
              <w:suppressLineNumbers w:val="0"/>
              <w:jc w:val="righ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1700</w:t>
            </w:r>
          </w:p>
        </w:tc>
      </w:tr>
      <w:tr w14:paraId="28099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6EB2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24</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2368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氰化物蒸馏瓶</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F99F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500ml</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7FF5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套</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4107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2813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60</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A7C57">
            <w:pPr>
              <w:keepNext w:val="0"/>
              <w:keepLines w:val="0"/>
              <w:widowControl/>
              <w:suppressLineNumbers w:val="0"/>
              <w:jc w:val="righ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3000</w:t>
            </w:r>
          </w:p>
        </w:tc>
      </w:tr>
      <w:tr w14:paraId="7D9F4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D454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25</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8A2E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玻璃珠</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7832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直径5mm</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1464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袋</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62F9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4EA3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15</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E030E">
            <w:pPr>
              <w:keepNext w:val="0"/>
              <w:keepLines w:val="0"/>
              <w:widowControl/>
              <w:suppressLineNumbers w:val="0"/>
              <w:jc w:val="righ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300</w:t>
            </w:r>
          </w:p>
        </w:tc>
      </w:tr>
      <w:tr w14:paraId="27356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63AF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26</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C4A5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硅胶垫片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D108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直径22mm</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6299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个</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24BD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FBEE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0.6</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83B12">
            <w:pPr>
              <w:keepNext w:val="0"/>
              <w:keepLines w:val="0"/>
              <w:widowControl/>
              <w:suppressLineNumbers w:val="0"/>
              <w:jc w:val="righ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120</w:t>
            </w:r>
          </w:p>
        </w:tc>
      </w:tr>
      <w:tr w14:paraId="056E2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826F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27</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BC03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吹扫瓶（带螺旋盖）</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5025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40ml</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A3C1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个</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759E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F7C2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651D1">
            <w:pPr>
              <w:keepNext w:val="0"/>
              <w:keepLines w:val="0"/>
              <w:widowControl/>
              <w:suppressLineNumbers w:val="0"/>
              <w:jc w:val="righ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200</w:t>
            </w:r>
          </w:p>
        </w:tc>
      </w:tr>
      <w:tr w14:paraId="0E5EE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50C6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28</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F0A4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一次性塑料滴管</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2893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2ml</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9B52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个</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BF87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1000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C4F0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0.1</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B01FE">
            <w:pPr>
              <w:keepNext w:val="0"/>
              <w:keepLines w:val="0"/>
              <w:widowControl/>
              <w:suppressLineNumbers w:val="0"/>
              <w:jc w:val="righ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100</w:t>
            </w:r>
          </w:p>
        </w:tc>
      </w:tr>
      <w:tr w14:paraId="4563F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60AA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29</w:t>
            </w:r>
          </w:p>
        </w:tc>
        <w:tc>
          <w:tcPr>
            <w:tcW w:w="4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7C81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一次性塑料滴管</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0458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5ml</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26B7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个</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8819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1000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B8B0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0.1</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3AA65">
            <w:pPr>
              <w:keepNext w:val="0"/>
              <w:keepLines w:val="0"/>
              <w:widowControl/>
              <w:suppressLineNumbers w:val="0"/>
              <w:jc w:val="righ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100</w:t>
            </w:r>
          </w:p>
        </w:tc>
      </w:tr>
    </w:tbl>
    <w:p w14:paraId="2C073F69">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17150B3E">
      <w:pPr>
        <w:keepNext w:val="0"/>
        <w:keepLines w:val="0"/>
        <w:pageBreakBefore w:val="0"/>
        <w:overflowPunct/>
        <w:topLinePunct w:val="0"/>
        <w:bidi w:val="0"/>
        <w:spacing w:line="360" w:lineRule="auto"/>
        <w:rPr>
          <w:rFonts w:hint="eastAsia" w:ascii="宋体" w:hAnsi="宋体" w:eastAsia="宋体" w:cs="宋体"/>
          <w:color w:val="auto"/>
          <w:sz w:val="24"/>
          <w:szCs w:val="24"/>
          <w:lang w:eastAsia="zh-CN"/>
        </w:rPr>
      </w:pPr>
    </w:p>
    <w:p w14:paraId="16B63E66">
      <w:pPr>
        <w:keepNext w:val="0"/>
        <w:keepLines w:val="0"/>
        <w:pageBreakBefore w:val="0"/>
        <w:overflowPunct/>
        <w:topLinePunct w:val="0"/>
        <w:bidi w:val="0"/>
        <w:spacing w:line="360" w:lineRule="auto"/>
        <w:rPr>
          <w:rFonts w:hint="eastAsia" w:ascii="宋体" w:hAnsi="宋体" w:eastAsia="宋体" w:cs="宋体"/>
          <w:color w:val="auto"/>
          <w:sz w:val="24"/>
          <w:szCs w:val="24"/>
          <w:lang w:eastAsia="zh-CN"/>
        </w:rPr>
      </w:pPr>
    </w:p>
    <w:tbl>
      <w:tblPr>
        <w:tblStyle w:val="12"/>
        <w:tblW w:w="97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8"/>
        <w:gridCol w:w="4260"/>
        <w:gridCol w:w="1605"/>
        <w:gridCol w:w="765"/>
        <w:gridCol w:w="765"/>
        <w:gridCol w:w="735"/>
        <w:gridCol w:w="765"/>
      </w:tblGrid>
      <w:tr w14:paraId="1A2B9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53" w:type="dxa"/>
            <w:gridSpan w:val="7"/>
            <w:tcBorders>
              <w:top w:val="nil"/>
              <w:left w:val="nil"/>
              <w:bottom w:val="nil"/>
              <w:right w:val="nil"/>
            </w:tcBorders>
            <w:shd w:val="clear" w:color="auto" w:fill="auto"/>
            <w:noWrap/>
            <w:vAlign w:val="center"/>
          </w:tcPr>
          <w:p w14:paraId="020B6D7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b/>
                <w:bCs/>
                <w:i w:val="0"/>
                <w:iCs w:val="0"/>
                <w:snapToGrid w:val="0"/>
                <w:color w:val="auto"/>
                <w:kern w:val="0"/>
                <w:sz w:val="32"/>
                <w:szCs w:val="32"/>
                <w:u w:val="none"/>
                <w:lang w:val="en-US" w:eastAsia="zh-CN" w:bidi="ar"/>
              </w:rPr>
              <w:t>2.药品</w:t>
            </w:r>
          </w:p>
        </w:tc>
      </w:tr>
      <w:tr w14:paraId="14122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AC03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序号</w:t>
            </w:r>
          </w:p>
        </w:tc>
        <w:tc>
          <w:tcPr>
            <w:tcW w:w="4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23BA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名称</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528B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级别</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5E79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单位</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0BFB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数量</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9FEF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单价</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524C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总价</w:t>
            </w:r>
          </w:p>
        </w:tc>
      </w:tr>
      <w:tr w14:paraId="5A4A6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2B14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w:t>
            </w:r>
          </w:p>
        </w:tc>
        <w:tc>
          <w:tcPr>
            <w:tcW w:w="4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D371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酒石酸钾钠（优级纯）</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D059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500g</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694B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E2CA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2B8D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5EA2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100</w:t>
            </w:r>
          </w:p>
        </w:tc>
      </w:tr>
      <w:tr w14:paraId="2A86D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7035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w:t>
            </w:r>
          </w:p>
        </w:tc>
        <w:tc>
          <w:tcPr>
            <w:tcW w:w="4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6C63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碘化汞（优级纯）</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4D18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50g</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CFAD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FC2D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1687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650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8A30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1300</w:t>
            </w:r>
          </w:p>
        </w:tc>
      </w:tr>
      <w:tr w14:paraId="76CFB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E873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w:t>
            </w:r>
          </w:p>
        </w:tc>
        <w:tc>
          <w:tcPr>
            <w:tcW w:w="4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4B9E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硫酸银</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9D99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100g</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8542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24D5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F5F1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650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08E0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1300</w:t>
            </w:r>
          </w:p>
        </w:tc>
      </w:tr>
      <w:tr w14:paraId="52678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B19F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w:t>
            </w:r>
          </w:p>
        </w:tc>
        <w:tc>
          <w:tcPr>
            <w:tcW w:w="4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5F2E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硫酸亚铁铵</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4D9F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500g</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F421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2C10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7355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946D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15</w:t>
            </w:r>
          </w:p>
        </w:tc>
      </w:tr>
      <w:tr w14:paraId="31165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D41A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w:t>
            </w:r>
          </w:p>
        </w:tc>
        <w:tc>
          <w:tcPr>
            <w:tcW w:w="4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2534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硫酸铝</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0C4B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500g</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8443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260A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9DEF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E841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40</w:t>
            </w:r>
          </w:p>
        </w:tc>
      </w:tr>
      <w:tr w14:paraId="2DA58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E590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6</w:t>
            </w:r>
          </w:p>
        </w:tc>
        <w:tc>
          <w:tcPr>
            <w:tcW w:w="4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B2DE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氨水</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3E43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500ml</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1078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E8AE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4678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4430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75</w:t>
            </w:r>
          </w:p>
        </w:tc>
      </w:tr>
      <w:tr w14:paraId="24037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3CA4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7</w:t>
            </w:r>
          </w:p>
        </w:tc>
        <w:tc>
          <w:tcPr>
            <w:tcW w:w="4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6A5E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铬酸钾</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7604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500g</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F84E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18C6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2D9F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175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5720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175</w:t>
            </w:r>
          </w:p>
        </w:tc>
      </w:tr>
      <w:tr w14:paraId="1B104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1715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8</w:t>
            </w:r>
          </w:p>
        </w:tc>
        <w:tc>
          <w:tcPr>
            <w:tcW w:w="4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FFD9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硝酸银</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F9F1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100g</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2FCC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F3E6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BD4E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600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56A7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1200</w:t>
            </w:r>
          </w:p>
        </w:tc>
      </w:tr>
      <w:tr w14:paraId="2A4CB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6151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w:t>
            </w:r>
          </w:p>
        </w:tc>
        <w:tc>
          <w:tcPr>
            <w:tcW w:w="4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98CC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氯化钠</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F911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500g</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D464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FD82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17C4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74BF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w:t>
            </w:r>
          </w:p>
        </w:tc>
      </w:tr>
      <w:tr w14:paraId="19F2F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E3D2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w:t>
            </w:r>
          </w:p>
        </w:tc>
        <w:tc>
          <w:tcPr>
            <w:tcW w:w="4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6514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氯化铵</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B3B7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500g</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4884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32AA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9835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F10F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w:t>
            </w:r>
          </w:p>
        </w:tc>
      </w:tr>
      <w:tr w14:paraId="5E5E8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85E8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11</w:t>
            </w:r>
          </w:p>
        </w:tc>
        <w:tc>
          <w:tcPr>
            <w:tcW w:w="4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05A5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pH计标准缓冲液组合</w:t>
            </w:r>
            <w:r>
              <w:rPr>
                <w:rFonts w:hint="eastAsia" w:ascii="宋体" w:hAnsi="宋体" w:eastAsia="宋体" w:cs="宋体"/>
                <w:i w:val="0"/>
                <w:iCs w:val="0"/>
                <w:snapToGrid w:val="0"/>
                <w:color w:val="auto"/>
                <w:kern w:val="0"/>
                <w:sz w:val="24"/>
                <w:szCs w:val="24"/>
                <w:u w:val="none"/>
                <w:lang w:val="en-US" w:eastAsia="zh-CN" w:bidi="ar"/>
              </w:rPr>
              <w:br w:type="textWrapping"/>
            </w:r>
            <w:r>
              <w:rPr>
                <w:rFonts w:hint="eastAsia" w:ascii="宋体" w:hAnsi="宋体" w:eastAsia="宋体" w:cs="宋体"/>
                <w:i w:val="0"/>
                <w:iCs w:val="0"/>
                <w:snapToGrid w:val="0"/>
                <w:color w:val="auto"/>
                <w:kern w:val="0"/>
                <w:sz w:val="24"/>
                <w:szCs w:val="24"/>
                <w:u w:val="none"/>
                <w:lang w:val="en-US" w:eastAsia="zh-CN" w:bidi="ar"/>
              </w:rPr>
              <w:t>（pH4.00、pH6.86、pH9.18）</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A201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50ml/瓶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05D4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4852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63C6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F09F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750</w:t>
            </w:r>
          </w:p>
        </w:tc>
      </w:tr>
    </w:tbl>
    <w:p w14:paraId="509B5DC5">
      <w:pPr>
        <w:keepNext w:val="0"/>
        <w:keepLines w:val="0"/>
        <w:pageBreakBefore w:val="0"/>
        <w:overflowPunct/>
        <w:topLinePunct w:val="0"/>
        <w:bidi w:val="0"/>
        <w:spacing w:line="360" w:lineRule="auto"/>
        <w:rPr>
          <w:rFonts w:hint="eastAsia" w:ascii="宋体" w:hAnsi="宋体" w:eastAsia="宋体" w:cs="宋体"/>
          <w:color w:val="auto"/>
          <w:sz w:val="24"/>
          <w:szCs w:val="24"/>
          <w:lang w:eastAsia="zh-CN"/>
        </w:rPr>
      </w:pPr>
    </w:p>
    <w:tbl>
      <w:tblPr>
        <w:tblStyle w:val="12"/>
        <w:tblW w:w="972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8"/>
        <w:gridCol w:w="3210"/>
        <w:gridCol w:w="1665"/>
        <w:gridCol w:w="1785"/>
        <w:gridCol w:w="795"/>
        <w:gridCol w:w="720"/>
        <w:gridCol w:w="720"/>
      </w:tblGrid>
      <w:tr w14:paraId="66086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23" w:type="dxa"/>
            <w:gridSpan w:val="7"/>
            <w:tcBorders>
              <w:top w:val="nil"/>
              <w:left w:val="nil"/>
              <w:bottom w:val="nil"/>
              <w:right w:val="nil"/>
            </w:tcBorders>
            <w:shd w:val="clear" w:color="auto" w:fill="auto"/>
            <w:noWrap/>
            <w:vAlign w:val="center"/>
          </w:tcPr>
          <w:p w14:paraId="10587497">
            <w:pPr>
              <w:keepNext w:val="0"/>
              <w:keepLines w:val="0"/>
              <w:widowControl/>
              <w:suppressLineNumbers w:val="0"/>
              <w:tabs>
                <w:tab w:val="left" w:pos="3642"/>
                <w:tab w:val="center" w:pos="4812"/>
              </w:tabs>
              <w:jc w:val="left"/>
              <w:textAlignment w:val="center"/>
              <w:rPr>
                <w:rFonts w:hint="eastAsia" w:ascii="宋体" w:hAnsi="宋体" w:eastAsia="宋体" w:cs="宋体"/>
                <w:b/>
                <w:bCs/>
                <w:i w:val="0"/>
                <w:iCs w:val="0"/>
                <w:color w:val="auto"/>
                <w:sz w:val="32"/>
                <w:szCs w:val="32"/>
                <w:u w:val="none"/>
              </w:rPr>
            </w:pPr>
            <w:r>
              <w:rPr>
                <w:rFonts w:hint="eastAsia" w:ascii="宋体" w:hAnsi="宋体" w:eastAsia="宋体" w:cs="宋体"/>
                <w:b/>
                <w:bCs/>
                <w:i w:val="0"/>
                <w:iCs w:val="0"/>
                <w:snapToGrid w:val="0"/>
                <w:color w:val="auto"/>
                <w:kern w:val="0"/>
                <w:sz w:val="32"/>
                <w:szCs w:val="32"/>
                <w:u w:val="none"/>
                <w:lang w:val="en-US" w:eastAsia="zh-CN" w:bidi="ar"/>
              </w:rPr>
              <w:tab/>
            </w:r>
            <w:r>
              <w:rPr>
                <w:rFonts w:hint="eastAsia" w:ascii="宋体" w:hAnsi="宋体" w:eastAsia="宋体" w:cs="宋体"/>
                <w:b/>
                <w:bCs/>
                <w:i w:val="0"/>
                <w:iCs w:val="0"/>
                <w:snapToGrid w:val="0"/>
                <w:color w:val="auto"/>
                <w:kern w:val="0"/>
                <w:sz w:val="32"/>
                <w:szCs w:val="32"/>
                <w:u w:val="none"/>
                <w:lang w:val="en-US" w:eastAsia="zh-CN" w:bidi="ar"/>
              </w:rPr>
              <w:t>3.</w:t>
            </w:r>
            <w:r>
              <w:rPr>
                <w:rFonts w:hint="eastAsia" w:ascii="宋体" w:hAnsi="宋体" w:eastAsia="宋体" w:cs="宋体"/>
                <w:b/>
                <w:bCs/>
                <w:i w:val="0"/>
                <w:iCs w:val="0"/>
                <w:snapToGrid w:val="0"/>
                <w:color w:val="auto"/>
                <w:kern w:val="0"/>
                <w:sz w:val="32"/>
                <w:szCs w:val="32"/>
                <w:u w:val="none"/>
                <w:lang w:val="en-US" w:eastAsia="zh-CN" w:bidi="ar"/>
              </w:rPr>
              <w:tab/>
            </w:r>
            <w:r>
              <w:rPr>
                <w:rFonts w:hint="eastAsia" w:ascii="宋体" w:hAnsi="宋体" w:eastAsia="宋体" w:cs="宋体"/>
                <w:b/>
                <w:bCs/>
                <w:i w:val="0"/>
                <w:iCs w:val="0"/>
                <w:snapToGrid w:val="0"/>
                <w:color w:val="auto"/>
                <w:kern w:val="0"/>
                <w:sz w:val="32"/>
                <w:szCs w:val="32"/>
                <w:u w:val="none"/>
                <w:lang w:val="en-US" w:eastAsia="zh-CN" w:bidi="ar"/>
              </w:rPr>
              <w:t>质控标准样品</w:t>
            </w:r>
          </w:p>
        </w:tc>
      </w:tr>
      <w:tr w14:paraId="10C3A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8C42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序号</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8DCC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名称</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3C3E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级别</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930A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单位</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5C44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数量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EC3C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单价</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885D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总价</w:t>
            </w:r>
          </w:p>
        </w:tc>
      </w:tr>
      <w:tr w14:paraId="4E86E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F7C0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A7CA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总硬度</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10EC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2533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8B77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4837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E812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825</w:t>
            </w:r>
          </w:p>
        </w:tc>
      </w:tr>
      <w:tr w14:paraId="03DD3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7D68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w:t>
            </w:r>
          </w:p>
        </w:tc>
        <w:tc>
          <w:tcPr>
            <w:tcW w:w="32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1398D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化学需氧量</w:t>
            </w:r>
          </w:p>
        </w:tc>
        <w:tc>
          <w:tcPr>
            <w:tcW w:w="1665" w:type="dxa"/>
            <w:vMerge w:val="restart"/>
            <w:tcBorders>
              <w:top w:val="single" w:color="000000" w:sz="4" w:space="0"/>
              <w:left w:val="single" w:color="000000" w:sz="4" w:space="0"/>
              <w:bottom w:val="nil"/>
              <w:right w:val="single" w:color="000000" w:sz="4" w:space="0"/>
            </w:tcBorders>
            <w:shd w:val="clear" w:color="auto" w:fill="auto"/>
            <w:vAlign w:val="center"/>
          </w:tcPr>
          <w:p w14:paraId="407F5EA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7BD9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30mg/L左右</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A8EC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5F92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3B26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1100</w:t>
            </w:r>
          </w:p>
        </w:tc>
      </w:tr>
      <w:tr w14:paraId="7C71B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7943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w:t>
            </w:r>
          </w:p>
        </w:tc>
        <w:tc>
          <w:tcPr>
            <w:tcW w:w="3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FEDD4">
            <w:pPr>
              <w:jc w:val="center"/>
              <w:rPr>
                <w:rFonts w:hint="eastAsia" w:ascii="宋体" w:hAnsi="宋体" w:eastAsia="宋体" w:cs="宋体"/>
                <w:i w:val="0"/>
                <w:iCs w:val="0"/>
                <w:color w:val="auto"/>
                <w:sz w:val="24"/>
                <w:szCs w:val="24"/>
                <w:u w:val="none"/>
              </w:rPr>
            </w:pPr>
          </w:p>
        </w:tc>
        <w:tc>
          <w:tcPr>
            <w:tcW w:w="1665" w:type="dxa"/>
            <w:vMerge w:val="continue"/>
            <w:tcBorders>
              <w:top w:val="single" w:color="000000" w:sz="4" w:space="0"/>
              <w:left w:val="single" w:color="000000" w:sz="4" w:space="0"/>
              <w:bottom w:val="nil"/>
              <w:right w:val="single" w:color="000000" w:sz="4" w:space="0"/>
            </w:tcBorders>
            <w:shd w:val="clear" w:color="auto" w:fill="auto"/>
            <w:vAlign w:val="center"/>
          </w:tcPr>
          <w:p w14:paraId="293E162D">
            <w:pPr>
              <w:jc w:val="center"/>
              <w:rPr>
                <w:rFonts w:hint="eastAsia" w:ascii="宋体" w:hAnsi="宋体" w:eastAsia="宋体" w:cs="宋体"/>
                <w:i w:val="0"/>
                <w:iCs w:val="0"/>
                <w:color w:val="auto"/>
                <w:sz w:val="24"/>
                <w:szCs w:val="24"/>
                <w:u w:val="none"/>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AC68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100mg/L左右</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4B3F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2782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79F1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825</w:t>
            </w:r>
          </w:p>
        </w:tc>
      </w:tr>
      <w:tr w14:paraId="1A41C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7DF4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1FDC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五日生化需氧量</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EB16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D945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2146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6DCE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7B2B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1100</w:t>
            </w:r>
          </w:p>
        </w:tc>
      </w:tr>
      <w:tr w14:paraId="40458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AE8A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55F7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总磷</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4858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6AF0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0.5mg/L左右</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0BE0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63AB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32BE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1650</w:t>
            </w:r>
          </w:p>
        </w:tc>
      </w:tr>
      <w:tr w14:paraId="68E81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D1D6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6</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FC53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硫酸盐</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A623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92FF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50-100mg/L</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8C2B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6971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EF6D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550</w:t>
            </w:r>
          </w:p>
        </w:tc>
      </w:tr>
      <w:tr w14:paraId="40C51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2085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7</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246D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总氮</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62F7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042A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1.0-5.0mg/L</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EADD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8FAD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9D0A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1100</w:t>
            </w:r>
          </w:p>
        </w:tc>
      </w:tr>
      <w:tr w14:paraId="491D5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2500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8</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A9C3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氟化物</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110C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7ABB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1.14mg/L左右</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2C7F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FF6E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EAD4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1375</w:t>
            </w:r>
          </w:p>
        </w:tc>
      </w:tr>
      <w:tr w14:paraId="332D9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45F8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w:t>
            </w:r>
          </w:p>
        </w:tc>
        <w:tc>
          <w:tcPr>
            <w:tcW w:w="32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BE8C6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挥发酚</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325E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C4B9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50ug/L左右</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919D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8E00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A2FE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1000</w:t>
            </w:r>
          </w:p>
        </w:tc>
      </w:tr>
      <w:tr w14:paraId="78DB6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86C3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w:t>
            </w:r>
          </w:p>
        </w:tc>
        <w:tc>
          <w:tcPr>
            <w:tcW w:w="3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DC7FA">
            <w:pPr>
              <w:jc w:val="center"/>
              <w:rPr>
                <w:rFonts w:hint="eastAsia" w:ascii="宋体" w:hAnsi="宋体" w:eastAsia="宋体" w:cs="宋体"/>
                <w:i w:val="0"/>
                <w:iCs w:val="0"/>
                <w:color w:val="auto"/>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D52B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6712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0.1-0.4mg/L</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1F5B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6</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2D71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4601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600</w:t>
            </w:r>
          </w:p>
        </w:tc>
      </w:tr>
      <w:tr w14:paraId="07F41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C2BF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11</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2FD4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阴离子洗涤剂</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36ED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0D20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1mg/L左右</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51C0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09AA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140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BE48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700</w:t>
            </w:r>
          </w:p>
        </w:tc>
      </w:tr>
      <w:tr w14:paraId="0F81C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E3CB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12</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40BD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亚硝酸盐氮</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154F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4A10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0.243mg/L</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B885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07B4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282A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1100</w:t>
            </w:r>
          </w:p>
        </w:tc>
      </w:tr>
      <w:tr w14:paraId="5E35D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3A75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13</w:t>
            </w:r>
          </w:p>
        </w:tc>
        <w:tc>
          <w:tcPr>
            <w:tcW w:w="32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C4EFE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铅</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3F32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A997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3mg/L左右</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019E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4411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4802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1100</w:t>
            </w:r>
          </w:p>
        </w:tc>
      </w:tr>
      <w:tr w14:paraId="65CB4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2E5A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14</w:t>
            </w:r>
          </w:p>
        </w:tc>
        <w:tc>
          <w:tcPr>
            <w:tcW w:w="3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6F4AA">
            <w:pPr>
              <w:jc w:val="center"/>
              <w:rPr>
                <w:rFonts w:hint="eastAsia" w:ascii="宋体" w:hAnsi="宋体" w:eastAsia="宋体" w:cs="宋体"/>
                <w:i w:val="0"/>
                <w:iCs w:val="0"/>
                <w:color w:val="auto"/>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C444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2C89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20-40ug/L之间</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6FF7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9B3C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6994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275</w:t>
            </w:r>
          </w:p>
        </w:tc>
      </w:tr>
      <w:tr w14:paraId="4C673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963E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15</w:t>
            </w:r>
          </w:p>
        </w:tc>
        <w:tc>
          <w:tcPr>
            <w:tcW w:w="32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3DCA4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氨氮</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B705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540C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1mg/L以下</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8515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0753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56</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84DD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1120</w:t>
            </w:r>
          </w:p>
        </w:tc>
      </w:tr>
      <w:tr w14:paraId="0BBD0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FBC5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16</w:t>
            </w:r>
          </w:p>
        </w:tc>
        <w:tc>
          <w:tcPr>
            <w:tcW w:w="3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0FA45">
            <w:pPr>
              <w:jc w:val="center"/>
              <w:rPr>
                <w:rFonts w:hint="eastAsia" w:ascii="宋体" w:hAnsi="宋体" w:eastAsia="宋体" w:cs="宋体"/>
                <w:i w:val="0"/>
                <w:iCs w:val="0"/>
                <w:color w:val="auto"/>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7914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996C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1.8mg/L以上</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DBBF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A703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57</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1A78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1140</w:t>
            </w:r>
          </w:p>
        </w:tc>
      </w:tr>
      <w:tr w14:paraId="22EB6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0848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17</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B9E0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砷</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C746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8C61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25ug/L左右</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6C72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B5B9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306C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2375</w:t>
            </w:r>
          </w:p>
        </w:tc>
      </w:tr>
      <w:tr w14:paraId="01BF7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CD51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18</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4393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汞</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7DCD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2F79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1-5ug/L</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F7A9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D732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15CB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2850</w:t>
            </w:r>
          </w:p>
        </w:tc>
      </w:tr>
      <w:tr w14:paraId="4931D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46EB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19</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73CB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硒</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210B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08B7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5-8ug/L</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5EC0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09FD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0305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950</w:t>
            </w:r>
          </w:p>
        </w:tc>
      </w:tr>
      <w:tr w14:paraId="1DF48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72AD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99EE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六价铬</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BB8C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C237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0.15mg/L左右</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6281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F482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1FF3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1650</w:t>
            </w:r>
          </w:p>
        </w:tc>
      </w:tr>
      <w:tr w14:paraId="72E5E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87D3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21</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9968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氯化物</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A522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D2A3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80-150mg/L</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F9CB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8B34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0BBA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550</w:t>
            </w:r>
          </w:p>
        </w:tc>
      </w:tr>
      <w:tr w14:paraId="69B6B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BA42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22</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617D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易释放氰化物</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A7B0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9C63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20-30ug/L</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EF4E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892F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201E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1500</w:t>
            </w:r>
          </w:p>
        </w:tc>
      </w:tr>
      <w:tr w14:paraId="6E4D6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EF1A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23</w:t>
            </w:r>
          </w:p>
        </w:tc>
        <w:tc>
          <w:tcPr>
            <w:tcW w:w="3210" w:type="dxa"/>
            <w:tcBorders>
              <w:top w:val="single" w:color="000000" w:sz="4" w:space="0"/>
              <w:left w:val="single" w:color="000000" w:sz="4" w:space="0"/>
              <w:bottom w:val="nil"/>
              <w:right w:val="single" w:color="000000" w:sz="4" w:space="0"/>
            </w:tcBorders>
            <w:shd w:val="clear" w:color="auto" w:fill="auto"/>
            <w:vAlign w:val="center"/>
          </w:tcPr>
          <w:p w14:paraId="40BA31D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总氰化物</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BF53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63BB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50-100ug/L</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2F69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8371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757E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1800</w:t>
            </w:r>
          </w:p>
        </w:tc>
      </w:tr>
      <w:tr w14:paraId="4F4AE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B247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24</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D65D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硝酸盐氮</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4074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FAA6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4.80mg/L</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6D9A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648F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B0E1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1100</w:t>
            </w:r>
          </w:p>
        </w:tc>
      </w:tr>
      <w:tr w14:paraId="1DCCD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3346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25</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9DDC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镉</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D942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A979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0.1-1.0mg/L</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872C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BB89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9291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550</w:t>
            </w:r>
          </w:p>
        </w:tc>
      </w:tr>
      <w:tr w14:paraId="48E1E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1C3E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26</w:t>
            </w:r>
          </w:p>
        </w:tc>
        <w:tc>
          <w:tcPr>
            <w:tcW w:w="3210" w:type="dxa"/>
            <w:tcBorders>
              <w:top w:val="nil"/>
              <w:left w:val="single" w:color="000000" w:sz="4" w:space="0"/>
              <w:bottom w:val="single" w:color="000000" w:sz="4" w:space="0"/>
              <w:right w:val="single" w:color="000000" w:sz="4" w:space="0"/>
            </w:tcBorders>
            <w:shd w:val="clear" w:color="auto" w:fill="auto"/>
            <w:vAlign w:val="center"/>
          </w:tcPr>
          <w:p w14:paraId="0BEB57D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锰</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474E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B8F5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0.5-2.0mg/L</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C4A9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6</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328A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9E1C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240</w:t>
            </w:r>
          </w:p>
        </w:tc>
      </w:tr>
      <w:tr w14:paraId="4A2E9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14D9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27</w:t>
            </w:r>
          </w:p>
        </w:tc>
        <w:tc>
          <w:tcPr>
            <w:tcW w:w="3210" w:type="dxa"/>
            <w:tcBorders>
              <w:top w:val="nil"/>
              <w:left w:val="single" w:color="000000" w:sz="4" w:space="0"/>
              <w:bottom w:val="single" w:color="000000" w:sz="4" w:space="0"/>
              <w:right w:val="single" w:color="000000" w:sz="4" w:space="0"/>
            </w:tcBorders>
            <w:shd w:val="clear" w:color="auto" w:fill="auto"/>
            <w:vAlign w:val="center"/>
          </w:tcPr>
          <w:p w14:paraId="6D0E053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锌</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B72A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5928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0.1-1.0mg/L</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5933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6</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B567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1D18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240</w:t>
            </w:r>
          </w:p>
        </w:tc>
      </w:tr>
      <w:tr w14:paraId="1B377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7CC5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28</w:t>
            </w:r>
          </w:p>
        </w:tc>
        <w:tc>
          <w:tcPr>
            <w:tcW w:w="3210" w:type="dxa"/>
            <w:tcBorders>
              <w:top w:val="nil"/>
              <w:left w:val="single" w:color="000000" w:sz="4" w:space="0"/>
              <w:bottom w:val="single" w:color="000000" w:sz="4" w:space="0"/>
              <w:right w:val="single" w:color="000000" w:sz="4" w:space="0"/>
            </w:tcBorders>
            <w:shd w:val="clear" w:color="auto" w:fill="auto"/>
            <w:vAlign w:val="center"/>
          </w:tcPr>
          <w:p w14:paraId="0B7091B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铬</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CDA8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B680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1.0-4.0mg/L</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C7D4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6</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98A4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8C44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240</w:t>
            </w:r>
          </w:p>
        </w:tc>
      </w:tr>
      <w:tr w14:paraId="05341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7169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29</w:t>
            </w:r>
          </w:p>
        </w:tc>
        <w:tc>
          <w:tcPr>
            <w:tcW w:w="3210" w:type="dxa"/>
            <w:tcBorders>
              <w:top w:val="nil"/>
              <w:left w:val="single" w:color="000000" w:sz="4" w:space="0"/>
              <w:bottom w:val="single" w:color="000000" w:sz="4" w:space="0"/>
              <w:right w:val="single" w:color="000000" w:sz="4" w:space="0"/>
            </w:tcBorders>
            <w:shd w:val="clear" w:color="auto" w:fill="auto"/>
            <w:vAlign w:val="center"/>
          </w:tcPr>
          <w:p w14:paraId="08C834C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铜</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ADA4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1E64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0.5mg/L以上</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63D3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D9DD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3193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275</w:t>
            </w:r>
          </w:p>
        </w:tc>
      </w:tr>
      <w:tr w14:paraId="492BA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03C7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30</w:t>
            </w:r>
          </w:p>
        </w:tc>
        <w:tc>
          <w:tcPr>
            <w:tcW w:w="3210" w:type="dxa"/>
            <w:tcBorders>
              <w:top w:val="nil"/>
              <w:left w:val="single" w:color="000000" w:sz="4" w:space="0"/>
              <w:bottom w:val="single" w:color="000000" w:sz="4" w:space="0"/>
              <w:right w:val="single" w:color="000000" w:sz="4" w:space="0"/>
            </w:tcBorders>
            <w:shd w:val="clear" w:color="auto" w:fill="auto"/>
            <w:vAlign w:val="center"/>
          </w:tcPr>
          <w:p w14:paraId="1F6F1B3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铁</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A45D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E9A9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11F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9CFC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EF43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275</w:t>
            </w:r>
          </w:p>
        </w:tc>
      </w:tr>
      <w:tr w14:paraId="02466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418A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31</w:t>
            </w:r>
          </w:p>
        </w:tc>
        <w:tc>
          <w:tcPr>
            <w:tcW w:w="3210" w:type="dxa"/>
            <w:tcBorders>
              <w:top w:val="nil"/>
              <w:left w:val="single" w:color="000000" w:sz="4" w:space="0"/>
              <w:bottom w:val="single" w:color="000000" w:sz="4" w:space="0"/>
              <w:right w:val="single" w:color="000000" w:sz="4" w:space="0"/>
            </w:tcBorders>
            <w:shd w:val="clear" w:color="auto" w:fill="auto"/>
            <w:vAlign w:val="center"/>
          </w:tcPr>
          <w:p w14:paraId="365A829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四氯乙烯中石油（红外法）</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87BB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9CC9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10-50mg/L</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0C74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74E3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240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B5E1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1200</w:t>
            </w:r>
          </w:p>
        </w:tc>
      </w:tr>
      <w:tr w14:paraId="3D28E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C633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32</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C3DD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甲醇中的四氯化碳</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4857A">
            <w:pPr>
              <w:jc w:val="center"/>
              <w:rPr>
                <w:rFonts w:hint="eastAsia" w:ascii="宋体" w:hAnsi="宋体" w:eastAsia="宋体" w:cs="宋体"/>
                <w:i w:val="0"/>
                <w:iCs w:val="0"/>
                <w:color w:val="auto"/>
                <w:sz w:val="24"/>
                <w:szCs w:val="24"/>
                <w:u w:val="none"/>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436D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66.4mg/L</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0846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5AEF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356D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550</w:t>
            </w:r>
          </w:p>
        </w:tc>
      </w:tr>
      <w:tr w14:paraId="17BF1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CB5E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33</w:t>
            </w:r>
          </w:p>
        </w:tc>
        <w:tc>
          <w:tcPr>
            <w:tcW w:w="32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7B954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PH</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0515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B0DC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7.35左右</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79C9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EB41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FF10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2750</w:t>
            </w:r>
          </w:p>
        </w:tc>
      </w:tr>
      <w:tr w14:paraId="6C55B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7B41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34</w:t>
            </w:r>
          </w:p>
        </w:tc>
        <w:tc>
          <w:tcPr>
            <w:tcW w:w="3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179CD">
            <w:pPr>
              <w:jc w:val="center"/>
              <w:rPr>
                <w:rFonts w:hint="eastAsia" w:ascii="宋体" w:hAnsi="宋体" w:eastAsia="宋体" w:cs="宋体"/>
                <w:i w:val="0"/>
                <w:iCs w:val="0"/>
                <w:color w:val="auto"/>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A6DC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B14D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4-5PH</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89AD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D05E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9916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275</w:t>
            </w:r>
          </w:p>
        </w:tc>
      </w:tr>
      <w:tr w14:paraId="05712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4C50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35</w:t>
            </w:r>
          </w:p>
        </w:tc>
        <w:tc>
          <w:tcPr>
            <w:tcW w:w="3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E99E3">
            <w:pPr>
              <w:jc w:val="center"/>
              <w:rPr>
                <w:rFonts w:hint="eastAsia" w:ascii="宋体" w:hAnsi="宋体" w:eastAsia="宋体" w:cs="宋体"/>
                <w:i w:val="0"/>
                <w:iCs w:val="0"/>
                <w:color w:val="auto"/>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CC6F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60BE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9-10PH</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589D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E162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836E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275</w:t>
            </w:r>
          </w:p>
        </w:tc>
      </w:tr>
      <w:tr w14:paraId="69356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43DE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36</w:t>
            </w:r>
          </w:p>
        </w:tc>
        <w:tc>
          <w:tcPr>
            <w:tcW w:w="3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AE58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悬浮物</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EB2C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100ml聚乙烯瓶</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7532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50mg/L左右</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A97C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BBA4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8139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1000</w:t>
            </w:r>
          </w:p>
        </w:tc>
      </w:tr>
    </w:tbl>
    <w:p w14:paraId="27D82F6D">
      <w:pPr>
        <w:keepNext w:val="0"/>
        <w:keepLines w:val="0"/>
        <w:pageBreakBefore w:val="0"/>
        <w:overflowPunct/>
        <w:topLinePunct w:val="0"/>
        <w:bidi w:val="0"/>
        <w:spacing w:line="360" w:lineRule="auto"/>
        <w:rPr>
          <w:rFonts w:hint="eastAsia" w:ascii="宋体" w:hAnsi="宋体" w:eastAsia="宋体" w:cs="宋体"/>
          <w:color w:val="auto"/>
          <w:sz w:val="24"/>
          <w:szCs w:val="24"/>
          <w:lang w:eastAsia="zh-CN"/>
        </w:rPr>
      </w:pPr>
    </w:p>
    <w:tbl>
      <w:tblPr>
        <w:tblStyle w:val="12"/>
        <w:tblW w:w="973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8"/>
        <w:gridCol w:w="4305"/>
        <w:gridCol w:w="1590"/>
        <w:gridCol w:w="825"/>
        <w:gridCol w:w="765"/>
        <w:gridCol w:w="705"/>
        <w:gridCol w:w="750"/>
      </w:tblGrid>
      <w:tr w14:paraId="4885D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38" w:type="dxa"/>
            <w:gridSpan w:val="7"/>
            <w:tcBorders>
              <w:top w:val="nil"/>
              <w:left w:val="nil"/>
              <w:bottom w:val="single" w:color="auto" w:sz="4" w:space="0"/>
              <w:right w:val="nil"/>
            </w:tcBorders>
            <w:shd w:val="clear" w:color="auto" w:fill="auto"/>
            <w:vAlign w:val="center"/>
          </w:tcPr>
          <w:p w14:paraId="339E4C80">
            <w:pPr>
              <w:keepNext w:val="0"/>
              <w:keepLines w:val="0"/>
              <w:widowControl/>
              <w:suppressLineNumbers w:val="0"/>
              <w:tabs>
                <w:tab w:val="left" w:pos="540"/>
              </w:tabs>
              <w:jc w:val="center"/>
              <w:textAlignment w:val="center"/>
              <w:rPr>
                <w:rFonts w:hint="eastAsia" w:ascii="宋体" w:hAnsi="宋体" w:eastAsia="宋体" w:cs="宋体"/>
                <w:i w:val="0"/>
                <w:iCs w:val="0"/>
                <w:snapToGrid w:val="0"/>
                <w:color w:val="auto"/>
                <w:kern w:val="0"/>
                <w:sz w:val="24"/>
                <w:szCs w:val="24"/>
                <w:u w:val="none"/>
                <w:lang w:val="en-US" w:eastAsia="zh-CN" w:bidi="ar"/>
              </w:rPr>
            </w:pPr>
            <w:r>
              <w:rPr>
                <w:rFonts w:hint="eastAsia" w:ascii="宋体" w:hAnsi="宋体" w:eastAsia="宋体" w:cs="宋体"/>
                <w:b/>
                <w:bCs/>
                <w:i w:val="0"/>
                <w:iCs w:val="0"/>
                <w:snapToGrid w:val="0"/>
                <w:color w:val="auto"/>
                <w:kern w:val="0"/>
                <w:sz w:val="36"/>
                <w:szCs w:val="36"/>
                <w:u w:val="none"/>
                <w:lang w:val="en-US" w:eastAsia="zh-CN" w:bidi="ar"/>
              </w:rPr>
              <w:t>4.标准溶液</w:t>
            </w:r>
          </w:p>
        </w:tc>
      </w:tr>
      <w:tr w14:paraId="749E0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8" w:type="dxa"/>
            <w:tcBorders>
              <w:top w:val="single" w:color="auto" w:sz="4" w:space="0"/>
              <w:left w:val="single" w:color="auto" w:sz="4" w:space="0"/>
              <w:bottom w:val="single" w:color="auto" w:sz="4" w:space="0"/>
              <w:right w:val="single" w:color="auto" w:sz="4" w:space="0"/>
            </w:tcBorders>
            <w:shd w:val="clear" w:color="auto" w:fill="auto"/>
            <w:vAlign w:val="center"/>
          </w:tcPr>
          <w:p w14:paraId="4E999C5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序号</w:t>
            </w:r>
          </w:p>
        </w:tc>
        <w:tc>
          <w:tcPr>
            <w:tcW w:w="4305" w:type="dxa"/>
            <w:tcBorders>
              <w:top w:val="single" w:color="auto" w:sz="4" w:space="0"/>
              <w:left w:val="single" w:color="auto" w:sz="4" w:space="0"/>
              <w:bottom w:val="single" w:color="auto" w:sz="4" w:space="0"/>
              <w:right w:val="single" w:color="auto" w:sz="4" w:space="0"/>
            </w:tcBorders>
            <w:shd w:val="clear" w:color="auto" w:fill="auto"/>
            <w:vAlign w:val="center"/>
          </w:tcPr>
          <w:p w14:paraId="6ACDAB7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名称</w:t>
            </w:r>
          </w:p>
        </w:tc>
        <w:tc>
          <w:tcPr>
            <w:tcW w:w="1590" w:type="dxa"/>
            <w:tcBorders>
              <w:top w:val="single" w:color="auto" w:sz="4" w:space="0"/>
              <w:left w:val="single" w:color="auto" w:sz="4" w:space="0"/>
              <w:bottom w:val="single" w:color="auto" w:sz="4" w:space="0"/>
              <w:right w:val="single" w:color="auto" w:sz="4" w:space="0"/>
            </w:tcBorders>
            <w:shd w:val="clear" w:color="auto" w:fill="auto"/>
            <w:vAlign w:val="center"/>
          </w:tcPr>
          <w:p w14:paraId="713320C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级别</w:t>
            </w: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09238F4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单位</w:t>
            </w:r>
          </w:p>
        </w:tc>
        <w:tc>
          <w:tcPr>
            <w:tcW w:w="765" w:type="dxa"/>
            <w:tcBorders>
              <w:top w:val="single" w:color="auto" w:sz="4" w:space="0"/>
              <w:left w:val="single" w:color="auto" w:sz="4" w:space="0"/>
              <w:bottom w:val="single" w:color="auto" w:sz="4" w:space="0"/>
              <w:right w:val="single" w:color="auto" w:sz="4" w:space="0"/>
            </w:tcBorders>
            <w:shd w:val="clear" w:color="auto" w:fill="auto"/>
            <w:vAlign w:val="center"/>
          </w:tcPr>
          <w:p w14:paraId="1613ED7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数量</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12F14B2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单价</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3859A6D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总价</w:t>
            </w:r>
          </w:p>
        </w:tc>
      </w:tr>
      <w:tr w14:paraId="40DB4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8" w:type="dxa"/>
            <w:tcBorders>
              <w:top w:val="single" w:color="auto" w:sz="4" w:space="0"/>
              <w:left w:val="single" w:color="000000" w:sz="4" w:space="0"/>
              <w:bottom w:val="single" w:color="000000" w:sz="4" w:space="0"/>
              <w:right w:val="single" w:color="000000" w:sz="4" w:space="0"/>
            </w:tcBorders>
            <w:shd w:val="clear" w:color="auto" w:fill="auto"/>
            <w:vAlign w:val="center"/>
          </w:tcPr>
          <w:p w14:paraId="647A50F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w:t>
            </w:r>
          </w:p>
        </w:tc>
        <w:tc>
          <w:tcPr>
            <w:tcW w:w="4305" w:type="dxa"/>
            <w:tcBorders>
              <w:top w:val="single" w:color="auto" w:sz="4" w:space="0"/>
              <w:left w:val="single" w:color="000000" w:sz="4" w:space="0"/>
              <w:bottom w:val="single" w:color="000000" w:sz="4" w:space="0"/>
              <w:right w:val="single" w:color="000000" w:sz="4" w:space="0"/>
            </w:tcBorders>
            <w:shd w:val="clear" w:color="auto" w:fill="auto"/>
            <w:vAlign w:val="center"/>
          </w:tcPr>
          <w:p w14:paraId="1430D9E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氨氮</w:t>
            </w:r>
          </w:p>
        </w:tc>
        <w:tc>
          <w:tcPr>
            <w:tcW w:w="1590" w:type="dxa"/>
            <w:tcBorders>
              <w:top w:val="single" w:color="auto" w:sz="4" w:space="0"/>
              <w:left w:val="single" w:color="000000" w:sz="4" w:space="0"/>
              <w:bottom w:val="single" w:color="000000" w:sz="4" w:space="0"/>
              <w:right w:val="single" w:color="000000" w:sz="4" w:space="0"/>
            </w:tcBorders>
            <w:shd w:val="clear" w:color="auto" w:fill="auto"/>
            <w:vAlign w:val="center"/>
          </w:tcPr>
          <w:p w14:paraId="493F1B7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825" w:type="dxa"/>
            <w:tcBorders>
              <w:top w:val="single" w:color="auto" w:sz="4" w:space="0"/>
              <w:left w:val="single" w:color="000000" w:sz="4" w:space="0"/>
              <w:bottom w:val="single" w:color="000000" w:sz="4" w:space="0"/>
              <w:right w:val="single" w:color="000000" w:sz="4" w:space="0"/>
            </w:tcBorders>
            <w:shd w:val="clear" w:color="auto" w:fill="auto"/>
            <w:vAlign w:val="center"/>
          </w:tcPr>
          <w:p w14:paraId="384EAF6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auto" w:sz="4" w:space="0"/>
              <w:left w:val="single" w:color="000000" w:sz="4" w:space="0"/>
              <w:bottom w:val="single" w:color="000000" w:sz="4" w:space="0"/>
              <w:right w:val="single" w:color="000000" w:sz="4" w:space="0"/>
            </w:tcBorders>
            <w:shd w:val="clear" w:color="auto" w:fill="auto"/>
            <w:vAlign w:val="center"/>
          </w:tcPr>
          <w:p w14:paraId="2B4131B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12</w:t>
            </w:r>
          </w:p>
        </w:tc>
        <w:tc>
          <w:tcPr>
            <w:tcW w:w="705" w:type="dxa"/>
            <w:tcBorders>
              <w:top w:val="single" w:color="auto" w:sz="4" w:space="0"/>
              <w:left w:val="single" w:color="000000" w:sz="4" w:space="0"/>
              <w:bottom w:val="single" w:color="000000" w:sz="4" w:space="0"/>
              <w:right w:val="single" w:color="000000" w:sz="4" w:space="0"/>
            </w:tcBorders>
            <w:shd w:val="clear" w:color="auto" w:fill="auto"/>
            <w:vAlign w:val="center"/>
          </w:tcPr>
          <w:p w14:paraId="587E421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w:t>
            </w:r>
          </w:p>
        </w:tc>
        <w:tc>
          <w:tcPr>
            <w:tcW w:w="750" w:type="dxa"/>
            <w:tcBorders>
              <w:top w:val="single" w:color="auto" w:sz="4" w:space="0"/>
              <w:left w:val="single" w:color="000000" w:sz="4" w:space="0"/>
              <w:bottom w:val="single" w:color="000000" w:sz="4" w:space="0"/>
              <w:right w:val="single" w:color="000000" w:sz="4" w:space="0"/>
            </w:tcBorders>
            <w:shd w:val="clear" w:color="auto" w:fill="auto"/>
            <w:vAlign w:val="center"/>
          </w:tcPr>
          <w:p w14:paraId="7EE1061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660</w:t>
            </w:r>
          </w:p>
        </w:tc>
      </w:tr>
      <w:tr w14:paraId="480FC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C1F0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DED1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总磷</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9020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A4BE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AF65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C3A2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EDE2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1650</w:t>
            </w:r>
          </w:p>
        </w:tc>
      </w:tr>
      <w:tr w14:paraId="7AA97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79CD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6D6E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总氮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5D19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F14B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C4BA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C768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382B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550</w:t>
            </w:r>
          </w:p>
        </w:tc>
      </w:tr>
      <w:tr w14:paraId="2688B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68DF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3EB3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氟化物</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F726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2104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27D5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1AD3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DBF1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1375</w:t>
            </w:r>
          </w:p>
        </w:tc>
      </w:tr>
      <w:tr w14:paraId="21BB3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BC65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9D20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苯酚</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3CD6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AEB6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A0CD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6</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AF9C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6804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600</w:t>
            </w:r>
          </w:p>
        </w:tc>
      </w:tr>
      <w:tr w14:paraId="336D8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CF56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6</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024D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硫酸盐</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3985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C4EB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7C27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75DF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116A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550</w:t>
            </w:r>
          </w:p>
        </w:tc>
      </w:tr>
      <w:tr w14:paraId="76E58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FA05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7</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149D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硝酸盐氮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80D8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C263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CCC3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8340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658D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550</w:t>
            </w:r>
          </w:p>
        </w:tc>
      </w:tr>
      <w:tr w14:paraId="0FA63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FC33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8</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686D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阴离子洗涤剂</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7BA8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C824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A731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7799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120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1C9C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600</w:t>
            </w:r>
          </w:p>
        </w:tc>
      </w:tr>
      <w:tr w14:paraId="3E05C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D70E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0E1D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亚硝酸盐氮</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88DF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226B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02E7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1A11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37EB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1100</w:t>
            </w:r>
          </w:p>
        </w:tc>
      </w:tr>
      <w:tr w14:paraId="79CCE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EA65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0968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六价铬</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F853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4A55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64E5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9071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29A2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1650</w:t>
            </w:r>
          </w:p>
        </w:tc>
      </w:tr>
      <w:tr w14:paraId="48831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2CCC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11</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6628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氰化物</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662F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0FB5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A9E0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D2BF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155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3B79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2325</w:t>
            </w:r>
          </w:p>
        </w:tc>
      </w:tr>
      <w:tr w14:paraId="62339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2CED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12</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B7D5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四氯乙烯中石油类（红外法）标样</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280B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1000mg/L</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F331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48B3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6</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6778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240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5641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1440</w:t>
            </w:r>
          </w:p>
        </w:tc>
      </w:tr>
      <w:tr w14:paraId="0C658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3114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13</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B5E1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甲醇中的四氯化碳</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5B0E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200-2000mg/L</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B6D8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14AF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36E9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A748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750</w:t>
            </w:r>
          </w:p>
        </w:tc>
      </w:tr>
      <w:tr w14:paraId="1439F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81D6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14</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E507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铁</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4DA2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CE0A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1FE6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E259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865A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500</w:t>
            </w:r>
          </w:p>
        </w:tc>
      </w:tr>
      <w:tr w14:paraId="42B00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AE3F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15</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2F91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铅</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01EA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721A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6ABD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018A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045F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550</w:t>
            </w:r>
          </w:p>
        </w:tc>
      </w:tr>
      <w:tr w14:paraId="44D6D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2F0D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16</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8A25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锰</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814E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BD78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9A0D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0643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D006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500</w:t>
            </w:r>
          </w:p>
        </w:tc>
      </w:tr>
      <w:tr w14:paraId="0008C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DF84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17</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9D0B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锌</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7799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AFA5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3BF2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6</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672D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2E27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300</w:t>
            </w:r>
          </w:p>
        </w:tc>
      </w:tr>
      <w:tr w14:paraId="6ABB5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812D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18</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2D0E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镉</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0925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9562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D411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A740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611C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600</w:t>
            </w:r>
          </w:p>
        </w:tc>
      </w:tr>
      <w:tr w14:paraId="129C1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D3A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19</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2824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铜</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A584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48D2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E64D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4623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7B37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1000</w:t>
            </w:r>
          </w:p>
        </w:tc>
      </w:tr>
      <w:tr w14:paraId="72572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9D70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3635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砷</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54AD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915E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8781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464F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30D5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1250</w:t>
            </w:r>
          </w:p>
        </w:tc>
      </w:tr>
      <w:tr w14:paraId="14EB7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E511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21</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C57D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汞</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12CF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52EB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6502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25C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4A4F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1500</w:t>
            </w:r>
          </w:p>
        </w:tc>
      </w:tr>
      <w:tr w14:paraId="5A5D1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D84C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22</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F444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硒</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2386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7996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8D09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7DA8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91B4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500</w:t>
            </w:r>
          </w:p>
        </w:tc>
      </w:tr>
      <w:tr w14:paraId="7610D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EAD8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23</w:t>
            </w:r>
          </w:p>
        </w:tc>
        <w:tc>
          <w:tcPr>
            <w:tcW w:w="4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2B82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总铬</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EC1B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20ml安瓿瓶</w:t>
            </w:r>
            <w:r>
              <w:rPr>
                <w:rFonts w:hint="eastAsia" w:ascii="宋体" w:hAnsi="宋体" w:eastAsia="宋体" w:cs="宋体"/>
                <w:i w:val="0"/>
                <w:iCs w:val="0"/>
                <w:snapToGrid w:val="0"/>
                <w:color w:val="auto"/>
                <w:kern w:val="0"/>
                <w:sz w:val="24"/>
                <w:szCs w:val="24"/>
                <w:u w:val="none"/>
                <w:lang w:val="en-US" w:eastAsia="zh-CN" w:bidi="ar"/>
              </w:rPr>
              <w:br w:type="textWrapping"/>
            </w:r>
            <w:r>
              <w:rPr>
                <w:rFonts w:hint="eastAsia" w:ascii="宋体" w:hAnsi="宋体" w:eastAsia="宋体" w:cs="宋体"/>
                <w:i w:val="0"/>
                <w:iCs w:val="0"/>
                <w:snapToGrid w:val="0"/>
                <w:color w:val="auto"/>
                <w:kern w:val="0"/>
                <w:sz w:val="24"/>
                <w:szCs w:val="24"/>
                <w:u w:val="none"/>
                <w:lang w:val="en-US" w:eastAsia="zh-CN" w:bidi="ar"/>
              </w:rPr>
              <w:t>1000mg/L</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FE18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B343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56E7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9E9C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275</w:t>
            </w:r>
          </w:p>
        </w:tc>
      </w:tr>
    </w:tbl>
    <w:p w14:paraId="2FCA08AB">
      <w:pPr>
        <w:keepNext w:val="0"/>
        <w:keepLines w:val="0"/>
        <w:pageBreakBefore w:val="0"/>
        <w:overflowPunct/>
        <w:topLinePunct w:val="0"/>
        <w:bidi w:val="0"/>
        <w:spacing w:line="360" w:lineRule="auto"/>
        <w:rPr>
          <w:rFonts w:hint="eastAsia" w:ascii="宋体" w:hAnsi="宋体" w:eastAsia="宋体" w:cs="宋体"/>
          <w:color w:val="auto"/>
          <w:sz w:val="24"/>
          <w:szCs w:val="24"/>
          <w:lang w:eastAsia="zh-CN"/>
        </w:rPr>
      </w:pPr>
    </w:p>
    <w:p w14:paraId="186A8C6E">
      <w:pPr>
        <w:keepNext w:val="0"/>
        <w:keepLines w:val="0"/>
        <w:pageBreakBefore w:val="0"/>
        <w:overflowPunct/>
        <w:topLinePunct w:val="0"/>
        <w:bidi w:val="0"/>
        <w:spacing w:line="360" w:lineRule="auto"/>
        <w:rPr>
          <w:rFonts w:hint="eastAsia" w:ascii="宋体" w:hAnsi="宋体" w:eastAsia="宋体" w:cs="宋体"/>
          <w:color w:val="auto"/>
          <w:sz w:val="24"/>
          <w:szCs w:val="24"/>
          <w:lang w:eastAsia="zh-CN"/>
        </w:rPr>
      </w:pPr>
    </w:p>
    <w:tbl>
      <w:tblPr>
        <w:tblStyle w:val="12"/>
        <w:tblW w:w="976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8"/>
        <w:gridCol w:w="1785"/>
        <w:gridCol w:w="1200"/>
        <w:gridCol w:w="1290"/>
        <w:gridCol w:w="810"/>
        <w:gridCol w:w="780"/>
        <w:gridCol w:w="1110"/>
        <w:gridCol w:w="1995"/>
      </w:tblGrid>
      <w:tr w14:paraId="6A609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68" w:type="dxa"/>
            <w:gridSpan w:val="8"/>
            <w:tcBorders>
              <w:top w:val="nil"/>
              <w:left w:val="nil"/>
              <w:bottom w:val="nil"/>
              <w:right w:val="nil"/>
            </w:tcBorders>
            <w:shd w:val="clear" w:color="auto" w:fill="auto"/>
            <w:noWrap/>
            <w:vAlign w:val="center"/>
          </w:tcPr>
          <w:p w14:paraId="221D1E46">
            <w:pPr>
              <w:jc w:val="center"/>
              <w:rPr>
                <w:rFonts w:hint="eastAsia" w:ascii="宋体" w:hAnsi="宋体" w:eastAsia="宋体" w:cs="宋体"/>
                <w:i w:val="0"/>
                <w:iCs w:val="0"/>
                <w:color w:val="auto"/>
                <w:sz w:val="24"/>
                <w:szCs w:val="24"/>
                <w:u w:val="none"/>
              </w:rPr>
            </w:pPr>
            <w:r>
              <w:rPr>
                <w:rFonts w:hint="eastAsia" w:ascii="宋体" w:hAnsi="宋体" w:eastAsia="宋体" w:cs="宋体"/>
                <w:b/>
                <w:bCs/>
                <w:i w:val="0"/>
                <w:iCs w:val="0"/>
                <w:snapToGrid w:val="0"/>
                <w:color w:val="auto"/>
                <w:kern w:val="0"/>
                <w:sz w:val="36"/>
                <w:szCs w:val="36"/>
                <w:u w:val="none"/>
                <w:lang w:val="en-US" w:eastAsia="zh-CN" w:bidi="ar"/>
              </w:rPr>
              <w:t>5.实验室用气体</w:t>
            </w:r>
          </w:p>
        </w:tc>
      </w:tr>
      <w:tr w14:paraId="645B9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97CED">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snapToGrid w:val="0"/>
                <w:color w:val="auto"/>
                <w:kern w:val="0"/>
                <w:sz w:val="24"/>
                <w:szCs w:val="24"/>
                <w:u w:val="none"/>
                <w:lang w:val="en-US" w:eastAsia="zh-CN" w:bidi="ar"/>
              </w:rPr>
              <w:t>序号</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FF5F1">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snapToGrid w:val="0"/>
                <w:color w:val="auto"/>
                <w:kern w:val="0"/>
                <w:sz w:val="24"/>
                <w:szCs w:val="24"/>
                <w:u w:val="none"/>
                <w:lang w:val="en-US" w:eastAsia="zh-CN" w:bidi="ar"/>
              </w:rPr>
              <w:t>名称</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5BC2E">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snapToGrid w:val="0"/>
                <w:color w:val="auto"/>
                <w:kern w:val="0"/>
                <w:sz w:val="24"/>
                <w:szCs w:val="24"/>
                <w:u w:val="none"/>
                <w:lang w:val="en-US" w:eastAsia="zh-CN" w:bidi="ar"/>
              </w:rPr>
              <w:t>级别</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B2E94">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snapToGrid w:val="0"/>
                <w:color w:val="auto"/>
                <w:kern w:val="0"/>
                <w:sz w:val="24"/>
                <w:szCs w:val="24"/>
                <w:u w:val="none"/>
                <w:lang w:val="en-US" w:eastAsia="zh-CN" w:bidi="ar"/>
              </w:rPr>
              <w:t>浓度范围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1771B">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snapToGrid w:val="0"/>
                <w:color w:val="auto"/>
                <w:kern w:val="0"/>
                <w:sz w:val="24"/>
                <w:szCs w:val="24"/>
                <w:u w:val="none"/>
                <w:lang w:val="en-US" w:eastAsia="zh-CN" w:bidi="ar"/>
              </w:rPr>
              <w:t>数量</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935A6">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snapToGrid w:val="0"/>
                <w:color w:val="auto"/>
                <w:kern w:val="0"/>
                <w:sz w:val="24"/>
                <w:szCs w:val="24"/>
                <w:u w:val="none"/>
                <w:lang w:val="en-US" w:eastAsia="zh-CN" w:bidi="ar"/>
              </w:rPr>
              <w:t>单价</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98960">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snapToGrid w:val="0"/>
                <w:color w:val="auto"/>
                <w:kern w:val="0"/>
                <w:sz w:val="24"/>
                <w:szCs w:val="24"/>
                <w:u w:val="none"/>
                <w:lang w:val="en-US" w:eastAsia="zh-CN" w:bidi="ar"/>
              </w:rPr>
              <w:t>备注</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521D9">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snapToGrid w:val="0"/>
                <w:color w:val="auto"/>
                <w:kern w:val="0"/>
                <w:sz w:val="24"/>
                <w:szCs w:val="24"/>
                <w:u w:val="none"/>
                <w:lang w:val="en-US" w:eastAsia="zh-CN" w:bidi="ar"/>
              </w:rPr>
              <w:t>小计</w:t>
            </w:r>
          </w:p>
        </w:tc>
      </w:tr>
      <w:tr w14:paraId="66B16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49AA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5258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二氧化硫标准气体</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64DC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4升+充装</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8065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50mg/m3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5AF2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7484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950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FC69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不确定度≤2%</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6E7A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950</w:t>
            </w:r>
          </w:p>
        </w:tc>
      </w:tr>
      <w:tr w14:paraId="6634A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22F2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0C22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二氧化硫标准气体</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BA8D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4升+充装</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3B8C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250mg/m3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248C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C94A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950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5F0E7">
            <w:pPr>
              <w:jc w:val="center"/>
              <w:rPr>
                <w:rFonts w:hint="eastAsia" w:ascii="宋体" w:hAnsi="宋体" w:eastAsia="宋体" w:cs="宋体"/>
                <w:i w:val="0"/>
                <w:iCs w:val="0"/>
                <w:color w:val="auto"/>
                <w:sz w:val="24"/>
                <w:szCs w:val="24"/>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7EEF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950</w:t>
            </w:r>
          </w:p>
        </w:tc>
      </w:tr>
      <w:tr w14:paraId="04C84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B899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0ED5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二氧化硫标准气体</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F79A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4升+充装</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0A18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1250mg/m3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03E7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C138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950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E8B41">
            <w:pPr>
              <w:jc w:val="center"/>
              <w:rPr>
                <w:rFonts w:hint="eastAsia" w:ascii="宋体" w:hAnsi="宋体" w:eastAsia="宋体" w:cs="宋体"/>
                <w:i w:val="0"/>
                <w:iCs w:val="0"/>
                <w:color w:val="auto"/>
                <w:sz w:val="24"/>
                <w:szCs w:val="24"/>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802D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950</w:t>
            </w:r>
          </w:p>
        </w:tc>
      </w:tr>
      <w:tr w14:paraId="2DB21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4D44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38CF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二氧化氮标准气体</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7426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4升+充装</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C268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20mg/m3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6BE3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F2B4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950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A164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不确定度≤2%</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7ABD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950</w:t>
            </w:r>
          </w:p>
        </w:tc>
      </w:tr>
      <w:tr w14:paraId="2F41D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F855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7B75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二氧化氮标准气体</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2624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4升+充装</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95C3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100mg/m3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742B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F39E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950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82B14">
            <w:pPr>
              <w:jc w:val="center"/>
              <w:rPr>
                <w:rFonts w:hint="eastAsia" w:ascii="宋体" w:hAnsi="宋体" w:eastAsia="宋体" w:cs="宋体"/>
                <w:i w:val="0"/>
                <w:iCs w:val="0"/>
                <w:color w:val="auto"/>
                <w:sz w:val="24"/>
                <w:szCs w:val="24"/>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5935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950</w:t>
            </w:r>
          </w:p>
        </w:tc>
      </w:tr>
      <w:tr w14:paraId="49627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20E9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6</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3E7C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一氧化氮标准气体</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A6A4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4升+充装</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20F6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20mg/m3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191F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EACC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950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F217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不确定度≤2%</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DB8E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950</w:t>
            </w:r>
          </w:p>
        </w:tc>
      </w:tr>
      <w:tr w14:paraId="314B4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7966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7</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2B7F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一氧化氮标准气体</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BCF4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4升+充装</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D986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100mg/m3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D689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401F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950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FB186">
            <w:pPr>
              <w:jc w:val="center"/>
              <w:rPr>
                <w:rFonts w:hint="eastAsia" w:ascii="宋体" w:hAnsi="宋体" w:eastAsia="宋体" w:cs="宋体"/>
                <w:i w:val="0"/>
                <w:iCs w:val="0"/>
                <w:color w:val="auto"/>
                <w:sz w:val="24"/>
                <w:szCs w:val="24"/>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8EDE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950</w:t>
            </w:r>
          </w:p>
        </w:tc>
      </w:tr>
      <w:tr w14:paraId="24640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F486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8</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E59D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一氧化氮标准气体</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CB47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4升+充装</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127E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500mg/m3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4257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FD4D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950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5509A">
            <w:pPr>
              <w:jc w:val="center"/>
              <w:rPr>
                <w:rFonts w:hint="eastAsia" w:ascii="宋体" w:hAnsi="宋体" w:eastAsia="宋体" w:cs="宋体"/>
                <w:i w:val="0"/>
                <w:iCs w:val="0"/>
                <w:color w:val="auto"/>
                <w:sz w:val="24"/>
                <w:szCs w:val="24"/>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F8C3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950</w:t>
            </w:r>
          </w:p>
        </w:tc>
      </w:tr>
      <w:tr w14:paraId="0BE0C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D504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6BE7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一氧化碳标准气体</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35B3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4升+充装</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9B87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750mg/m3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DAE7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D402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950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429E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不确定度≤2%</w:t>
            </w: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E728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950</w:t>
            </w:r>
          </w:p>
        </w:tc>
      </w:tr>
      <w:tr w14:paraId="6ECF4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B8A7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10</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D7D5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一氧化碳标准气体</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6F84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4升+充装</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33C4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3750mg/m3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7721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D014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950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DED02">
            <w:pPr>
              <w:jc w:val="center"/>
              <w:rPr>
                <w:rFonts w:hint="eastAsia" w:ascii="宋体" w:hAnsi="宋体" w:eastAsia="宋体" w:cs="宋体"/>
                <w:i w:val="0"/>
                <w:iCs w:val="0"/>
                <w:color w:val="auto"/>
                <w:sz w:val="24"/>
                <w:szCs w:val="24"/>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C4B2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950</w:t>
            </w:r>
          </w:p>
        </w:tc>
      </w:tr>
      <w:tr w14:paraId="0B8BA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195F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11</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DA86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一氧化碳标准气体</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CA7B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4升+充装</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CCBE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18750mg/m3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5445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8937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950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FB19B">
            <w:pPr>
              <w:jc w:val="center"/>
              <w:rPr>
                <w:rFonts w:hint="eastAsia" w:ascii="宋体" w:hAnsi="宋体" w:eastAsia="宋体" w:cs="宋体"/>
                <w:i w:val="0"/>
                <w:iCs w:val="0"/>
                <w:color w:val="auto"/>
                <w:sz w:val="24"/>
                <w:szCs w:val="24"/>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404F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950</w:t>
            </w:r>
          </w:p>
        </w:tc>
      </w:tr>
      <w:tr w14:paraId="0D032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C395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12</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56D1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零气</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C600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4升+充装</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A00B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≥99.99%</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937D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D828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8932D">
            <w:pPr>
              <w:jc w:val="center"/>
              <w:rPr>
                <w:rFonts w:hint="eastAsia" w:ascii="宋体" w:hAnsi="宋体" w:eastAsia="宋体" w:cs="宋体"/>
                <w:i w:val="0"/>
                <w:iCs w:val="0"/>
                <w:color w:val="auto"/>
                <w:sz w:val="24"/>
                <w:szCs w:val="24"/>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17CA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400</w:t>
            </w:r>
          </w:p>
        </w:tc>
      </w:tr>
      <w:tr w14:paraId="11F3D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7B3C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13</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6F7B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零气</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61FB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4升+充装</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85CE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≥99.99%</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46E3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9AFA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350D9">
            <w:pPr>
              <w:jc w:val="center"/>
              <w:rPr>
                <w:rFonts w:hint="eastAsia" w:ascii="宋体" w:hAnsi="宋体" w:eastAsia="宋体" w:cs="宋体"/>
                <w:i w:val="0"/>
                <w:iCs w:val="0"/>
                <w:color w:val="auto"/>
                <w:sz w:val="24"/>
                <w:szCs w:val="24"/>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D0A9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400</w:t>
            </w:r>
          </w:p>
        </w:tc>
      </w:tr>
      <w:tr w14:paraId="55908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4586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14</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092E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高纯氩气</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6A1C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40升+充装</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84E8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600B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480C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900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0E5B7">
            <w:pPr>
              <w:jc w:val="center"/>
              <w:rPr>
                <w:rFonts w:hint="eastAsia" w:ascii="宋体" w:hAnsi="宋体" w:eastAsia="宋体" w:cs="宋体"/>
                <w:i w:val="0"/>
                <w:iCs w:val="0"/>
                <w:color w:val="auto"/>
                <w:sz w:val="24"/>
                <w:szCs w:val="24"/>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637E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snapToGrid w:val="0"/>
                <w:color w:val="auto"/>
                <w:kern w:val="0"/>
                <w:sz w:val="24"/>
                <w:szCs w:val="24"/>
                <w:u w:val="none"/>
                <w:lang w:val="en-US" w:eastAsia="zh-CN" w:bidi="ar"/>
              </w:rPr>
              <w:t>1800</w:t>
            </w:r>
          </w:p>
        </w:tc>
      </w:tr>
    </w:tbl>
    <w:p w14:paraId="6771B649">
      <w:pPr>
        <w:keepNext w:val="0"/>
        <w:keepLines w:val="0"/>
        <w:pageBreakBefore w:val="0"/>
        <w:overflowPunct/>
        <w:topLinePunct w:val="0"/>
        <w:bidi w:val="0"/>
        <w:spacing w:line="360" w:lineRule="auto"/>
        <w:rPr>
          <w:rFonts w:hint="eastAsia" w:ascii="宋体" w:hAnsi="宋体" w:eastAsia="宋体" w:cs="宋体"/>
          <w:color w:val="auto"/>
          <w:sz w:val="28"/>
          <w:szCs w:val="28"/>
          <w:lang w:eastAsia="zh-CN"/>
        </w:rPr>
      </w:pPr>
    </w:p>
    <w:p w14:paraId="68F31AE4">
      <w:pPr>
        <w:keepNext w:val="0"/>
        <w:keepLines w:val="0"/>
        <w:pageBreakBefore w:val="0"/>
        <w:overflowPunct/>
        <w:topLinePunct w:val="0"/>
        <w:bidi w:val="0"/>
        <w:spacing w:line="360" w:lineRule="auto"/>
        <w:rPr>
          <w:rFonts w:hint="eastAsia" w:ascii="宋体" w:hAnsi="宋体" w:eastAsia="宋体" w:cs="宋体"/>
          <w:color w:val="auto"/>
          <w:sz w:val="28"/>
          <w:szCs w:val="28"/>
          <w:lang w:eastAsia="zh-CN"/>
        </w:rPr>
      </w:pPr>
    </w:p>
    <w:p w14:paraId="3D831ADA">
      <w:pPr>
        <w:keepNext w:val="0"/>
        <w:keepLines w:val="0"/>
        <w:pageBreakBefore w:val="0"/>
        <w:overflowPunct/>
        <w:topLinePunct w:val="0"/>
        <w:bidi w:val="0"/>
        <w:spacing w:line="360" w:lineRule="auto"/>
        <w:rPr>
          <w:rFonts w:hint="eastAsia" w:ascii="宋体" w:hAnsi="宋体" w:eastAsia="宋体" w:cs="宋体"/>
          <w:color w:val="auto"/>
          <w:sz w:val="28"/>
          <w:szCs w:val="28"/>
          <w:lang w:eastAsia="zh-CN"/>
        </w:rPr>
        <w:sectPr>
          <w:footerReference r:id="rId10" w:type="default"/>
          <w:pgSz w:w="11900" w:h="16840"/>
          <w:pgMar w:top="1440" w:right="1080" w:bottom="1440" w:left="1080" w:header="0" w:footer="0" w:gutter="0"/>
          <w:pgNumType w:fmt="decimal"/>
          <w:cols w:space="720" w:num="1"/>
        </w:sectPr>
      </w:pPr>
    </w:p>
    <w:p w14:paraId="642FC4D4">
      <w:pPr>
        <w:keepNext w:val="0"/>
        <w:keepLines w:val="0"/>
        <w:pageBreakBefore w:val="0"/>
        <w:overflowPunct/>
        <w:topLinePunct w:val="0"/>
        <w:bidi w:val="0"/>
        <w:spacing w:line="360" w:lineRule="auto"/>
        <w:jc w:val="center"/>
        <w:outlineLvl w:val="0"/>
        <w:rPr>
          <w:rFonts w:hint="eastAsia" w:ascii="宋体" w:hAnsi="宋体" w:eastAsia="宋体" w:cs="宋体"/>
          <w:b/>
          <w:bCs/>
          <w:color w:val="auto"/>
          <w:sz w:val="28"/>
          <w:szCs w:val="28"/>
        </w:rPr>
      </w:pPr>
      <w:bookmarkStart w:id="24" w:name="_Toc29758"/>
      <w:r>
        <w:rPr>
          <w:rFonts w:hint="eastAsia" w:ascii="宋体" w:hAnsi="宋体" w:eastAsia="宋体" w:cs="宋体"/>
          <w:b/>
          <w:bCs/>
          <w:color w:val="auto"/>
          <w:sz w:val="28"/>
          <w:szCs w:val="28"/>
        </w:rPr>
        <w:t>第四章 供应商应当提交的资格、资信证明文件</w:t>
      </w:r>
      <w:bookmarkEnd w:id="24"/>
    </w:p>
    <w:p w14:paraId="51B62769">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6B5DBD04">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供应商应提交证明其有资格参加谈判和成交后有能力履行合同的相关文件，并作为其响应文件的一部分，所有文件必须真实可靠、不得伪造，否则将按相关规定予以处罚。</w:t>
      </w:r>
    </w:p>
    <w:p w14:paraId="3ED10C25">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一、法人或者其他组织的营业执照等证明文件，自然人的身份证明。法人包括企业法人、机关法人、事业单位法人和社会 团体法人；其他组织主要包括合伙企业、非企业专业服务机构、个体工商户、农村承包经营户； 自然人是指具有完全民事行为 能力、能够承担民事责任和义务的公民。如供应商是企业（包括合伙企业），要提供在市场监督管理部门注册的有效“企业法  人营业执照”或“营业执照” ；如供应商是事业单位，要提供有效的“事业单位法人证书” ；供应商是非企业专业服务机构，如律  师事务所、会计师事务所，要提供有效的执业许可证等证明文件；如供应商是个体工商户，要提供有效的“个体工商户营业执照” ；如供应商是自然人，要提供有效的自然人身份证明。</w:t>
      </w:r>
    </w:p>
    <w:p w14:paraId="077704A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分公司不是独立法人，不具备政府采购法第二十二条规定的供应商应当具备独立承担民事责任能力的条件。分公司经总公司授权，可以以分公司的名义参加政府采购活动，但其民事责任由总公司承担。</w:t>
      </w:r>
    </w:p>
    <w:p w14:paraId="2CA7CDD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二、财务状况报告，依法缴纳税收和社会保障资金的相关材料（详见资格审查表）。</w:t>
      </w:r>
    </w:p>
    <w:p w14:paraId="2AC114EA">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1"/>
        <w:rPr>
          <w:rFonts w:hint="eastAsia" w:ascii="宋体" w:hAnsi="宋体" w:eastAsia="宋体" w:cs="宋体"/>
          <w:color w:val="auto"/>
          <w:sz w:val="28"/>
          <w:szCs w:val="28"/>
        </w:rPr>
      </w:pPr>
      <w:r>
        <w:rPr>
          <w:rFonts w:hint="eastAsia" w:ascii="宋体" w:hAnsi="宋体" w:eastAsia="宋体" w:cs="宋体"/>
          <w:color w:val="auto"/>
          <w:sz w:val="28"/>
          <w:szCs w:val="28"/>
        </w:rPr>
        <w:t>三、具备履行合同所必需的设备和专业技术能力的证明材料。</w:t>
      </w:r>
    </w:p>
    <w:p w14:paraId="618A120B">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lang w:eastAsia="zh-CN"/>
        </w:rPr>
      </w:pPr>
      <w:r>
        <w:rPr>
          <w:rFonts w:hint="eastAsia" w:ascii="宋体" w:hAnsi="宋体" w:eastAsia="宋体" w:cs="宋体"/>
          <w:color w:val="auto"/>
          <w:sz w:val="28"/>
          <w:szCs w:val="28"/>
        </w:rPr>
        <w:t>四、参加政府采购活动前3年内在经营活动中没有重大违法记录的书面声明</w:t>
      </w:r>
      <w:r>
        <w:rPr>
          <w:rFonts w:hint="eastAsia" w:ascii="宋体" w:hAnsi="宋体" w:eastAsia="宋体" w:cs="宋体"/>
          <w:color w:val="auto"/>
          <w:sz w:val="28"/>
          <w:szCs w:val="28"/>
          <w:lang w:eastAsia="zh-CN"/>
        </w:rPr>
        <w:t>。</w:t>
      </w:r>
    </w:p>
    <w:p w14:paraId="23889E0A">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五、按照谈判文件要求，供应商应当提交的其他资格、资信证明文件。</w:t>
      </w:r>
    </w:p>
    <w:p w14:paraId="39F22244">
      <w:pPr>
        <w:keepNext w:val="0"/>
        <w:keepLines w:val="0"/>
        <w:pageBreakBefore w:val="0"/>
        <w:overflowPunct/>
        <w:topLinePunct w:val="0"/>
        <w:bidi w:val="0"/>
        <w:spacing w:line="360" w:lineRule="auto"/>
        <w:rPr>
          <w:rFonts w:hint="eastAsia" w:ascii="宋体" w:hAnsi="宋体" w:eastAsia="宋体" w:cs="宋体"/>
          <w:color w:val="auto"/>
          <w:sz w:val="28"/>
          <w:szCs w:val="28"/>
        </w:rPr>
        <w:sectPr>
          <w:footerReference r:id="rId11" w:type="default"/>
          <w:pgSz w:w="11900" w:h="16840"/>
          <w:pgMar w:top="1440" w:right="1080" w:bottom="1440" w:left="1080" w:header="0" w:footer="0" w:gutter="0"/>
          <w:pgNumType w:fmt="decimal"/>
          <w:cols w:space="720" w:num="1"/>
        </w:sectPr>
      </w:pPr>
    </w:p>
    <w:p w14:paraId="2754E203">
      <w:pPr>
        <w:keepNext w:val="0"/>
        <w:keepLines w:val="0"/>
        <w:pageBreakBefore w:val="0"/>
        <w:overflowPunct/>
        <w:topLinePunct w:val="0"/>
        <w:bidi w:val="0"/>
        <w:spacing w:line="360" w:lineRule="auto"/>
        <w:jc w:val="center"/>
        <w:outlineLvl w:val="0"/>
        <w:rPr>
          <w:rFonts w:hint="eastAsia" w:ascii="宋体" w:hAnsi="宋体" w:eastAsia="宋体" w:cs="宋体"/>
          <w:b/>
          <w:bCs/>
          <w:color w:val="auto"/>
          <w:sz w:val="28"/>
          <w:szCs w:val="28"/>
        </w:rPr>
      </w:pPr>
      <w:bookmarkStart w:id="25" w:name="_Toc2568"/>
      <w:r>
        <w:rPr>
          <w:rFonts w:hint="eastAsia" w:ascii="宋体" w:hAnsi="宋体" w:eastAsia="宋体" w:cs="宋体"/>
          <w:b/>
          <w:bCs/>
          <w:color w:val="auto"/>
          <w:sz w:val="28"/>
          <w:szCs w:val="28"/>
        </w:rPr>
        <w:t>第五章 评审</w:t>
      </w:r>
      <w:bookmarkEnd w:id="25"/>
    </w:p>
    <w:p w14:paraId="3C1D2366">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一、评审要求</w:t>
      </w:r>
    </w:p>
    <w:p w14:paraId="3C412B23">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rPr>
        <w:t>1.评审方法</w:t>
      </w:r>
    </w:p>
    <w:p w14:paraId="550727D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谈判结束后，谈判小组应当要求所有参加谈判的供应商在规定时间内进行最后报价，采购人从谈判小组提出的成交候选人中根据符合采购需求、质量和服务相等且报价最低的原则确定成交供应商。</w:t>
      </w:r>
    </w:p>
    <w:p w14:paraId="2A804E1C">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rPr>
        <w:t>2.评审原则</w:t>
      </w:r>
    </w:p>
    <w:p w14:paraId="211BDBA1">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2.1谈判小组成员应当遵循客观、公正、审慎的原则，根据谈判文件规定的评审程序、评审方法和评审标准进行独立评审。</w:t>
      </w:r>
    </w:p>
    <w:p w14:paraId="6F62D109">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2.2具体评审事项由谈判小组负责，并按谈判文件规定的办法进行评审。</w:t>
      </w:r>
    </w:p>
    <w:p w14:paraId="7DC5C1A0">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rPr>
        <w:t>3.谈判小组</w:t>
      </w:r>
    </w:p>
    <w:p w14:paraId="6FD30CF1">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3.1谈判小组由采购人代表和评审专家共3人以上单数组成，其中评审专家人数不得少于竞争性谈判小组成员总数的2/3。</w:t>
      </w:r>
    </w:p>
    <w:p w14:paraId="17191244">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3"/>
        <w:rPr>
          <w:rFonts w:hint="eastAsia" w:ascii="宋体" w:hAnsi="宋体" w:eastAsia="宋体" w:cs="宋体"/>
          <w:color w:val="auto"/>
          <w:sz w:val="28"/>
          <w:szCs w:val="28"/>
        </w:rPr>
      </w:pPr>
      <w:r>
        <w:rPr>
          <w:rFonts w:hint="eastAsia" w:ascii="宋体" w:hAnsi="宋体" w:eastAsia="宋体" w:cs="宋体"/>
          <w:color w:val="auto"/>
          <w:sz w:val="28"/>
          <w:szCs w:val="28"/>
        </w:rPr>
        <w:t>3.2 谈判小组成员有下列情形之一的，应当回避：</w:t>
      </w:r>
    </w:p>
    <w:p w14:paraId="08414640">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（1）参加政府采购活动前3年内,与供应商存在劳动关系,或者担任过供应商的董事、监事,或者是供应商的控股股东或实际控制人；</w:t>
      </w:r>
    </w:p>
    <w:p w14:paraId="64D8B7A5">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（2）与供应商的法定代表人或者负责人有夫妻、直系血亲、三代以内旁系血亲或者近姻亲关系；</w:t>
      </w:r>
    </w:p>
    <w:p w14:paraId="2681D554">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（3）与供应商有其他可能影响政府采购活动公平、公正进行的关系。</w:t>
      </w:r>
    </w:p>
    <w:p w14:paraId="28C558FF">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3"/>
        <w:rPr>
          <w:rFonts w:hint="eastAsia" w:ascii="宋体" w:hAnsi="宋体" w:eastAsia="宋体" w:cs="宋体"/>
          <w:color w:val="auto"/>
          <w:sz w:val="28"/>
          <w:szCs w:val="28"/>
        </w:rPr>
      </w:pPr>
      <w:r>
        <w:rPr>
          <w:rFonts w:hint="eastAsia" w:ascii="宋体" w:hAnsi="宋体" w:eastAsia="宋体" w:cs="宋体"/>
          <w:color w:val="auto"/>
          <w:sz w:val="28"/>
          <w:szCs w:val="28"/>
        </w:rPr>
        <w:t>3.3 谈判小组应当履行下列职责：</w:t>
      </w:r>
    </w:p>
    <w:p w14:paraId="799EE094">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4"/>
        <w:rPr>
          <w:rFonts w:hint="eastAsia" w:ascii="宋体" w:hAnsi="宋体" w:eastAsia="宋体" w:cs="宋体"/>
          <w:color w:val="auto"/>
          <w:sz w:val="28"/>
          <w:szCs w:val="28"/>
        </w:rPr>
      </w:pPr>
      <w:r>
        <w:rPr>
          <w:rFonts w:hint="eastAsia" w:ascii="宋体" w:hAnsi="宋体" w:eastAsia="宋体" w:cs="宋体"/>
          <w:color w:val="auto"/>
          <w:sz w:val="28"/>
          <w:szCs w:val="28"/>
        </w:rPr>
        <w:t>（1）确认或者制定谈判文件；</w:t>
      </w:r>
    </w:p>
    <w:p w14:paraId="010260B2">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（2）从符合相应资格条件的供应商名单中确定不少于3家的供应商参加谈判；</w:t>
      </w:r>
    </w:p>
    <w:p w14:paraId="1220E56F">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（3）审查供应商的响应文件并作出评价；</w:t>
      </w:r>
    </w:p>
    <w:p w14:paraId="52E73129">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（4）要求供应商解释或者澄清其响应文件；</w:t>
      </w:r>
    </w:p>
    <w:p w14:paraId="4186173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（5）编写评审报告；</w:t>
      </w:r>
    </w:p>
    <w:p w14:paraId="4865B9F2">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（6）告知采购人、采购代理机构在评审过程中发现的供应商的违法违规行为。</w:t>
      </w:r>
    </w:p>
    <w:p w14:paraId="5DDA2112">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4"/>
        <w:rPr>
          <w:rFonts w:hint="eastAsia" w:ascii="宋体" w:hAnsi="宋体" w:eastAsia="宋体" w:cs="宋体"/>
          <w:color w:val="auto"/>
          <w:sz w:val="28"/>
          <w:szCs w:val="28"/>
        </w:rPr>
      </w:pPr>
      <w:r>
        <w:rPr>
          <w:rFonts w:hint="eastAsia" w:ascii="宋体" w:hAnsi="宋体" w:eastAsia="宋体" w:cs="宋体"/>
          <w:color w:val="auto"/>
          <w:sz w:val="28"/>
          <w:szCs w:val="28"/>
        </w:rPr>
        <w:t>（7）法律法规规定的其他职责。</w:t>
      </w:r>
    </w:p>
    <w:p w14:paraId="2C46F83F">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rPr>
        <w:t>4.澄清</w:t>
      </w:r>
    </w:p>
    <w:p w14:paraId="40E99BEB">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E108FC7">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49A588A">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3"/>
        <w:rPr>
          <w:rFonts w:hint="eastAsia" w:ascii="宋体" w:hAnsi="宋体" w:eastAsia="宋体" w:cs="宋体"/>
          <w:color w:val="auto"/>
          <w:sz w:val="28"/>
          <w:szCs w:val="28"/>
        </w:rPr>
      </w:pPr>
      <w:r>
        <w:rPr>
          <w:rFonts w:hint="eastAsia" w:ascii="宋体" w:hAnsi="宋体" w:eastAsia="宋体" w:cs="宋体"/>
          <w:color w:val="auto"/>
          <w:sz w:val="28"/>
          <w:szCs w:val="28"/>
        </w:rPr>
        <w:t>4.1谈判小组不接受供应商主动提出的澄清、说明或更正。</w:t>
      </w:r>
    </w:p>
    <w:p w14:paraId="2BEA70C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4.2谈判小组对供应商提交的澄清、说明或更正有疑问的，可以要求供应商进一步澄清、说明或更正。</w:t>
      </w:r>
    </w:p>
    <w:p w14:paraId="690D5B1C">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rPr>
        <w:t>5.有下列情形之一的，属于恶意串通，并追究法律责任：</w:t>
      </w:r>
    </w:p>
    <w:p w14:paraId="02C95421">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（1）供应商直接或者间接从采购人或者采购代理机构处获得其他供应商的相关情况并修改其响应文件；</w:t>
      </w:r>
    </w:p>
    <w:p w14:paraId="4E6684AC">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（2）供应商按照采购人或者采购代理机构的授意撤换、修改响应文件；</w:t>
      </w:r>
    </w:p>
    <w:p w14:paraId="43776A2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3"/>
        <w:rPr>
          <w:rFonts w:hint="eastAsia" w:ascii="宋体" w:hAnsi="宋体" w:eastAsia="宋体" w:cs="宋体"/>
          <w:color w:val="auto"/>
          <w:sz w:val="28"/>
          <w:szCs w:val="28"/>
        </w:rPr>
      </w:pPr>
      <w:r>
        <w:rPr>
          <w:rFonts w:hint="eastAsia" w:ascii="宋体" w:hAnsi="宋体" w:eastAsia="宋体" w:cs="宋体"/>
          <w:color w:val="auto"/>
          <w:sz w:val="28"/>
          <w:szCs w:val="28"/>
        </w:rPr>
        <w:t>（3）供应商之间协商报价、技术方案等响应文件的实质性内容；</w:t>
      </w:r>
    </w:p>
    <w:p w14:paraId="12FC8DD5">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（4）属于同一集团、协会、商会等组织成员的供应商按照该组织要求协同参加政府采购活动；</w:t>
      </w:r>
    </w:p>
    <w:p w14:paraId="38DA3750">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3"/>
        <w:rPr>
          <w:rFonts w:hint="eastAsia" w:ascii="宋体" w:hAnsi="宋体" w:eastAsia="宋体" w:cs="宋体"/>
          <w:color w:val="auto"/>
          <w:sz w:val="28"/>
          <w:szCs w:val="28"/>
        </w:rPr>
      </w:pPr>
      <w:r>
        <w:rPr>
          <w:rFonts w:hint="eastAsia" w:ascii="宋体" w:hAnsi="宋体" w:eastAsia="宋体" w:cs="宋体"/>
          <w:color w:val="auto"/>
          <w:sz w:val="28"/>
          <w:szCs w:val="28"/>
        </w:rPr>
        <w:t>（5）供应商之间事先约定由某一特定供应商成交；</w:t>
      </w:r>
    </w:p>
    <w:p w14:paraId="0C9B6871">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（6）供应商之间商定部分供应商放弃参加政府采购活动或者放弃成交；</w:t>
      </w:r>
    </w:p>
    <w:p w14:paraId="73DDCE5A">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（7）供应商与采购人或者采购代理机构之间、供应商相互之间，为谋求特定供应商成交或者排斥其他供应商的其他串通行为。</w:t>
      </w:r>
    </w:p>
    <w:p w14:paraId="6E578EA2">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rPr>
          <w:rFonts w:hint="eastAsia" w:ascii="宋体" w:hAnsi="宋体" w:eastAsia="宋体" w:cs="宋体"/>
          <w:b/>
          <w:bCs/>
          <w:color w:val="auto"/>
          <w:sz w:val="28"/>
          <w:szCs w:val="28"/>
        </w:rPr>
      </w:pPr>
      <w:r>
        <w:rPr>
          <w:rFonts w:hint="eastAsia" w:ascii="宋体" w:hAnsi="宋体" w:eastAsia="宋体" w:cs="宋体"/>
          <w:b/>
          <w:bCs/>
          <w:color w:val="auto"/>
          <w:sz w:val="28"/>
          <w:szCs w:val="28"/>
        </w:rPr>
        <w:t>6.响应无效的情形</w:t>
      </w:r>
    </w:p>
    <w:p w14:paraId="60390763">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1.供应商资格</w:t>
      </w:r>
      <w:r>
        <w:rPr>
          <w:rFonts w:hint="eastAsia" w:ascii="宋体" w:hAnsi="宋体" w:eastAsia="宋体" w:cs="宋体"/>
          <w:color w:val="auto"/>
          <w:sz w:val="28"/>
          <w:szCs w:val="28"/>
          <w:lang w:val="en-US" w:eastAsia="zh-CN"/>
        </w:rPr>
        <w:t>不符合的</w:t>
      </w:r>
      <w:r>
        <w:rPr>
          <w:rFonts w:hint="eastAsia" w:ascii="宋体" w:hAnsi="宋体" w:eastAsia="宋体" w:cs="宋体"/>
          <w:color w:val="auto"/>
          <w:sz w:val="28"/>
          <w:szCs w:val="28"/>
        </w:rPr>
        <w:t>；</w:t>
      </w:r>
    </w:p>
    <w:p w14:paraId="2E26281B">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2.供应商递交的响应文件没有按照谈判文件要求密封、签字、盖章的；</w:t>
      </w:r>
    </w:p>
    <w:p w14:paraId="10C5965C">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rPr>
        <w:t>.供应商递交的响应文件不足三份（A4纸正本一份，副本二份）的；正本和副本的封面上未标明“正本”或“副本”的字样的；</w:t>
      </w:r>
    </w:p>
    <w:p w14:paraId="0A8EC96B">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4</w:t>
      </w:r>
      <w:r>
        <w:rPr>
          <w:rFonts w:hint="eastAsia" w:ascii="宋体" w:hAnsi="宋体" w:eastAsia="宋体" w:cs="宋体"/>
          <w:color w:val="auto"/>
          <w:sz w:val="28"/>
          <w:szCs w:val="28"/>
        </w:rPr>
        <w:t>.供应商的报价（包括分项报价，投标总报价）只能有一个有效报价且不超过采购预算或最高限价；</w:t>
      </w:r>
    </w:p>
    <w:p w14:paraId="35DA4AE5">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rPr>
        <w:t>.单位负责人为同一人或者存在直接控股、管理关系供应商，参加同一项下的采购活动的；</w:t>
      </w:r>
    </w:p>
    <w:p w14:paraId="6348135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6</w:t>
      </w:r>
      <w:r>
        <w:rPr>
          <w:rFonts w:hint="eastAsia" w:ascii="宋体" w:hAnsi="宋体" w:eastAsia="宋体" w:cs="宋体"/>
          <w:color w:val="auto"/>
          <w:sz w:val="28"/>
          <w:szCs w:val="28"/>
        </w:rPr>
        <w:t>.为采购项目提供整体设计、规范编制或者项目管理、监理、检测等服务的供应商，再参加该采购项目其他采购活动的；</w:t>
      </w:r>
    </w:p>
    <w:p w14:paraId="340C2D3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7</w:t>
      </w:r>
      <w:r>
        <w:rPr>
          <w:rFonts w:hint="eastAsia" w:ascii="宋体" w:hAnsi="宋体" w:eastAsia="宋体" w:cs="宋体"/>
          <w:color w:val="auto"/>
          <w:sz w:val="28"/>
          <w:szCs w:val="28"/>
        </w:rPr>
        <w:t>.谈判文件要求的其他无效投标情形；围标、串标和法律法规规定的其它无效投标条款。</w:t>
      </w:r>
    </w:p>
    <w:p w14:paraId="005D88FA">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rPr>
        <w:t>7.终止的情形</w:t>
      </w:r>
    </w:p>
    <w:p w14:paraId="17967DB7">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出现下列情形之一的，采购人或者采购代理机构应当终止竞争性谈判采购活动，发布项目终止公告并说明原因，重新开展采购活动：</w:t>
      </w:r>
    </w:p>
    <w:p w14:paraId="604CD686">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（1）因情况变化，不再符合规定的竞争性谈判采购方式适用情形的；</w:t>
      </w:r>
    </w:p>
    <w:p w14:paraId="04ABDD01">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3"/>
        <w:rPr>
          <w:rFonts w:hint="eastAsia" w:ascii="宋体" w:hAnsi="宋体" w:eastAsia="宋体" w:cs="宋体"/>
          <w:color w:val="auto"/>
          <w:sz w:val="28"/>
          <w:szCs w:val="28"/>
        </w:rPr>
      </w:pPr>
      <w:r>
        <w:rPr>
          <w:rFonts w:hint="eastAsia" w:ascii="宋体" w:hAnsi="宋体" w:eastAsia="宋体" w:cs="宋体"/>
          <w:color w:val="auto"/>
          <w:sz w:val="28"/>
          <w:szCs w:val="28"/>
        </w:rPr>
        <w:t>（2）出现影响采购公正的违法、违规行为的；</w:t>
      </w:r>
    </w:p>
    <w:p w14:paraId="00FF0ED1">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（3）除《政府采购非招标采购方式管理办法》规定的情形外，在采购过程中符合竞争要求的供应商或者报价未超过采购预算的供应商不足3家的。</w:t>
      </w:r>
    </w:p>
    <w:p w14:paraId="6131F955">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3"/>
        <w:rPr>
          <w:rFonts w:hint="eastAsia" w:ascii="宋体" w:hAnsi="宋体" w:eastAsia="宋体" w:cs="宋体"/>
          <w:color w:val="auto"/>
          <w:sz w:val="28"/>
          <w:szCs w:val="28"/>
        </w:rPr>
      </w:pPr>
      <w:r>
        <w:rPr>
          <w:rFonts w:hint="eastAsia" w:ascii="宋体" w:hAnsi="宋体" w:eastAsia="宋体" w:cs="宋体"/>
          <w:color w:val="auto"/>
          <w:sz w:val="28"/>
          <w:szCs w:val="28"/>
        </w:rPr>
        <w:t>（4）法律、法规以及谈判文件规定的其他情形。</w:t>
      </w:r>
    </w:p>
    <w:p w14:paraId="29C0BA94">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rPr>
        <w:t>8.成交</w:t>
      </w:r>
    </w:p>
    <w:p w14:paraId="11D660B6">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评审结束后，谈判小组根据采购人书面授权直接确定成交供应商或者由采购人从评审报告提出的成交候选供应商中按顺序确定成交供应商。</w:t>
      </w:r>
    </w:p>
    <w:p w14:paraId="19AFC3D4">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二、落实政府采购政策</w:t>
      </w:r>
    </w:p>
    <w:p w14:paraId="3A55F4F5">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rPr>
        <w:t>1.节约能源、保护环境</w:t>
      </w:r>
    </w:p>
    <w:p w14:paraId="68FD17EF">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采购的产品属于品目清单范围的，将依据国家确定的认证机构出具的、处于有效期之内的节能产品、环境标志产品认证证书，对获得证书的产品实施政府优先采购或强制采购，具体按照本谈判文件相关要求执行。</w:t>
      </w:r>
    </w:p>
    <w:p w14:paraId="3E1F2ECE">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rPr>
        <w:t>2.促进中小企业发展</w:t>
      </w:r>
    </w:p>
    <w:p w14:paraId="46293C61">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2.1采购人在政府采购活动中应当通过加强采购需求管理，落实预留采购份额、价格评审优惠、优先采购等措施，提高中小企业在政府采购中的份额，支持中小企业发展。</w:t>
      </w:r>
    </w:p>
    <w:p w14:paraId="7DC0D1B5">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2.2《政府采购促进中小企业发展管理办法》所称中小企业，是指在中华人民共和国境内依法设立，依据国务院批准的中  小企业划分标准确定的中型企业、小型企业和微型企业，但与大企业的负责人为同一人，或者与大企业存在直接控股、管理关系的除外。符合中小企业划分标准的个体工商户，在政府采购活动中视同中小企业。</w:t>
      </w:r>
    </w:p>
    <w:p w14:paraId="3B76070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2.3在政府采购活动中，供应商提供的货物、工程或者服务符合下列情形的，享受《政府采购促进中小企业发展管理办法》规定的中小企业扶持政策：</w:t>
      </w:r>
    </w:p>
    <w:p w14:paraId="2563036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（1）在货物采购项目中，货物由中小企业制造，即货物由中小企业生产且使用该中小企业商号或者注册商标；</w:t>
      </w:r>
    </w:p>
    <w:p w14:paraId="755329D0">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（2）在工程采购项目中，工程由中小企业承建，即工程施工单位为中小企业；</w:t>
      </w:r>
    </w:p>
    <w:p w14:paraId="0898B5D6">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（3）在服务采购项目中，服务由中小企业承接，即提供服务的人员为中小企业依照《中华人民共和国劳动合同法》订立劳动合同的从业人员。</w:t>
      </w:r>
    </w:p>
    <w:p w14:paraId="5B37A814">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在货物采购项目中，供应商提供的货物既有中小企业制造货物，也有大型企业制造货物的，不享受《政府采购促进中小企业发展管理办法》规定的中小企业扶持政策。</w:t>
      </w:r>
    </w:p>
    <w:p w14:paraId="18C0FF0E">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以联合体形式参加政府采购活动，联合体各方均为中小企业的，联合体视同中小企业。其中，联合体各方均为小微企业的，联合体视同小微企业。</w:t>
      </w:r>
    </w:p>
    <w:p w14:paraId="4A018B7C">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2.4依照《政府采购促进中小企业发展管理办法》《关于政府采购支持监狱企业发展有关问题的通知》和《财政部 民政部 中国残疾人联合会关于促进残疾人就业政府采购政策的通知》的规定，凡符合要求的小型、微型企业、监狱企业或残疾人福利性单位，按照以下比例给予相应的价格扣除：</w:t>
      </w:r>
    </w:p>
    <w:p w14:paraId="7CCA56D9">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1"/>
        <w:rPr>
          <w:rFonts w:hint="eastAsia" w:ascii="宋体" w:hAnsi="宋体" w:eastAsia="宋体" w:cs="宋体"/>
          <w:color w:val="auto"/>
          <w:sz w:val="28"/>
          <w:szCs w:val="28"/>
        </w:rPr>
      </w:pPr>
      <w:r>
        <w:rPr>
          <w:rFonts w:hint="eastAsia" w:ascii="宋体" w:hAnsi="宋体" w:eastAsia="宋体" w:cs="宋体"/>
          <w:color w:val="auto"/>
          <w:sz w:val="28"/>
          <w:szCs w:val="28"/>
        </w:rPr>
        <w:t>合同包1（</w:t>
      </w:r>
      <w:r>
        <w:rPr>
          <w:rFonts w:hint="eastAsia" w:ascii="宋体" w:hAnsi="宋体" w:eastAsia="宋体" w:cs="宋体"/>
          <w:color w:val="auto"/>
          <w:sz w:val="28"/>
          <w:szCs w:val="28"/>
          <w:lang w:eastAsia="zh-CN"/>
        </w:rPr>
        <w:t>赤峰市生态环境局敖汉旗分局2026年实验室耗材采购</w:t>
      </w:r>
      <w:r>
        <w:rPr>
          <w:rFonts w:hint="eastAsia" w:ascii="宋体" w:hAnsi="宋体" w:eastAsia="宋体" w:cs="宋体"/>
          <w:color w:val="auto"/>
          <w:sz w:val="28"/>
          <w:szCs w:val="28"/>
        </w:rPr>
        <w:t>）</w:t>
      </w:r>
    </w:p>
    <w:tbl>
      <w:tblPr>
        <w:tblStyle w:val="14"/>
        <w:tblW w:w="976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9"/>
        <w:gridCol w:w="1309"/>
        <w:gridCol w:w="1215"/>
        <w:gridCol w:w="1800"/>
        <w:gridCol w:w="4635"/>
      </w:tblGrid>
      <w:tr w14:paraId="4584F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809" w:type="dxa"/>
            <w:vAlign w:val="top"/>
          </w:tcPr>
          <w:p w14:paraId="503E927B">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序号</w:t>
            </w:r>
          </w:p>
        </w:tc>
        <w:tc>
          <w:tcPr>
            <w:tcW w:w="1309" w:type="dxa"/>
            <w:vAlign w:val="top"/>
          </w:tcPr>
          <w:p w14:paraId="598F5E18">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情形</w:t>
            </w:r>
          </w:p>
        </w:tc>
        <w:tc>
          <w:tcPr>
            <w:tcW w:w="1215" w:type="dxa"/>
            <w:vAlign w:val="top"/>
          </w:tcPr>
          <w:p w14:paraId="76BB178B">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适用对象</w:t>
            </w:r>
          </w:p>
        </w:tc>
        <w:tc>
          <w:tcPr>
            <w:tcW w:w="1800" w:type="dxa"/>
            <w:vAlign w:val="top"/>
          </w:tcPr>
          <w:p w14:paraId="09FB04A5">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价格扣除比例</w:t>
            </w:r>
          </w:p>
        </w:tc>
        <w:tc>
          <w:tcPr>
            <w:tcW w:w="4635" w:type="dxa"/>
            <w:vAlign w:val="top"/>
          </w:tcPr>
          <w:p w14:paraId="7F60E3CF">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计算公式</w:t>
            </w:r>
          </w:p>
        </w:tc>
      </w:tr>
      <w:tr w14:paraId="428D2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809" w:type="dxa"/>
            <w:vAlign w:val="top"/>
          </w:tcPr>
          <w:p w14:paraId="3D936312">
            <w:pPr>
              <w:spacing w:line="360" w:lineRule="auto"/>
              <w:jc w:val="both"/>
              <w:rPr>
                <w:rFonts w:hint="eastAsia" w:ascii="宋体" w:hAnsi="宋体" w:eastAsia="宋体" w:cs="宋体"/>
                <w:color w:val="auto"/>
                <w:sz w:val="28"/>
                <w:szCs w:val="28"/>
                <w:lang w:val="en-US" w:eastAsia="zh-CN" w:bidi="ar-SA"/>
              </w:rPr>
            </w:pPr>
          </w:p>
          <w:p w14:paraId="663B8390">
            <w:pPr>
              <w:spacing w:line="360" w:lineRule="auto"/>
              <w:jc w:val="center"/>
              <w:rPr>
                <w:rFonts w:hint="eastAsia" w:ascii="宋体" w:hAnsi="宋体" w:eastAsia="宋体" w:cs="宋体"/>
                <w:color w:val="auto"/>
                <w:sz w:val="28"/>
                <w:szCs w:val="28"/>
                <w:lang w:val="en-US" w:eastAsia="zh-CN" w:bidi="ar-SA"/>
              </w:rPr>
            </w:pPr>
          </w:p>
          <w:p w14:paraId="5706A242">
            <w:pPr>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bidi="ar-SA"/>
              </w:rPr>
              <w:t>1</w:t>
            </w:r>
          </w:p>
        </w:tc>
        <w:tc>
          <w:tcPr>
            <w:tcW w:w="1309" w:type="dxa"/>
            <w:vAlign w:val="top"/>
          </w:tcPr>
          <w:p w14:paraId="1C83240E">
            <w:pPr>
              <w:spacing w:line="360" w:lineRule="auto"/>
              <w:rPr>
                <w:rFonts w:hint="eastAsia" w:ascii="宋体" w:hAnsi="宋体" w:eastAsia="宋体" w:cs="宋体"/>
                <w:color w:val="auto"/>
                <w:sz w:val="28"/>
                <w:szCs w:val="28"/>
                <w:lang w:val="en-US" w:eastAsia="zh-CN" w:bidi="ar-SA"/>
              </w:rPr>
            </w:pPr>
          </w:p>
          <w:p w14:paraId="5FCF404C">
            <w:pPr>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bidi="ar-SA"/>
              </w:rPr>
              <w:t>小型、微型企业，监狱企业, 残疾人福利性单位</w:t>
            </w:r>
          </w:p>
        </w:tc>
        <w:tc>
          <w:tcPr>
            <w:tcW w:w="1215" w:type="dxa"/>
            <w:vAlign w:val="top"/>
          </w:tcPr>
          <w:p w14:paraId="11E330E1">
            <w:pPr>
              <w:spacing w:line="360" w:lineRule="auto"/>
              <w:jc w:val="center"/>
              <w:rPr>
                <w:rFonts w:hint="eastAsia" w:ascii="宋体" w:hAnsi="宋体" w:eastAsia="宋体" w:cs="宋体"/>
                <w:color w:val="auto"/>
                <w:sz w:val="28"/>
                <w:szCs w:val="28"/>
                <w:lang w:val="en-US" w:eastAsia="zh-CN" w:bidi="ar-SA"/>
              </w:rPr>
            </w:pPr>
          </w:p>
          <w:p w14:paraId="340A191B">
            <w:pPr>
              <w:spacing w:line="360" w:lineRule="auto"/>
              <w:jc w:val="center"/>
              <w:rPr>
                <w:rFonts w:hint="eastAsia" w:ascii="宋体" w:hAnsi="宋体" w:eastAsia="宋体" w:cs="宋体"/>
                <w:color w:val="auto"/>
                <w:sz w:val="28"/>
                <w:szCs w:val="28"/>
                <w:lang w:val="en-US" w:eastAsia="zh-CN" w:bidi="ar-SA"/>
              </w:rPr>
            </w:pPr>
          </w:p>
          <w:p w14:paraId="72BE7CA9">
            <w:pPr>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bidi="ar-SA"/>
              </w:rPr>
              <w:t>非联合体</w:t>
            </w:r>
          </w:p>
        </w:tc>
        <w:tc>
          <w:tcPr>
            <w:tcW w:w="1800" w:type="dxa"/>
            <w:vAlign w:val="top"/>
          </w:tcPr>
          <w:p w14:paraId="2A631962">
            <w:pPr>
              <w:spacing w:line="360" w:lineRule="auto"/>
              <w:jc w:val="center"/>
              <w:rPr>
                <w:rFonts w:hint="eastAsia" w:ascii="宋体" w:hAnsi="宋体" w:eastAsia="宋体" w:cs="宋体"/>
                <w:color w:val="auto"/>
                <w:sz w:val="28"/>
                <w:szCs w:val="28"/>
                <w:lang w:val="en-US" w:eastAsia="zh-CN" w:bidi="ar-SA"/>
              </w:rPr>
            </w:pPr>
          </w:p>
          <w:p w14:paraId="3B2DF7CA">
            <w:pPr>
              <w:spacing w:line="360" w:lineRule="auto"/>
              <w:jc w:val="center"/>
              <w:rPr>
                <w:rFonts w:hint="eastAsia" w:ascii="宋体" w:hAnsi="宋体" w:eastAsia="宋体" w:cs="宋体"/>
                <w:color w:val="auto"/>
                <w:sz w:val="28"/>
                <w:szCs w:val="28"/>
                <w:lang w:val="en-US" w:eastAsia="zh-CN" w:bidi="ar-SA"/>
              </w:rPr>
            </w:pPr>
          </w:p>
          <w:p w14:paraId="553449C4">
            <w:pPr>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bidi="ar-SA"/>
              </w:rPr>
              <w:t>15%</w:t>
            </w:r>
          </w:p>
        </w:tc>
        <w:tc>
          <w:tcPr>
            <w:tcW w:w="4635" w:type="dxa"/>
            <w:vAlign w:val="top"/>
          </w:tcPr>
          <w:p w14:paraId="697A87DF">
            <w:pPr>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bidi="ar-SA"/>
              </w:rPr>
              <w:t>货物由小微企业制造，即货物由小微企业生产且使用该小微企业商号或者注册商标时，给予价格扣除C1，即：评标价=投标报价×（1-C1）；监狱企业与残疾人 福利性单位视同小型、微型企业，享受同等价格扣除, 当企业属性重复时，不重复价格扣除。</w:t>
            </w:r>
          </w:p>
        </w:tc>
      </w:tr>
      <w:tr w14:paraId="3C1A4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1" w:hRule="atLeast"/>
        </w:trPr>
        <w:tc>
          <w:tcPr>
            <w:tcW w:w="9768" w:type="dxa"/>
            <w:gridSpan w:val="5"/>
            <w:vAlign w:val="top"/>
          </w:tcPr>
          <w:p w14:paraId="2555C1CD">
            <w:pPr>
              <w:spacing w:before="90" w:line="360" w:lineRule="auto"/>
              <w:ind w:left="105"/>
              <w:rPr>
                <w:rFonts w:hint="eastAsia" w:ascii="宋体" w:hAnsi="宋体" w:eastAsia="宋体" w:cs="宋体"/>
                <w:color w:val="auto"/>
                <w:sz w:val="28"/>
                <w:szCs w:val="28"/>
              </w:rPr>
            </w:pPr>
            <w:r>
              <w:rPr>
                <w:rFonts w:hint="eastAsia" w:ascii="宋体" w:hAnsi="宋体" w:eastAsia="宋体" w:cs="宋体"/>
                <w:color w:val="auto"/>
                <w:spacing w:val="-4"/>
                <w:sz w:val="28"/>
                <w:szCs w:val="28"/>
                <w:highlight w:val="none"/>
              </w:rPr>
              <w:t>注：</w:t>
            </w:r>
            <w:r>
              <w:rPr>
                <w:rFonts w:hint="eastAsia" w:ascii="宋体" w:hAnsi="宋体" w:eastAsia="宋体" w:cs="宋体"/>
                <w:color w:val="auto"/>
                <w:spacing w:val="-2"/>
                <w:sz w:val="28"/>
                <w:szCs w:val="28"/>
                <w:highlight w:val="none"/>
              </w:rPr>
              <w:t>(1) 上述评标价仅用于计算价格评分，成交金额以实际投标价为准。   (2) 组成联合体的大中型企业和其他自然人、</w:t>
            </w:r>
            <w:r>
              <w:rPr>
                <w:rFonts w:hint="eastAsia" w:ascii="宋体" w:hAnsi="宋体" w:eastAsia="宋体" w:cs="宋体"/>
                <w:color w:val="auto"/>
                <w:spacing w:val="2"/>
                <w:sz w:val="28"/>
                <w:szCs w:val="28"/>
                <w:highlight w:val="none"/>
              </w:rPr>
              <w:t>法人或者其他组织，与小型、微型企业</w:t>
            </w:r>
            <w:r>
              <w:rPr>
                <w:rFonts w:hint="eastAsia" w:ascii="宋体" w:hAnsi="宋体" w:eastAsia="宋体" w:cs="宋体"/>
                <w:color w:val="auto"/>
                <w:spacing w:val="1"/>
                <w:sz w:val="28"/>
                <w:szCs w:val="28"/>
                <w:highlight w:val="none"/>
              </w:rPr>
              <w:t>之间不得存在投资关系。</w:t>
            </w:r>
          </w:p>
        </w:tc>
      </w:tr>
    </w:tbl>
    <w:p w14:paraId="48E3471F">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2.5供应商属于中小企业的，应提供《中小企业声明函》；属于监狱企业的，应提供由省级以上监狱管理局、戒毒管理局 （含新疆生产建设兵团）出具的属于监狱企业的证明文件；属于残疾人福利性单位的，应提供《残疾人福利性单位声明函》。 供应商应当按照《中小企业声明函》《残疾人福利性单位声明函》规定格式提供（格式附后，不可修改），未按规定提供的，不得享受相关中小企业扶持政策。</w:t>
      </w:r>
    </w:p>
    <w:p w14:paraId="1B4B617C">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供应商应当对提供材料的真实性负责，若有虚假，将追究其法律责任。</w:t>
      </w:r>
    </w:p>
    <w:p w14:paraId="1ED86669">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三、评审程序</w:t>
      </w:r>
    </w:p>
    <w:p w14:paraId="505DDFDE">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rPr>
        <w:t>1.资格审查</w:t>
      </w:r>
    </w:p>
    <w:p w14:paraId="18034AAB">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1.1谈判小组依据法律法规和谈判文件的规定，对响应文件中的资格证明文件等进行审查，以确定供应商是否具备响应资格。</w:t>
      </w:r>
    </w:p>
    <w:p w14:paraId="0BE11E4E">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1.2资格审查中有任意一项未通过的，审查结果为未通过，未通过资格审查的供应商按无效响应处理。</w:t>
      </w:r>
    </w:p>
    <w:p w14:paraId="5D72A0D3">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3"/>
        <w:rPr>
          <w:rFonts w:hint="eastAsia" w:ascii="宋体" w:hAnsi="宋体" w:eastAsia="宋体" w:cs="宋体"/>
          <w:color w:val="auto"/>
          <w:sz w:val="28"/>
          <w:szCs w:val="28"/>
        </w:rPr>
      </w:pPr>
      <w:r>
        <w:rPr>
          <w:rFonts w:hint="eastAsia" w:ascii="宋体" w:hAnsi="宋体" w:eastAsia="宋体" w:cs="宋体"/>
          <w:color w:val="auto"/>
          <w:sz w:val="28"/>
          <w:szCs w:val="28"/>
        </w:rPr>
        <w:t>1.3信用记录查询</w:t>
      </w:r>
    </w:p>
    <w:p w14:paraId="290938F2">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 xml:space="preserve">查询渠道：通过“信用中国” 网站(www.creditchina.gov.cn)和“ </w:t>
      </w:r>
      <w:r>
        <w:rPr>
          <w:rFonts w:hint="eastAsia" w:ascii="宋体" w:hAnsi="宋体" w:eastAsia="宋体" w:cs="宋体"/>
          <w:color w:val="auto"/>
          <w:sz w:val="28"/>
          <w:szCs w:val="28"/>
          <w:lang w:eastAsia="zh-CN"/>
        </w:rPr>
        <w:t>赤峰市生态环境局官网（http://sthjj.chifeng.gov.cn/）</w:t>
      </w:r>
      <w:r>
        <w:rPr>
          <w:rFonts w:hint="eastAsia" w:ascii="宋体" w:hAnsi="宋体" w:eastAsia="宋体" w:cs="宋体"/>
          <w:color w:val="auto"/>
          <w:sz w:val="28"/>
          <w:szCs w:val="28"/>
        </w:rPr>
        <w:t>”（www.ccgp.gov.cn）进行查询；</w:t>
      </w:r>
    </w:p>
    <w:p w14:paraId="1317F6C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查询截止时点：本项目资格审查时查询；</w:t>
      </w:r>
    </w:p>
    <w:p w14:paraId="1B8A2A4F">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查询记录：对列入失信被执行人、税收违法黑名单、政府采购严重违法失信行为记录名单、信用报告进行查询；</w:t>
      </w:r>
    </w:p>
    <w:p w14:paraId="56EBAFE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谈判小组应当按照查询渠道、查询时间节点、查询记录内容进行查询，并存档。对信用记录查询结果中显示被列入失信被执行人、税收违法黑名单、政府采购严重违法失信行为记录名单的供应商将被拒绝参与政府采购活动。</w:t>
      </w:r>
    </w:p>
    <w:p w14:paraId="3D188D50">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rPr>
          <w:rFonts w:hint="eastAsia" w:ascii="宋体" w:hAnsi="宋体" w:eastAsia="宋体" w:cs="宋体"/>
          <w:b/>
          <w:bCs/>
          <w:color w:val="auto"/>
          <w:sz w:val="28"/>
          <w:szCs w:val="28"/>
        </w:rPr>
      </w:pPr>
    </w:p>
    <w:p w14:paraId="22A28D14">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rPr>
          <w:rFonts w:hint="eastAsia" w:ascii="宋体" w:hAnsi="宋体" w:eastAsia="宋体" w:cs="宋体"/>
          <w:b/>
          <w:bCs/>
          <w:color w:val="auto"/>
          <w:sz w:val="28"/>
          <w:szCs w:val="28"/>
        </w:rPr>
      </w:pPr>
    </w:p>
    <w:p w14:paraId="280C4976">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rPr>
          <w:rFonts w:hint="eastAsia" w:ascii="宋体" w:hAnsi="宋体" w:eastAsia="宋体" w:cs="宋体"/>
          <w:b/>
          <w:bCs/>
          <w:color w:val="auto"/>
          <w:sz w:val="28"/>
          <w:szCs w:val="28"/>
        </w:rPr>
      </w:pPr>
    </w:p>
    <w:p w14:paraId="441C9D92">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rPr>
          <w:rFonts w:hint="eastAsia" w:ascii="宋体" w:hAnsi="宋体" w:eastAsia="宋体" w:cs="宋体"/>
          <w:b/>
          <w:bCs/>
          <w:color w:val="auto"/>
          <w:sz w:val="28"/>
          <w:szCs w:val="28"/>
        </w:rPr>
      </w:pPr>
    </w:p>
    <w:p w14:paraId="7462C227">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rPr>
          <w:rFonts w:hint="eastAsia" w:ascii="宋体" w:hAnsi="宋体" w:eastAsia="宋体" w:cs="宋体"/>
          <w:b/>
          <w:bCs/>
          <w:color w:val="auto"/>
          <w:sz w:val="28"/>
          <w:szCs w:val="28"/>
        </w:rPr>
      </w:pPr>
    </w:p>
    <w:p w14:paraId="4C1B1BC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color w:val="auto"/>
          <w:sz w:val="28"/>
          <w:szCs w:val="28"/>
        </w:rPr>
      </w:pPr>
    </w:p>
    <w:p w14:paraId="469E1B65">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rPr>
          <w:rFonts w:hint="eastAsia" w:ascii="宋体" w:hAnsi="宋体" w:eastAsia="宋体" w:cs="宋体"/>
          <w:b/>
          <w:bCs/>
          <w:color w:val="auto"/>
          <w:sz w:val="28"/>
          <w:szCs w:val="28"/>
        </w:rPr>
      </w:pPr>
      <w:r>
        <w:rPr>
          <w:rFonts w:hint="eastAsia" w:ascii="宋体" w:hAnsi="宋体" w:eastAsia="宋体" w:cs="宋体"/>
          <w:b/>
          <w:bCs/>
          <w:color w:val="auto"/>
          <w:sz w:val="28"/>
          <w:szCs w:val="28"/>
        </w:rPr>
        <w:t>资格审查表</w:t>
      </w:r>
    </w:p>
    <w:p w14:paraId="36A45B78">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color w:val="auto"/>
          <w:sz w:val="28"/>
          <w:szCs w:val="28"/>
          <w:lang w:eastAsia="zh-CN"/>
        </w:rPr>
      </w:pPr>
      <w:r>
        <w:rPr>
          <w:rFonts w:hint="eastAsia" w:ascii="宋体" w:hAnsi="宋体" w:eastAsia="宋体" w:cs="宋体"/>
          <w:b/>
          <w:bCs/>
          <w:color w:val="auto"/>
          <w:sz w:val="28"/>
          <w:szCs w:val="28"/>
          <w:lang w:eastAsia="zh-CN"/>
        </w:rPr>
        <w:t>赤峰市生态环境局敖汉旗分局2026年实验室耗材采购</w:t>
      </w:r>
    </w:p>
    <w:tbl>
      <w:tblPr>
        <w:tblStyle w:val="14"/>
        <w:tblW w:w="972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19"/>
        <w:gridCol w:w="6904"/>
      </w:tblGrid>
      <w:tr w14:paraId="0A94F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5" w:hRule="atLeast"/>
        </w:trPr>
        <w:tc>
          <w:tcPr>
            <w:tcW w:w="2819" w:type="dxa"/>
            <w:vAlign w:val="top"/>
          </w:tcPr>
          <w:p w14:paraId="43A9D828">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具有独立承担民事责任的能力</w:t>
            </w:r>
          </w:p>
        </w:tc>
        <w:tc>
          <w:tcPr>
            <w:tcW w:w="6904" w:type="dxa"/>
            <w:vAlign w:val="top"/>
          </w:tcPr>
          <w:p w14:paraId="492A7721">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审查供应商营业执照等证明文件或者身份证明。</w:t>
            </w:r>
          </w:p>
        </w:tc>
      </w:tr>
      <w:tr w14:paraId="7C6828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atLeast"/>
        </w:trPr>
        <w:tc>
          <w:tcPr>
            <w:tcW w:w="2819" w:type="dxa"/>
            <w:vAlign w:val="top"/>
          </w:tcPr>
          <w:p w14:paraId="55E7B2B9">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具有良好的商业信誉和健全的财务会计制度</w:t>
            </w:r>
          </w:p>
        </w:tc>
        <w:tc>
          <w:tcPr>
            <w:tcW w:w="6904" w:type="dxa"/>
            <w:vAlign w:val="top"/>
          </w:tcPr>
          <w:p w14:paraId="7FFB7B82">
            <w:pPr>
              <w:pStyle w:val="5"/>
              <w:keepNext w:val="0"/>
              <w:keepLines w:val="0"/>
              <w:pageBreakBefore w:val="0"/>
              <w:overflowPunct/>
              <w:topLinePunct w:val="0"/>
              <w:bidi w:val="0"/>
              <w:spacing w:line="360" w:lineRule="auto"/>
              <w:ind w:left="0" w:leftChars="0" w:firstLine="0" w:firstLineChars="0"/>
              <w:rPr>
                <w:rFonts w:hint="eastAsia" w:ascii="宋体" w:hAnsi="宋体" w:eastAsia="宋体" w:cs="宋体"/>
                <w:color w:val="auto"/>
                <w:sz w:val="28"/>
                <w:szCs w:val="28"/>
              </w:rPr>
            </w:pPr>
            <w:r>
              <w:rPr>
                <w:rFonts w:hint="eastAsia" w:ascii="宋体" w:hAnsi="宋体" w:eastAsia="宋体" w:cs="宋体"/>
                <w:color w:val="auto"/>
                <w:kern w:val="2"/>
                <w:sz w:val="28"/>
                <w:szCs w:val="28"/>
                <w:highlight w:val="none"/>
                <w:lang w:val="en-US" w:eastAsia="zh-CN" w:bidi="ar-SA"/>
              </w:rPr>
              <w:t>审查供应商出具的“良好的商业信誉和健全的财务会计制度”承诺书（格式自拟）；</w:t>
            </w:r>
          </w:p>
        </w:tc>
      </w:tr>
      <w:tr w14:paraId="48413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1" w:hRule="atLeast"/>
        </w:trPr>
        <w:tc>
          <w:tcPr>
            <w:tcW w:w="2819" w:type="dxa"/>
            <w:vAlign w:val="top"/>
          </w:tcPr>
          <w:p w14:paraId="4746CD91">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有依法缴纳税收</w:t>
            </w:r>
            <w:r>
              <w:rPr>
                <w:rFonts w:hint="eastAsia" w:ascii="宋体" w:hAnsi="宋体" w:eastAsia="宋体" w:cs="宋体"/>
                <w:color w:val="auto"/>
                <w:sz w:val="28"/>
                <w:szCs w:val="28"/>
                <w:lang w:eastAsia="zh-CN"/>
              </w:rPr>
              <w:t>和社会保障资金</w:t>
            </w:r>
            <w:r>
              <w:rPr>
                <w:rFonts w:hint="eastAsia" w:ascii="宋体" w:hAnsi="宋体" w:eastAsia="宋体" w:cs="宋体"/>
                <w:color w:val="auto"/>
                <w:sz w:val="28"/>
                <w:szCs w:val="28"/>
              </w:rPr>
              <w:t>的良好记录</w:t>
            </w:r>
          </w:p>
        </w:tc>
        <w:tc>
          <w:tcPr>
            <w:tcW w:w="6904" w:type="dxa"/>
            <w:vAlign w:val="top"/>
          </w:tcPr>
          <w:p w14:paraId="3820F6FB">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kern w:val="2"/>
                <w:sz w:val="28"/>
                <w:szCs w:val="28"/>
                <w:highlight w:val="none"/>
                <w:lang w:val="en-US" w:eastAsia="zh-CN" w:bidi="ar-SA"/>
              </w:rPr>
              <w:t>审查供应商出具的“</w:t>
            </w:r>
            <w:r>
              <w:rPr>
                <w:rFonts w:hint="eastAsia" w:ascii="宋体" w:hAnsi="宋体" w:eastAsia="宋体" w:cs="宋体"/>
                <w:color w:val="auto"/>
                <w:sz w:val="28"/>
                <w:szCs w:val="28"/>
              </w:rPr>
              <w:t>依法缴纳税收</w:t>
            </w:r>
            <w:r>
              <w:rPr>
                <w:rFonts w:hint="eastAsia" w:ascii="宋体" w:hAnsi="宋体" w:eastAsia="宋体" w:cs="宋体"/>
                <w:color w:val="auto"/>
                <w:sz w:val="28"/>
                <w:szCs w:val="28"/>
                <w:lang w:eastAsia="zh-CN"/>
              </w:rPr>
              <w:t>和社会保障资金</w:t>
            </w:r>
            <w:r>
              <w:rPr>
                <w:rFonts w:hint="eastAsia" w:ascii="宋体" w:hAnsi="宋体" w:eastAsia="宋体" w:cs="宋体"/>
                <w:color w:val="auto"/>
                <w:sz w:val="28"/>
                <w:szCs w:val="28"/>
              </w:rPr>
              <w:t>的良好记录</w:t>
            </w:r>
            <w:r>
              <w:rPr>
                <w:rFonts w:hint="eastAsia" w:ascii="宋体" w:hAnsi="宋体" w:eastAsia="宋体" w:cs="宋体"/>
                <w:color w:val="auto"/>
                <w:kern w:val="2"/>
                <w:sz w:val="28"/>
                <w:szCs w:val="28"/>
                <w:highlight w:val="none"/>
                <w:lang w:val="en-US" w:eastAsia="zh-CN" w:bidi="ar-SA"/>
              </w:rPr>
              <w:t>”承诺书（格式自拟）</w:t>
            </w:r>
          </w:p>
        </w:tc>
      </w:tr>
      <w:tr w14:paraId="37341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1" w:hRule="atLeast"/>
        </w:trPr>
        <w:tc>
          <w:tcPr>
            <w:tcW w:w="2819" w:type="dxa"/>
            <w:vAlign w:val="top"/>
          </w:tcPr>
          <w:p w14:paraId="710DAB9F">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具有履行合同所必须的设备和专业技术能力</w:t>
            </w:r>
          </w:p>
        </w:tc>
        <w:tc>
          <w:tcPr>
            <w:tcW w:w="6904" w:type="dxa"/>
            <w:vAlign w:val="top"/>
          </w:tcPr>
          <w:p w14:paraId="49B2FE8A">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审查投标人出具的“具有履行合同所必须的设备和专业技术能力”声明。</w:t>
            </w:r>
          </w:p>
        </w:tc>
      </w:tr>
      <w:tr w14:paraId="3C3F1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1" w:hRule="atLeast"/>
        </w:trPr>
        <w:tc>
          <w:tcPr>
            <w:tcW w:w="2819" w:type="dxa"/>
            <w:vAlign w:val="top"/>
          </w:tcPr>
          <w:p w14:paraId="4ACEB192">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参加采购活动前3年内，在经营活动中没有重大违法记录</w:t>
            </w:r>
          </w:p>
        </w:tc>
        <w:tc>
          <w:tcPr>
            <w:tcW w:w="6904" w:type="dxa"/>
            <w:vAlign w:val="top"/>
          </w:tcPr>
          <w:p w14:paraId="52FC7592">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审查供应商</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参加本次采购活动前3年内在经营活动中没有重大违法记录</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的书面声明。</w:t>
            </w:r>
          </w:p>
        </w:tc>
      </w:tr>
      <w:tr w14:paraId="7AD62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1" w:hRule="atLeast"/>
        </w:trPr>
        <w:tc>
          <w:tcPr>
            <w:tcW w:w="2819" w:type="dxa"/>
            <w:vAlign w:val="top"/>
          </w:tcPr>
          <w:p w14:paraId="68C2A0EC">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信用记录</w:t>
            </w:r>
          </w:p>
        </w:tc>
        <w:tc>
          <w:tcPr>
            <w:tcW w:w="6904" w:type="dxa"/>
            <w:vAlign w:val="top"/>
          </w:tcPr>
          <w:p w14:paraId="4921D3D0">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资格审查时，供应商未被列入失信被执行人、税收违法黑名单、政府采购严重违法失信行为记录名单。</w:t>
            </w:r>
          </w:p>
        </w:tc>
      </w:tr>
    </w:tbl>
    <w:p w14:paraId="34BB4B3C">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rPr>
        <w:t>2.符合性审查</w:t>
      </w:r>
    </w:p>
    <w:p w14:paraId="36D4F1A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2.1谈判小组依据谈判文件的规定，从响应文件的有效性、完整性和对谈判文件的响应程度进行审查，以确定是否对谈判文件的实质性要求作出响应。</w:t>
      </w:r>
    </w:p>
    <w:p w14:paraId="05076A0A">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2.2符合性审查中有任意一项未通过的，评审结果为未通过，未通过符合性审查的供应商按无效响应处理。</w:t>
      </w:r>
    </w:p>
    <w:p w14:paraId="06FA489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color w:val="auto"/>
          <w:sz w:val="28"/>
          <w:szCs w:val="28"/>
        </w:rPr>
      </w:pPr>
    </w:p>
    <w:p w14:paraId="5DC09AE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color w:val="auto"/>
          <w:sz w:val="28"/>
          <w:szCs w:val="28"/>
        </w:rPr>
      </w:pPr>
    </w:p>
    <w:p w14:paraId="4C05416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color w:val="auto"/>
          <w:sz w:val="28"/>
          <w:szCs w:val="28"/>
        </w:rPr>
      </w:pPr>
    </w:p>
    <w:p w14:paraId="7F96185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color w:val="auto"/>
          <w:sz w:val="28"/>
          <w:szCs w:val="28"/>
        </w:rPr>
      </w:pPr>
    </w:p>
    <w:p w14:paraId="36BFBD3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color w:val="auto"/>
          <w:sz w:val="28"/>
          <w:szCs w:val="28"/>
        </w:rPr>
      </w:pPr>
    </w:p>
    <w:p w14:paraId="2E4EB3A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color w:val="auto"/>
          <w:sz w:val="28"/>
          <w:szCs w:val="28"/>
        </w:rPr>
      </w:pPr>
    </w:p>
    <w:p w14:paraId="1A8D4DB8">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rPr>
          <w:rFonts w:hint="eastAsia" w:ascii="宋体" w:hAnsi="宋体" w:eastAsia="宋体" w:cs="宋体"/>
          <w:b/>
          <w:bCs/>
          <w:color w:val="auto"/>
          <w:sz w:val="28"/>
          <w:szCs w:val="28"/>
        </w:rPr>
      </w:pPr>
      <w:r>
        <w:rPr>
          <w:rFonts w:hint="eastAsia" w:ascii="宋体" w:hAnsi="宋体" w:eastAsia="宋体" w:cs="宋体"/>
          <w:b/>
          <w:bCs/>
          <w:color w:val="auto"/>
          <w:sz w:val="28"/>
          <w:szCs w:val="28"/>
        </w:rPr>
        <w:t>符合性审查表</w:t>
      </w:r>
    </w:p>
    <w:p w14:paraId="28F615D7">
      <w:pPr>
        <w:keepNext w:val="0"/>
        <w:keepLines w:val="0"/>
        <w:pageBreakBefore w:val="0"/>
        <w:overflowPunct/>
        <w:topLinePunct w:val="0"/>
        <w:bidi w:val="0"/>
        <w:spacing w:line="360" w:lineRule="auto"/>
        <w:ind w:firstLine="562" w:firstLineChars="200"/>
        <w:outlineLvl w:val="3"/>
        <w:rPr>
          <w:rFonts w:hint="eastAsia" w:ascii="宋体" w:hAnsi="宋体" w:eastAsia="宋体" w:cs="宋体"/>
          <w:color w:val="auto"/>
          <w:sz w:val="28"/>
          <w:szCs w:val="28"/>
        </w:rPr>
      </w:pPr>
      <w:r>
        <w:rPr>
          <w:rFonts w:hint="eastAsia" w:ascii="宋体" w:hAnsi="宋体" w:eastAsia="宋体" w:cs="宋体"/>
          <w:b/>
          <w:bCs/>
          <w:color w:val="auto"/>
          <w:sz w:val="28"/>
          <w:szCs w:val="28"/>
          <w:lang w:eastAsia="zh-CN"/>
        </w:rPr>
        <w:t>赤峰市生态环境局敖汉旗分局2026年实验室耗材采购</w:t>
      </w:r>
    </w:p>
    <w:tbl>
      <w:tblPr>
        <w:tblStyle w:val="14"/>
        <w:tblW w:w="97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23"/>
        <w:gridCol w:w="6896"/>
      </w:tblGrid>
      <w:tr w14:paraId="08863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trPr>
        <w:tc>
          <w:tcPr>
            <w:tcW w:w="2823" w:type="dxa"/>
            <w:vAlign w:val="top"/>
          </w:tcPr>
          <w:p w14:paraId="626C5607">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投标及保证金缴纳情况</w:t>
            </w:r>
          </w:p>
        </w:tc>
        <w:tc>
          <w:tcPr>
            <w:tcW w:w="6896" w:type="dxa"/>
            <w:vAlign w:val="top"/>
          </w:tcPr>
          <w:p w14:paraId="1522A85C">
            <w:pPr>
              <w:keepNext w:val="0"/>
              <w:keepLines w:val="0"/>
              <w:pageBreakBefore w:val="0"/>
              <w:overflowPunct/>
              <w:topLinePunct w:val="0"/>
              <w:bidi w:val="0"/>
              <w:spacing w:line="360" w:lineRule="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本项目无需缴纳投标保证金</w:t>
            </w:r>
          </w:p>
        </w:tc>
      </w:tr>
      <w:tr w14:paraId="138F0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8" w:hRule="atLeast"/>
        </w:trPr>
        <w:tc>
          <w:tcPr>
            <w:tcW w:w="2823" w:type="dxa"/>
            <w:vAlign w:val="top"/>
          </w:tcPr>
          <w:p w14:paraId="1A41B0A3">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投标报价</w:t>
            </w:r>
          </w:p>
        </w:tc>
        <w:tc>
          <w:tcPr>
            <w:tcW w:w="6896" w:type="dxa"/>
            <w:vAlign w:val="top"/>
          </w:tcPr>
          <w:p w14:paraId="16755D60">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投标报价（包括分项报价，投标总报价）只能有一个有效报价且不超过采购预算或最高限价, 投标报价不得缺项、漏项。</w:t>
            </w:r>
          </w:p>
        </w:tc>
      </w:tr>
      <w:tr w14:paraId="4DBAC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8" w:hRule="atLeast"/>
        </w:trPr>
        <w:tc>
          <w:tcPr>
            <w:tcW w:w="2823" w:type="dxa"/>
            <w:vAlign w:val="top"/>
          </w:tcPr>
          <w:p w14:paraId="4B647BE1">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投标文件规范性、符合性</w:t>
            </w:r>
          </w:p>
        </w:tc>
        <w:tc>
          <w:tcPr>
            <w:tcW w:w="6896" w:type="dxa"/>
            <w:vAlign w:val="top"/>
          </w:tcPr>
          <w:p w14:paraId="07E69DC9">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响应文件的签署、盖章、涂改、删除、插字、公章使用等符合谈判文件要求；响应文件文件的格式、文字、目录等符合谈判文件要求或对投标无实质性影响</w:t>
            </w:r>
          </w:p>
        </w:tc>
      </w:tr>
      <w:tr w14:paraId="3C5DD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2823" w:type="dxa"/>
            <w:vAlign w:val="top"/>
          </w:tcPr>
          <w:p w14:paraId="1F93D131">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主要商务条款</w:t>
            </w:r>
          </w:p>
        </w:tc>
        <w:tc>
          <w:tcPr>
            <w:tcW w:w="6896" w:type="dxa"/>
            <w:vAlign w:val="top"/>
          </w:tcPr>
          <w:p w14:paraId="37352E05">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审查供应商出具的“满足主要商务条款的承诺书”，且进行盖章。</w:t>
            </w:r>
          </w:p>
        </w:tc>
      </w:tr>
      <w:tr w14:paraId="7FC45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2823" w:type="dxa"/>
            <w:vAlign w:val="top"/>
          </w:tcPr>
          <w:p w14:paraId="0F7D0A76">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联合体投标</w:t>
            </w:r>
          </w:p>
        </w:tc>
        <w:tc>
          <w:tcPr>
            <w:tcW w:w="6896" w:type="dxa"/>
            <w:vAlign w:val="top"/>
          </w:tcPr>
          <w:p w14:paraId="548EAE80">
            <w:pPr>
              <w:keepNext w:val="0"/>
              <w:keepLines w:val="0"/>
              <w:pageBreakBefore w:val="0"/>
              <w:overflowPunct/>
              <w:topLinePunct w:val="0"/>
              <w:bidi w:val="0"/>
              <w:spacing w:line="360" w:lineRule="auto"/>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本项目不接受联合体</w:t>
            </w:r>
          </w:p>
        </w:tc>
      </w:tr>
      <w:tr w14:paraId="369F1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2823" w:type="dxa"/>
            <w:vAlign w:val="top"/>
          </w:tcPr>
          <w:p w14:paraId="25D2700C">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技术部分实质性内容</w:t>
            </w:r>
          </w:p>
        </w:tc>
        <w:tc>
          <w:tcPr>
            <w:tcW w:w="6896" w:type="dxa"/>
            <w:vAlign w:val="top"/>
          </w:tcPr>
          <w:p w14:paraId="5C1DC86F">
            <w:pPr>
              <w:keepNext w:val="0"/>
              <w:keepLines w:val="0"/>
              <w:pageBreakBefore w:val="0"/>
              <w:numPr>
                <w:ilvl w:val="0"/>
                <w:numId w:val="0"/>
              </w:numPr>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1.</w:t>
            </w:r>
            <w:r>
              <w:rPr>
                <w:rFonts w:hint="eastAsia" w:ascii="宋体" w:hAnsi="宋体" w:eastAsia="宋体" w:cs="宋体"/>
                <w:color w:val="auto"/>
                <w:sz w:val="28"/>
                <w:szCs w:val="28"/>
              </w:rPr>
              <w:t xml:space="preserve">明确所投标的的产品品牌、规格型号或服务内容或工程量； </w:t>
            </w:r>
          </w:p>
          <w:p w14:paraId="0CBF0673">
            <w:pPr>
              <w:keepNext w:val="0"/>
              <w:keepLines w:val="0"/>
              <w:pageBreakBefore w:val="0"/>
              <w:numPr>
                <w:ilvl w:val="0"/>
                <w:numId w:val="0"/>
              </w:numPr>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2.响应文件应当对谈判文件提出的要求和条件作出明确响应并满足谈判文件全部实质性要求。</w:t>
            </w:r>
          </w:p>
        </w:tc>
      </w:tr>
      <w:tr w14:paraId="73A34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trPr>
        <w:tc>
          <w:tcPr>
            <w:tcW w:w="2823" w:type="dxa"/>
            <w:vAlign w:val="top"/>
          </w:tcPr>
          <w:p w14:paraId="0DD83AAA">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其他要求</w:t>
            </w:r>
          </w:p>
        </w:tc>
        <w:tc>
          <w:tcPr>
            <w:tcW w:w="6896" w:type="dxa"/>
            <w:vAlign w:val="top"/>
          </w:tcPr>
          <w:p w14:paraId="36DC922F">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谈判文件要求的其他无效投标情形；围标、串标和法律法规规定的其它无效投标条款。</w:t>
            </w:r>
          </w:p>
        </w:tc>
      </w:tr>
    </w:tbl>
    <w:p w14:paraId="6B82AC52">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rPr>
        <w:t>3 .谈判</w:t>
      </w:r>
    </w:p>
    <w:p w14:paraId="1C2CDE43">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采取书面递交响应文件，法定代表人或委托代理人与谈判小组成员面对面谈判相结合的方式。</w:t>
      </w:r>
    </w:p>
    <w:p w14:paraId="1FA01B3C">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rPr>
        <w:t>4 .</w:t>
      </w:r>
      <w:r>
        <w:rPr>
          <w:rFonts w:hint="eastAsia" w:ascii="宋体" w:hAnsi="宋体" w:eastAsia="宋体" w:cs="宋体"/>
          <w:b/>
          <w:bCs/>
          <w:color w:val="auto"/>
          <w:sz w:val="28"/>
          <w:szCs w:val="28"/>
          <w:lang w:val="en-US" w:eastAsia="zh-CN"/>
        </w:rPr>
        <w:t>最后</w:t>
      </w:r>
      <w:r>
        <w:rPr>
          <w:rFonts w:hint="eastAsia" w:ascii="宋体" w:hAnsi="宋体" w:eastAsia="宋体" w:cs="宋体"/>
          <w:b/>
          <w:bCs/>
          <w:color w:val="auto"/>
          <w:sz w:val="28"/>
          <w:szCs w:val="28"/>
        </w:rPr>
        <w:t>报价</w:t>
      </w:r>
    </w:p>
    <w:p w14:paraId="341E64F1">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2"/>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谈判结束后， 谈判小组应当要求所有实质性响应的供应商在规定时间内提交最后报价。最后报价是供应商响应文件的有效组成部分。</w:t>
      </w:r>
    </w:p>
    <w:p w14:paraId="12B3A73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2"/>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已提交响应文件的供应商， 在提交最后报价之前， 可以根据谈判情况退出谈判。未在最终轮次规定时间内进行响应的，视为不再参与该政府采购活动。</w:t>
      </w:r>
    </w:p>
    <w:p w14:paraId="201470FF">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2"/>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异常低价审查：</w:t>
      </w:r>
    </w:p>
    <w:p w14:paraId="1FCEC4EA">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2"/>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采购包1：</w:t>
      </w:r>
    </w:p>
    <w:tbl>
      <w:tblPr>
        <w:tblStyle w:val="14"/>
        <w:tblW w:w="971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3"/>
        <w:gridCol w:w="2145"/>
        <w:gridCol w:w="6790"/>
      </w:tblGrid>
      <w:tr w14:paraId="2FF08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2" w:hRule="atLeast"/>
        </w:trPr>
        <w:tc>
          <w:tcPr>
            <w:tcW w:w="783" w:type="dxa"/>
            <w:vAlign w:val="top"/>
          </w:tcPr>
          <w:p w14:paraId="408AB06C">
            <w:pPr>
              <w:pStyle w:val="15"/>
              <w:keepNext w:val="0"/>
              <w:keepLines w:val="0"/>
              <w:pageBreakBefore w:val="0"/>
              <w:overflowPunct/>
              <w:topLinePunct w:val="0"/>
              <w:bidi w:val="0"/>
              <w:spacing w:before="84" w:line="360" w:lineRule="auto"/>
              <w:ind w:left="95"/>
              <w:rPr>
                <w:rFonts w:hint="eastAsia" w:ascii="宋体" w:hAnsi="宋体" w:eastAsia="宋体" w:cs="宋体"/>
                <w:snapToGrid w:val="0"/>
                <w:color w:val="auto"/>
                <w:kern w:val="0"/>
                <w:sz w:val="28"/>
                <w:szCs w:val="28"/>
                <w:lang w:val="en-US" w:eastAsia="en-US" w:bidi="ar-SA"/>
              </w:rPr>
            </w:pPr>
            <w:r>
              <w:rPr>
                <w:rFonts w:hint="eastAsia" w:ascii="宋体" w:hAnsi="宋体" w:eastAsia="宋体" w:cs="宋体"/>
                <w:snapToGrid w:val="0"/>
                <w:color w:val="auto"/>
                <w:kern w:val="0"/>
                <w:sz w:val="28"/>
                <w:szCs w:val="28"/>
                <w:lang w:val="en-US" w:eastAsia="en-US" w:bidi="ar-SA"/>
              </w:rPr>
              <w:t>序号</w:t>
            </w:r>
          </w:p>
        </w:tc>
        <w:tc>
          <w:tcPr>
            <w:tcW w:w="2145" w:type="dxa"/>
            <w:vAlign w:val="top"/>
          </w:tcPr>
          <w:p w14:paraId="17BE1875">
            <w:pPr>
              <w:pStyle w:val="15"/>
              <w:keepNext w:val="0"/>
              <w:keepLines w:val="0"/>
              <w:pageBreakBefore w:val="0"/>
              <w:overflowPunct/>
              <w:topLinePunct w:val="0"/>
              <w:bidi w:val="0"/>
              <w:spacing w:before="85" w:line="360" w:lineRule="auto"/>
              <w:ind w:left="92"/>
              <w:rPr>
                <w:rFonts w:hint="eastAsia" w:ascii="宋体" w:hAnsi="宋体" w:eastAsia="宋体" w:cs="宋体"/>
                <w:snapToGrid w:val="0"/>
                <w:color w:val="auto"/>
                <w:kern w:val="0"/>
                <w:sz w:val="28"/>
                <w:szCs w:val="28"/>
                <w:lang w:val="en-US" w:eastAsia="en-US" w:bidi="ar-SA"/>
              </w:rPr>
            </w:pPr>
            <w:r>
              <w:rPr>
                <w:rFonts w:hint="eastAsia" w:ascii="宋体" w:hAnsi="宋体" w:eastAsia="宋体" w:cs="宋体"/>
                <w:snapToGrid w:val="0"/>
                <w:color w:val="auto"/>
                <w:kern w:val="0"/>
                <w:sz w:val="28"/>
                <w:szCs w:val="28"/>
                <w:lang w:val="en-US" w:eastAsia="en-US" w:bidi="ar-SA"/>
              </w:rPr>
              <w:t>评审点要求概况</w:t>
            </w:r>
          </w:p>
        </w:tc>
        <w:tc>
          <w:tcPr>
            <w:tcW w:w="6790" w:type="dxa"/>
            <w:vAlign w:val="top"/>
          </w:tcPr>
          <w:p w14:paraId="7C19BFB7">
            <w:pPr>
              <w:pStyle w:val="15"/>
              <w:keepNext w:val="0"/>
              <w:keepLines w:val="0"/>
              <w:pageBreakBefore w:val="0"/>
              <w:overflowPunct/>
              <w:topLinePunct w:val="0"/>
              <w:bidi w:val="0"/>
              <w:spacing w:before="85" w:line="360" w:lineRule="auto"/>
              <w:ind w:left="96"/>
              <w:rPr>
                <w:rFonts w:hint="eastAsia" w:ascii="宋体" w:hAnsi="宋体" w:eastAsia="宋体" w:cs="宋体"/>
                <w:snapToGrid w:val="0"/>
                <w:color w:val="auto"/>
                <w:kern w:val="0"/>
                <w:sz w:val="28"/>
                <w:szCs w:val="28"/>
                <w:lang w:val="en-US" w:eastAsia="en-US" w:bidi="ar-SA"/>
              </w:rPr>
            </w:pPr>
            <w:r>
              <w:rPr>
                <w:rFonts w:hint="eastAsia" w:ascii="宋体" w:hAnsi="宋体" w:eastAsia="宋体" w:cs="宋体"/>
                <w:snapToGrid w:val="0"/>
                <w:color w:val="auto"/>
                <w:kern w:val="0"/>
                <w:sz w:val="28"/>
                <w:szCs w:val="28"/>
                <w:lang w:val="en-US" w:eastAsia="en-US" w:bidi="ar-SA"/>
              </w:rPr>
              <w:t>异常低价的情形</w:t>
            </w:r>
          </w:p>
        </w:tc>
      </w:tr>
      <w:tr w14:paraId="07EF1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2" w:hRule="atLeast"/>
        </w:trPr>
        <w:tc>
          <w:tcPr>
            <w:tcW w:w="783" w:type="dxa"/>
            <w:vAlign w:val="top"/>
          </w:tcPr>
          <w:p w14:paraId="74B5F89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center"/>
              <w:textAlignment w:val="baseline"/>
              <w:rPr>
                <w:rFonts w:hint="eastAsia" w:ascii="宋体" w:hAnsi="宋体" w:eastAsia="宋体" w:cs="宋体"/>
                <w:snapToGrid w:val="0"/>
                <w:color w:val="auto"/>
                <w:kern w:val="0"/>
                <w:sz w:val="28"/>
                <w:szCs w:val="28"/>
                <w:lang w:val="en-US" w:eastAsia="en-US" w:bidi="ar-SA"/>
              </w:rPr>
            </w:pPr>
          </w:p>
          <w:p w14:paraId="1BDCCD51">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center"/>
              <w:textAlignment w:val="baseline"/>
              <w:rPr>
                <w:rFonts w:hint="eastAsia" w:ascii="宋体" w:hAnsi="宋体" w:eastAsia="宋体" w:cs="宋体"/>
                <w:snapToGrid w:val="0"/>
                <w:color w:val="auto"/>
                <w:kern w:val="0"/>
                <w:sz w:val="28"/>
                <w:szCs w:val="28"/>
                <w:lang w:val="en-US" w:eastAsia="en-US" w:bidi="ar-SA"/>
              </w:rPr>
            </w:pPr>
          </w:p>
          <w:p w14:paraId="496D091B">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center"/>
              <w:textAlignment w:val="baseline"/>
              <w:rPr>
                <w:rFonts w:hint="eastAsia" w:ascii="宋体" w:hAnsi="宋体" w:eastAsia="宋体" w:cs="宋体"/>
                <w:snapToGrid w:val="0"/>
                <w:color w:val="auto"/>
                <w:kern w:val="0"/>
                <w:sz w:val="28"/>
                <w:szCs w:val="28"/>
                <w:lang w:val="en-US" w:eastAsia="en-US" w:bidi="ar-SA"/>
              </w:rPr>
            </w:pPr>
          </w:p>
          <w:p w14:paraId="473C6720">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center"/>
              <w:textAlignment w:val="baseline"/>
              <w:rPr>
                <w:rFonts w:hint="eastAsia" w:ascii="宋体" w:hAnsi="宋体" w:eastAsia="宋体" w:cs="宋体"/>
                <w:snapToGrid w:val="0"/>
                <w:color w:val="auto"/>
                <w:kern w:val="0"/>
                <w:sz w:val="28"/>
                <w:szCs w:val="28"/>
                <w:lang w:val="en-US" w:eastAsia="en-US" w:bidi="ar-SA"/>
              </w:rPr>
            </w:pPr>
          </w:p>
          <w:p w14:paraId="5403D273">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center"/>
              <w:textAlignment w:val="baseline"/>
              <w:rPr>
                <w:rFonts w:hint="eastAsia" w:ascii="宋体" w:hAnsi="宋体" w:eastAsia="宋体" w:cs="宋体"/>
                <w:snapToGrid w:val="0"/>
                <w:color w:val="auto"/>
                <w:kern w:val="0"/>
                <w:sz w:val="28"/>
                <w:szCs w:val="28"/>
                <w:lang w:val="en-US" w:eastAsia="en-US" w:bidi="ar-SA"/>
              </w:rPr>
            </w:pPr>
          </w:p>
          <w:p w14:paraId="1BBDA64E">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 w:val="28"/>
                <w:szCs w:val="28"/>
                <w:lang w:val="en-US" w:eastAsia="en-US" w:bidi="ar-SA"/>
              </w:rPr>
            </w:pPr>
          </w:p>
          <w:p w14:paraId="61EBE5C3">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center"/>
              <w:textAlignment w:val="baseline"/>
              <w:rPr>
                <w:rFonts w:hint="eastAsia" w:ascii="宋体" w:hAnsi="宋体" w:eastAsia="宋体" w:cs="宋体"/>
                <w:snapToGrid w:val="0"/>
                <w:color w:val="auto"/>
                <w:kern w:val="0"/>
                <w:sz w:val="28"/>
                <w:szCs w:val="28"/>
                <w:lang w:val="en-US" w:eastAsia="en-US" w:bidi="ar-SA"/>
              </w:rPr>
            </w:pPr>
          </w:p>
          <w:p w14:paraId="799479C9">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 w:val="28"/>
                <w:szCs w:val="28"/>
                <w:lang w:val="en-US" w:eastAsia="en-US" w:bidi="ar-SA"/>
              </w:rPr>
            </w:pPr>
            <w:r>
              <w:rPr>
                <w:rFonts w:hint="eastAsia" w:ascii="宋体" w:hAnsi="宋体" w:eastAsia="宋体" w:cs="宋体"/>
                <w:snapToGrid w:val="0"/>
                <w:color w:val="auto"/>
                <w:kern w:val="0"/>
                <w:sz w:val="28"/>
                <w:szCs w:val="28"/>
                <w:lang w:val="en-US" w:eastAsia="en-US" w:bidi="ar-SA"/>
              </w:rPr>
              <w:t>1</w:t>
            </w:r>
          </w:p>
        </w:tc>
        <w:tc>
          <w:tcPr>
            <w:tcW w:w="2145" w:type="dxa"/>
            <w:vAlign w:val="top"/>
          </w:tcPr>
          <w:p w14:paraId="79496000">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center"/>
              <w:textAlignment w:val="baseline"/>
              <w:rPr>
                <w:rFonts w:hint="eastAsia" w:ascii="宋体" w:hAnsi="宋体" w:eastAsia="宋体" w:cs="宋体"/>
                <w:snapToGrid w:val="0"/>
                <w:color w:val="auto"/>
                <w:kern w:val="0"/>
                <w:sz w:val="28"/>
                <w:szCs w:val="28"/>
                <w:lang w:val="en-US" w:eastAsia="en-US" w:bidi="ar-SA"/>
              </w:rPr>
            </w:pPr>
          </w:p>
          <w:p w14:paraId="57BE8391">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center"/>
              <w:textAlignment w:val="baseline"/>
              <w:rPr>
                <w:rFonts w:hint="eastAsia" w:ascii="宋体" w:hAnsi="宋体" w:eastAsia="宋体" w:cs="宋体"/>
                <w:snapToGrid w:val="0"/>
                <w:color w:val="auto"/>
                <w:kern w:val="0"/>
                <w:sz w:val="28"/>
                <w:szCs w:val="28"/>
                <w:lang w:val="en-US" w:eastAsia="en-US" w:bidi="ar-SA"/>
              </w:rPr>
            </w:pPr>
          </w:p>
          <w:p w14:paraId="293CF890">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center"/>
              <w:textAlignment w:val="baseline"/>
              <w:rPr>
                <w:rFonts w:hint="eastAsia" w:ascii="宋体" w:hAnsi="宋体" w:eastAsia="宋体" w:cs="宋体"/>
                <w:snapToGrid w:val="0"/>
                <w:color w:val="auto"/>
                <w:kern w:val="0"/>
                <w:sz w:val="28"/>
                <w:szCs w:val="28"/>
                <w:lang w:val="en-US" w:eastAsia="en-US" w:bidi="ar-SA"/>
              </w:rPr>
            </w:pPr>
          </w:p>
          <w:p w14:paraId="74B458F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center"/>
              <w:textAlignment w:val="baseline"/>
              <w:rPr>
                <w:rFonts w:hint="eastAsia" w:ascii="宋体" w:hAnsi="宋体" w:eastAsia="宋体" w:cs="宋体"/>
                <w:snapToGrid w:val="0"/>
                <w:color w:val="auto"/>
                <w:kern w:val="0"/>
                <w:sz w:val="28"/>
                <w:szCs w:val="28"/>
                <w:lang w:val="en-US" w:eastAsia="en-US" w:bidi="ar-SA"/>
              </w:rPr>
            </w:pPr>
          </w:p>
          <w:p w14:paraId="22827E26">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center"/>
              <w:textAlignment w:val="baseline"/>
              <w:rPr>
                <w:rFonts w:hint="eastAsia" w:ascii="宋体" w:hAnsi="宋体" w:eastAsia="宋体" w:cs="宋体"/>
                <w:snapToGrid w:val="0"/>
                <w:color w:val="auto"/>
                <w:kern w:val="0"/>
                <w:sz w:val="28"/>
                <w:szCs w:val="28"/>
                <w:lang w:val="en-US" w:eastAsia="en-US" w:bidi="ar-SA"/>
              </w:rPr>
            </w:pPr>
          </w:p>
          <w:p w14:paraId="6C07B54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center"/>
              <w:textAlignment w:val="baseline"/>
              <w:rPr>
                <w:rFonts w:hint="eastAsia" w:ascii="宋体" w:hAnsi="宋体" w:eastAsia="宋体" w:cs="宋体"/>
                <w:snapToGrid w:val="0"/>
                <w:color w:val="auto"/>
                <w:kern w:val="0"/>
                <w:sz w:val="28"/>
                <w:szCs w:val="28"/>
                <w:lang w:val="en-US" w:eastAsia="en-US" w:bidi="ar-SA"/>
              </w:rPr>
            </w:pPr>
          </w:p>
          <w:p w14:paraId="2C201044">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 w:val="28"/>
                <w:szCs w:val="28"/>
                <w:lang w:val="en-US" w:eastAsia="en-US" w:bidi="ar-SA"/>
              </w:rPr>
            </w:pPr>
          </w:p>
          <w:p w14:paraId="6FF0815F">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napToGrid w:val="0"/>
                <w:color w:val="auto"/>
                <w:kern w:val="0"/>
                <w:sz w:val="28"/>
                <w:szCs w:val="28"/>
                <w:lang w:val="en-US" w:eastAsia="en-US" w:bidi="ar-SA"/>
              </w:rPr>
            </w:pPr>
            <w:r>
              <w:rPr>
                <w:rFonts w:hint="eastAsia" w:ascii="宋体" w:hAnsi="宋体" w:eastAsia="宋体" w:cs="宋体"/>
                <w:snapToGrid w:val="0"/>
                <w:color w:val="auto"/>
                <w:kern w:val="0"/>
                <w:sz w:val="28"/>
                <w:szCs w:val="28"/>
                <w:lang w:val="en-US" w:eastAsia="en-US" w:bidi="ar-SA"/>
              </w:rPr>
              <w:t>异常低价审查</w:t>
            </w:r>
          </w:p>
        </w:tc>
        <w:tc>
          <w:tcPr>
            <w:tcW w:w="6790" w:type="dxa"/>
            <w:vAlign w:val="top"/>
          </w:tcPr>
          <w:p w14:paraId="5FE03CB7">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snapToGrid w:val="0"/>
                <w:color w:val="auto"/>
                <w:kern w:val="0"/>
                <w:sz w:val="28"/>
                <w:szCs w:val="28"/>
                <w:lang w:val="en-US" w:eastAsia="en-US" w:bidi="ar-SA"/>
              </w:rPr>
            </w:pPr>
            <w:r>
              <w:rPr>
                <w:rFonts w:hint="eastAsia" w:ascii="宋体" w:hAnsi="宋体" w:eastAsia="宋体" w:cs="宋体"/>
                <w:snapToGrid w:val="0"/>
                <w:color w:val="auto"/>
                <w:kern w:val="0"/>
                <w:sz w:val="28"/>
                <w:szCs w:val="28"/>
                <w:lang w:val="en-US" w:eastAsia="en-US" w:bidi="ar-SA"/>
              </w:rPr>
              <w:t>根据《关于推动解决政府采购异常低价问题的通知》（财库〔2026〕2号）等相关规定，政府采购评审中出现下列情形之一的</w:t>
            </w:r>
            <w:r>
              <w:rPr>
                <w:rFonts w:hint="eastAsia" w:ascii="宋体" w:hAnsi="宋体" w:eastAsia="宋体" w:cs="宋体"/>
                <w:snapToGrid w:val="0"/>
                <w:color w:val="auto"/>
                <w:kern w:val="0"/>
                <w:sz w:val="28"/>
                <w:szCs w:val="28"/>
                <w:lang w:val="en-US" w:eastAsia="zh-CN" w:bidi="ar-SA"/>
              </w:rPr>
              <w:t>，</w:t>
            </w:r>
            <w:r>
              <w:rPr>
                <w:rFonts w:hint="eastAsia" w:ascii="宋体" w:hAnsi="宋体" w:eastAsia="宋体" w:cs="宋体"/>
                <w:snapToGrid w:val="0"/>
                <w:color w:val="auto"/>
                <w:kern w:val="0"/>
                <w:sz w:val="28"/>
                <w:szCs w:val="28"/>
                <w:lang w:val="en-US" w:eastAsia="en-US" w:bidi="ar-SA"/>
              </w:rPr>
              <w:t>评审委员会应当启动异常低价投标（响应）审查程序：</w:t>
            </w:r>
          </w:p>
          <w:p w14:paraId="4DE5930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auto"/>
                <w:kern w:val="0"/>
                <w:sz w:val="28"/>
                <w:szCs w:val="28"/>
                <w:lang w:val="en-US" w:eastAsia="en-US" w:bidi="ar-SA"/>
              </w:rPr>
            </w:pPr>
            <w:r>
              <w:rPr>
                <w:rFonts w:hint="eastAsia" w:ascii="宋体" w:hAnsi="宋体" w:eastAsia="宋体" w:cs="宋体"/>
                <w:snapToGrid w:val="0"/>
                <w:color w:val="auto"/>
                <w:kern w:val="0"/>
                <w:sz w:val="28"/>
                <w:szCs w:val="28"/>
                <w:lang w:val="en-US" w:eastAsia="en-US" w:bidi="ar-SA"/>
              </w:rPr>
              <w:t>（1）投标（响应）报价低于全部通过符合性审查供应商投标（响应）报价平均值50%的，即投标（响应）报价&lt;全部通过符合性审查供应商投标（响应）报价平均值×50%。</w:t>
            </w:r>
          </w:p>
          <w:p w14:paraId="6977AF0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auto"/>
                <w:kern w:val="0"/>
                <w:sz w:val="28"/>
                <w:szCs w:val="28"/>
                <w:lang w:val="en-US" w:eastAsia="en-US" w:bidi="ar-SA"/>
              </w:rPr>
            </w:pPr>
            <w:r>
              <w:rPr>
                <w:rFonts w:hint="eastAsia" w:ascii="宋体" w:hAnsi="宋体" w:eastAsia="宋体" w:cs="宋体"/>
                <w:snapToGrid w:val="0"/>
                <w:color w:val="auto"/>
                <w:kern w:val="0"/>
                <w:sz w:val="28"/>
                <w:szCs w:val="28"/>
                <w:lang w:val="en-US" w:eastAsia="en-US" w:bidi="ar-SA"/>
              </w:rPr>
              <w:t>（2）投标（响应）报价低于通过符合性审查且报价次低供应商投标（响应）报价50%的，即投标（响应）报价&lt;通过符合性审查且报价次低供应商投标（响应）报价×50%。</w:t>
            </w:r>
          </w:p>
          <w:p w14:paraId="79F4B9F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auto"/>
                <w:kern w:val="0"/>
                <w:sz w:val="28"/>
                <w:szCs w:val="28"/>
                <w:lang w:val="en-US" w:eastAsia="en-US" w:bidi="ar-SA"/>
              </w:rPr>
            </w:pPr>
            <w:r>
              <w:rPr>
                <w:rFonts w:hint="eastAsia" w:ascii="宋体" w:hAnsi="宋体" w:eastAsia="宋体" w:cs="宋体"/>
                <w:snapToGrid w:val="0"/>
                <w:color w:val="auto"/>
                <w:kern w:val="0"/>
                <w:sz w:val="28"/>
                <w:szCs w:val="28"/>
                <w:lang w:val="en-US" w:eastAsia="en-US" w:bidi="ar-SA"/>
              </w:rPr>
              <w:t>（3）投标（响应）报价低于最高限价45%的，即投标（响应）报价&lt;最高限价×45%。</w:t>
            </w:r>
          </w:p>
          <w:p w14:paraId="39C23AD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auto"/>
                <w:kern w:val="0"/>
                <w:sz w:val="28"/>
                <w:szCs w:val="28"/>
                <w:lang w:val="en-US" w:eastAsia="en-US" w:bidi="ar-SA"/>
              </w:rPr>
            </w:pPr>
            <w:r>
              <w:rPr>
                <w:rFonts w:hint="eastAsia" w:ascii="宋体" w:hAnsi="宋体" w:eastAsia="宋体" w:cs="宋体"/>
                <w:snapToGrid w:val="0"/>
                <w:color w:val="auto"/>
                <w:kern w:val="0"/>
                <w:sz w:val="28"/>
                <w:szCs w:val="28"/>
                <w:lang w:val="en-US" w:eastAsia="en-US" w:bidi="ar-SA"/>
              </w:rPr>
              <w:t>（4）评标委员会认为投标人的报价明显低于其他通过符合性审查投标人的报价（数量报价下，投标人的报价明显高于其他通过符合性审查投标人的报价）， 有可能影响产品质量或者不能诚信履约的，应当要求其在评标现场合理的时间内提供书面说明，必要时提交相关证明材料；投标人不能证明其报价合理性的，评标委员会应当将其作为无效投标处理。</w:t>
            </w:r>
          </w:p>
          <w:p w14:paraId="61585F96">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snapToGrid w:val="0"/>
                <w:color w:val="auto"/>
                <w:kern w:val="0"/>
                <w:sz w:val="28"/>
                <w:szCs w:val="28"/>
                <w:lang w:val="en-US" w:eastAsia="en-US" w:bidi="ar-SA"/>
              </w:rPr>
            </w:pPr>
            <w:r>
              <w:rPr>
                <w:rFonts w:hint="eastAsia" w:ascii="宋体" w:hAnsi="宋体" w:eastAsia="宋体" w:cs="宋体"/>
                <w:snapToGrid w:val="0"/>
                <w:color w:val="auto"/>
                <w:kern w:val="0"/>
                <w:sz w:val="28"/>
                <w:szCs w:val="28"/>
                <w:lang w:val="en-US" w:eastAsia="en-US" w:bidi="ar-SA"/>
              </w:rPr>
              <w:t>评审委员会启动异常低价投标（响应）审查后， 应当要求相关供应商在评审现场合理的时间内提供书面说明及必要的证明材料，对投标（响应)价格作出解释</w:t>
            </w:r>
          </w:p>
        </w:tc>
      </w:tr>
    </w:tbl>
    <w:p w14:paraId="04C589E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2"/>
        <w:rPr>
          <w:rFonts w:hint="eastAsia" w:ascii="宋体" w:hAnsi="宋体" w:eastAsia="宋体" w:cs="宋体"/>
          <w:b w:val="0"/>
          <w:bCs w:val="0"/>
          <w:color w:val="auto"/>
          <w:sz w:val="28"/>
          <w:szCs w:val="28"/>
          <w:lang w:val="en-US" w:eastAsia="zh-CN"/>
        </w:rPr>
      </w:pPr>
    </w:p>
    <w:p w14:paraId="66C258AA">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rPr>
        <w:t>5.政府采购政策功能落实</w:t>
      </w:r>
    </w:p>
    <w:p w14:paraId="33B34F3C">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依据《政府采购促进中小企业发展管理办法》等规定，对符合条件的小微企业、监狱企业或残疾人福利性单位给予价格扣除。</w:t>
      </w:r>
    </w:p>
    <w:p w14:paraId="3F1C5A53">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rPr>
        <w:t>6.汇总、排序</w:t>
      </w:r>
    </w:p>
    <w:p w14:paraId="3F4A8AC9">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谈判小组应当从质量和服务均能满足谈判文件实质性响应要求的供应商中，按照最后报价由低到高的顺序提出3名以上成交候选人，并编写评审报告。</w:t>
      </w:r>
    </w:p>
    <w:p w14:paraId="634B3637">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采购代理机构应当在评审结束后2个工作日内将评审报告送采购人确认。采购人应当在收到评审报告后5个工作日内，从 评审报告提出的成交候选人中，根据质量和服务均能满足谈判文件实质性响应要求且最后报价最低的原则确定成交供应商，也可以书面授权谈判小组直接确定成交供应商。采购人逾期未确定成交供应商且不提出异议的，视为确定评审报告提出的最后报价最低的供应商为成交供应商。</w:t>
      </w:r>
    </w:p>
    <w:p w14:paraId="26D30285">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公开招标的货物、服务采购项目，招标过程中提交投标文件或者经评审实质性响应招标文件要求的供应商只有两家时，采购人、采购代理机构按照《政府采购非招标采购方式管理办法》规定，经本级财政部门批准后可以与该两家供应商进行竞争性谈判采购。</w:t>
      </w:r>
    </w:p>
    <w:p w14:paraId="4167B66C">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sectPr>
          <w:footerReference r:id="rId12" w:type="default"/>
          <w:pgSz w:w="11900" w:h="16840"/>
          <w:pgMar w:top="1440" w:right="1080" w:bottom="1440" w:left="1080" w:header="0" w:footer="0" w:gutter="0"/>
          <w:pgNumType w:fmt="decimal"/>
          <w:cols w:space="720" w:num="1"/>
        </w:sectPr>
      </w:pPr>
    </w:p>
    <w:p w14:paraId="2DEAD1AE">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jc w:val="center"/>
        <w:textAlignment w:val="baseline"/>
        <w:outlineLvl w:val="0"/>
        <w:rPr>
          <w:rFonts w:hint="eastAsia" w:ascii="宋体" w:hAnsi="宋体" w:eastAsia="宋体" w:cs="宋体"/>
          <w:b/>
          <w:bCs/>
          <w:color w:val="auto"/>
          <w:sz w:val="28"/>
          <w:szCs w:val="28"/>
        </w:rPr>
      </w:pPr>
      <w:bookmarkStart w:id="26" w:name="_Toc8202"/>
      <w:r>
        <w:rPr>
          <w:rFonts w:hint="eastAsia" w:ascii="宋体" w:hAnsi="宋体" w:eastAsia="宋体" w:cs="宋体"/>
          <w:b/>
          <w:bCs/>
          <w:color w:val="auto"/>
          <w:sz w:val="28"/>
          <w:szCs w:val="28"/>
        </w:rPr>
        <w:t>第六章 合同与验收</w:t>
      </w:r>
      <w:bookmarkEnd w:id="26"/>
    </w:p>
    <w:p w14:paraId="106220C3">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一、合同</w:t>
      </w:r>
    </w:p>
    <w:p w14:paraId="410651D2">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lang w:val="en-US" w:eastAsia="zh-CN"/>
        </w:rPr>
        <w:t>1</w:t>
      </w:r>
      <w:r>
        <w:rPr>
          <w:rFonts w:hint="eastAsia" w:ascii="宋体" w:hAnsi="宋体" w:eastAsia="宋体" w:cs="宋体"/>
          <w:b/>
          <w:bCs/>
          <w:color w:val="auto"/>
          <w:sz w:val="28"/>
          <w:szCs w:val="28"/>
        </w:rPr>
        <w:t>.合同要求</w:t>
      </w:r>
    </w:p>
    <w:p w14:paraId="70B482F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1.1采购人应当自中标（成交）通知书发出之日起30日内，按照招标（磋商、谈判）文件或询价通知书和中标（成交）供 应商投标（响应）文件的规定，与中标（成交）供应商签订书面合同。所签订的合同不得对招标（磋商、谈判）文件或询价通知书确定的事项作实质性修改。采购人、供应商不得提出任何不合理的要求作为签订合同的条件。</w:t>
      </w:r>
    </w:p>
    <w:p w14:paraId="561FE18E">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1.2政府采购合同应当包括采购人与中标（成交）供应商的名称和住所、标的、数量、质量、价款或者报酬、履行期限及地点和方式、验收要求、违约责任、解决争议的方法等内容。</w:t>
      </w:r>
    </w:p>
    <w:p w14:paraId="32EFA822">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1.3采购人与中标（成交）供应商应当根据合同的约定依法履行合同义务。政府采购合同的履行、违约责任和解决争议的方法等适用《中华人民共和国民法典》。政府采购合同的双方当事人不得擅自变更、中止或者终止合同。</w:t>
      </w:r>
    </w:p>
    <w:p w14:paraId="70474806">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1.4采购人应当自政府采购合同签订之日起2个工作日内，将政府采购合同在</w:t>
      </w:r>
      <w:r>
        <w:rPr>
          <w:rFonts w:hint="eastAsia" w:ascii="宋体" w:hAnsi="宋体" w:eastAsia="宋体" w:cs="宋体"/>
          <w:color w:val="auto"/>
          <w:sz w:val="24"/>
          <w:szCs w:val="24"/>
        </w:rPr>
        <w:t>赤峰市生态环境局官网（http://sthjj.chifeng.gov.cn/）</w:t>
      </w:r>
      <w:r>
        <w:rPr>
          <w:rFonts w:hint="eastAsia" w:ascii="宋体" w:hAnsi="宋体" w:eastAsia="宋体" w:cs="宋体"/>
          <w:color w:val="auto"/>
          <w:sz w:val="28"/>
          <w:szCs w:val="28"/>
        </w:rPr>
        <w:t>公告，但政府采购合同中涉及国家秘密、商业秘密的内容除外。</w:t>
      </w:r>
    </w:p>
    <w:p w14:paraId="4EEB140C">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1.5 采购人应当自政府采购合同签订之日起7个工作日内，将合同副本向同级财政部门和有关部门备案。</w:t>
      </w:r>
    </w:p>
    <w:p w14:paraId="1DA9D311">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sectPr>
          <w:footerReference r:id="rId13" w:type="default"/>
          <w:pgSz w:w="11900" w:h="16840"/>
          <w:pgMar w:top="1440" w:right="1080" w:bottom="1440" w:left="1080" w:header="0" w:footer="0" w:gutter="0"/>
          <w:pgNumType w:fmt="decimal"/>
          <w:cols w:space="720" w:num="1"/>
        </w:sectPr>
      </w:pPr>
    </w:p>
    <w:p w14:paraId="43D6B854">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outlineLvl w:val="2"/>
        <w:rPr>
          <w:rFonts w:hint="eastAsia" w:ascii="宋体" w:hAnsi="宋体" w:eastAsia="宋体" w:cs="宋体"/>
          <w:b/>
          <w:bCs/>
          <w:color w:val="auto"/>
          <w:sz w:val="28"/>
          <w:szCs w:val="28"/>
        </w:rPr>
      </w:pPr>
      <w:r>
        <w:rPr>
          <w:rFonts w:hint="eastAsia" w:ascii="宋体" w:hAnsi="宋体" w:eastAsia="宋体" w:cs="宋体"/>
          <w:b/>
          <w:bCs/>
          <w:color w:val="auto"/>
          <w:sz w:val="28"/>
          <w:szCs w:val="28"/>
        </w:rPr>
        <w:t>2 .合同格式及内容</w:t>
      </w:r>
    </w:p>
    <w:p w14:paraId="6C8A2BBC">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jc w:val="center"/>
        <w:textAlignment w:val="baseline"/>
        <w:rPr>
          <w:rFonts w:hint="eastAsia" w:ascii="宋体" w:hAnsi="宋体" w:eastAsia="宋体" w:cs="宋体"/>
          <w:b/>
          <w:bCs/>
          <w:color w:val="auto"/>
          <w:sz w:val="28"/>
          <w:szCs w:val="28"/>
        </w:rPr>
      </w:pPr>
      <w:r>
        <w:rPr>
          <w:rFonts w:hint="eastAsia" w:ascii="宋体" w:hAnsi="宋体" w:eastAsia="宋体" w:cs="宋体"/>
          <w:b/>
          <w:bCs/>
          <w:color w:val="auto"/>
          <w:sz w:val="28"/>
          <w:szCs w:val="28"/>
        </w:rPr>
        <w:t>政府采购合同</w:t>
      </w:r>
    </w:p>
    <w:p w14:paraId="319FF0DE">
      <w:pPr>
        <w:keepNext w:val="0"/>
        <w:keepLines w:val="0"/>
        <w:pageBreakBefore w:val="0"/>
        <w:overflowPunct/>
        <w:topLinePunct w:val="0"/>
        <w:bidi w:val="0"/>
        <w:spacing w:line="360" w:lineRule="auto"/>
        <w:jc w:val="center"/>
        <w:outlineLvl w:val="1"/>
        <w:rPr>
          <w:rFonts w:hint="eastAsia" w:ascii="宋体" w:hAnsi="宋体" w:eastAsia="宋体" w:cs="宋体"/>
          <w:color w:val="auto"/>
          <w:sz w:val="28"/>
          <w:szCs w:val="28"/>
        </w:rPr>
      </w:pPr>
      <w:r>
        <w:rPr>
          <w:rFonts w:hint="eastAsia" w:ascii="宋体" w:hAnsi="宋体" w:eastAsia="宋体" w:cs="宋体"/>
          <w:color w:val="auto"/>
          <w:sz w:val="28"/>
          <w:szCs w:val="28"/>
        </w:rPr>
        <w:t>（工程类合同参考文本）</w:t>
      </w:r>
    </w:p>
    <w:p w14:paraId="4B16BB30">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合同编号：</w:t>
      </w:r>
    </w:p>
    <w:p w14:paraId="140BFA15">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甲方：***（填写采购单位名称）</w:t>
      </w:r>
    </w:p>
    <w:p w14:paraId="39E47328">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地址：***（填写详细地址）</w:t>
      </w:r>
    </w:p>
    <w:p w14:paraId="04885AB4">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乙方：***（填写中标、成交供应商名称</w:t>
      </w:r>
    </w:p>
    <w:p w14:paraId="6D4C72D6">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地址：***（填写详细地址）</w:t>
      </w:r>
    </w:p>
    <w:p w14:paraId="073A4B27">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根据《中华人民共和国政府采购法》《中华人民共和国政府采购法实施条例》《中华人民共和国民法典》等相关法律法规、规范性文件以及</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项目（填写项目名称）</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填写政府采购项目编号）的成交结果、磋商（谈判）文件、响应文件等文件的相关内容，甲乙双方经平等协商，就如下合同条款达成一致意见。</w:t>
      </w:r>
    </w:p>
    <w:p w14:paraId="5465343E">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1"/>
        <w:rPr>
          <w:rFonts w:hint="eastAsia" w:ascii="宋体" w:hAnsi="宋体" w:eastAsia="宋体" w:cs="宋体"/>
          <w:color w:val="auto"/>
          <w:sz w:val="28"/>
          <w:szCs w:val="28"/>
        </w:rPr>
      </w:pPr>
      <w:r>
        <w:rPr>
          <w:rFonts w:hint="eastAsia" w:ascii="宋体" w:hAnsi="宋体" w:eastAsia="宋体" w:cs="宋体"/>
          <w:color w:val="auto"/>
          <w:sz w:val="28"/>
          <w:szCs w:val="28"/>
        </w:rPr>
        <w:t>一、工程项目的基本情况</w:t>
      </w:r>
    </w:p>
    <w:p w14:paraId="45275ED9">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（一）根据磋商（谈判）文件及成交结果公告，乙方向甲方提供的工程项目及设施设备（如有）、服务（如有）基本情况</w:t>
      </w:r>
    </w:p>
    <w:p w14:paraId="0A601E4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如下：</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14:paraId="034F082F">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二）工程项目的名称、建设地点、工程技术规范及要求、工程量等具体内容，乙方提供的材料及设备名称、规格型号、品牌、单价、产地以及与工程、材料、设施设备相关的服务等详细内容，见合同附件—工程清单</w:t>
      </w:r>
    </w:p>
    <w:p w14:paraId="5E5B78A7">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1"/>
        <w:rPr>
          <w:rFonts w:hint="eastAsia" w:ascii="宋体" w:hAnsi="宋体" w:eastAsia="宋体" w:cs="宋体"/>
          <w:color w:val="auto"/>
          <w:sz w:val="28"/>
          <w:szCs w:val="28"/>
        </w:rPr>
      </w:pPr>
      <w:r>
        <w:rPr>
          <w:rFonts w:hint="eastAsia" w:ascii="宋体" w:hAnsi="宋体" w:eastAsia="宋体" w:cs="宋体"/>
          <w:color w:val="auto"/>
          <w:sz w:val="28"/>
          <w:szCs w:val="28"/>
        </w:rPr>
        <w:t>二、工程建设计划及相应的工期要求。</w:t>
      </w:r>
    </w:p>
    <w:p w14:paraId="7FDA9761">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注：如工程建设分阶段，应详细列明各阶段工程建设内容及工期要求。</w:t>
      </w:r>
    </w:p>
    <w:p w14:paraId="661C4819">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1"/>
        <w:rPr>
          <w:rFonts w:hint="eastAsia" w:ascii="宋体" w:hAnsi="宋体" w:eastAsia="宋体" w:cs="宋体"/>
          <w:color w:val="auto"/>
          <w:sz w:val="28"/>
          <w:szCs w:val="28"/>
        </w:rPr>
      </w:pPr>
      <w:r>
        <w:rPr>
          <w:rFonts w:hint="eastAsia" w:ascii="宋体" w:hAnsi="宋体" w:eastAsia="宋体" w:cs="宋体"/>
          <w:color w:val="auto"/>
          <w:sz w:val="28"/>
          <w:szCs w:val="28"/>
        </w:rPr>
        <w:t>三、工程质量要求</w:t>
      </w:r>
    </w:p>
    <w:p w14:paraId="5D6B0920">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（一）乙方建设工程应同时满足：1.符合国家法律法规和规范性文件对工程的质量要求；2.符合甲方磋商（谈判）文件对 工程的质量要求；3.符合乙方在响应文件中或磋商、谈判过程中对工程质量作出的书面承诺、声明或保证。上述工程质量要求作为甲方对乙方工程质量的验收依据</w:t>
      </w:r>
    </w:p>
    <w:p w14:paraId="4CCE53A9">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（二）乙方应根据国家法律法规和规范性文件的规定、磋商（谈判）文件的相关要求、响应文件及乙方承诺、声明或保证，向甲方提供相应的工程质量满足要求的证明文件。</w:t>
      </w:r>
    </w:p>
    <w:p w14:paraId="6747DD6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1"/>
        <w:rPr>
          <w:rFonts w:hint="eastAsia" w:ascii="宋体" w:hAnsi="宋体" w:eastAsia="宋体" w:cs="宋体"/>
          <w:color w:val="auto"/>
          <w:sz w:val="28"/>
          <w:szCs w:val="28"/>
        </w:rPr>
      </w:pPr>
      <w:r>
        <w:rPr>
          <w:rFonts w:hint="eastAsia" w:ascii="宋体" w:hAnsi="宋体" w:eastAsia="宋体" w:cs="宋体"/>
          <w:color w:val="auto"/>
          <w:sz w:val="28"/>
          <w:szCs w:val="28"/>
        </w:rPr>
        <w:t>四、对工程验收的约定</w:t>
      </w:r>
    </w:p>
    <w:p w14:paraId="63C26ABB">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（一）甲乙双方对工程建设过程中的各阶段验收、总验收及乙方提供的材料设备验收的条件和时间约定如下：</w:t>
      </w:r>
    </w:p>
    <w:p w14:paraId="0DFB038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注：根据项目具体情况填写。</w:t>
      </w:r>
    </w:p>
    <w:p w14:paraId="56E5E645">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（二）如乙方未通过甲方组织的各阶段验收，甲方有权要求乙方在限定期限内整改，如整改不合格，甲方有权追究乙方违约责任，解除合同并要求乙方赔偿经济损失。</w:t>
      </w:r>
    </w:p>
    <w:p w14:paraId="45900FB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1"/>
        <w:rPr>
          <w:rFonts w:hint="eastAsia" w:ascii="宋体" w:hAnsi="宋体" w:eastAsia="宋体" w:cs="宋体"/>
          <w:color w:val="auto"/>
          <w:sz w:val="28"/>
          <w:szCs w:val="28"/>
        </w:rPr>
      </w:pPr>
      <w:r>
        <w:rPr>
          <w:rFonts w:hint="eastAsia" w:ascii="宋体" w:hAnsi="宋体" w:eastAsia="宋体" w:cs="宋体"/>
          <w:color w:val="auto"/>
          <w:sz w:val="28"/>
          <w:szCs w:val="28"/>
        </w:rPr>
        <w:t>五、合同金额</w:t>
      </w:r>
    </w:p>
    <w:p w14:paraId="7345B68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 xml:space="preserve">在乙方提供完全符合合同要求的工程、材料、设施设备、服务的前提下，本合同总金额为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元（小写）</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（大写）。</w:t>
      </w:r>
    </w:p>
    <w:p w14:paraId="187A437B">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1"/>
        <w:rPr>
          <w:rFonts w:hint="eastAsia" w:ascii="宋体" w:hAnsi="宋体" w:eastAsia="宋体" w:cs="宋体"/>
          <w:color w:val="auto"/>
          <w:sz w:val="28"/>
          <w:szCs w:val="28"/>
        </w:rPr>
      </w:pPr>
      <w:r>
        <w:rPr>
          <w:rFonts w:hint="eastAsia" w:ascii="宋体" w:hAnsi="宋体" w:eastAsia="宋体" w:cs="宋体"/>
          <w:color w:val="auto"/>
          <w:sz w:val="28"/>
          <w:szCs w:val="28"/>
        </w:rPr>
        <w:t>六、付款时间及条件</w:t>
      </w:r>
    </w:p>
    <w:p w14:paraId="09BFB155">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 xml:space="preserve">（一）付款时间：           </w:t>
      </w:r>
    </w:p>
    <w:p w14:paraId="71E154CB">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 xml:space="preserve">（二）付款条件：           </w:t>
      </w:r>
    </w:p>
    <w:p w14:paraId="58F13080">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（三）乙方账户信息</w:t>
      </w:r>
    </w:p>
    <w:p w14:paraId="5E7D94E1">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 xml:space="preserve">乙方名称：           </w:t>
      </w:r>
    </w:p>
    <w:p w14:paraId="42A55877">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开户银行：</w:t>
      </w:r>
    </w:p>
    <w:p w14:paraId="1D868A6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 xml:space="preserve">银行账号：      </w:t>
      </w:r>
    </w:p>
    <w:p w14:paraId="00EA8FA0">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1"/>
        <w:rPr>
          <w:rFonts w:hint="eastAsia" w:ascii="宋体" w:hAnsi="宋体" w:eastAsia="宋体" w:cs="宋体"/>
          <w:color w:val="auto"/>
          <w:sz w:val="28"/>
          <w:szCs w:val="28"/>
        </w:rPr>
      </w:pPr>
      <w:r>
        <w:rPr>
          <w:rFonts w:hint="eastAsia" w:ascii="宋体" w:hAnsi="宋体" w:eastAsia="宋体" w:cs="宋体"/>
          <w:color w:val="auto"/>
          <w:sz w:val="28"/>
          <w:szCs w:val="28"/>
        </w:rPr>
        <w:t>七、 甲方对乙方工程的监督</w:t>
      </w:r>
    </w:p>
    <w:p w14:paraId="75387C09">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甲方及甲方委派的代表有权对乙方工程、材料及设施设备、服务等质量及管理进行监督，当乙方工程质量、材料及设施设 备、服务内容不符合约定时，甲方及授权代表有权要求乙方及时进行整改，对乙方拒不改正或整改不到位的，甲方有权随时解除合同，并根据具体情况扣除部分或全部工程费用。</w:t>
      </w:r>
    </w:p>
    <w:p w14:paraId="1C46D661">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1"/>
        <w:rPr>
          <w:rFonts w:hint="eastAsia" w:ascii="宋体" w:hAnsi="宋体" w:eastAsia="宋体" w:cs="宋体"/>
          <w:color w:val="auto"/>
          <w:sz w:val="28"/>
          <w:szCs w:val="28"/>
        </w:rPr>
      </w:pPr>
      <w:r>
        <w:rPr>
          <w:rFonts w:hint="eastAsia" w:ascii="宋体" w:hAnsi="宋体" w:eastAsia="宋体" w:cs="宋体"/>
          <w:color w:val="auto"/>
          <w:sz w:val="28"/>
          <w:szCs w:val="28"/>
        </w:rPr>
        <w:t>八、质量保证及售后服务</w:t>
      </w:r>
    </w:p>
    <w:p w14:paraId="25EB6DAF">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磋商（谈判）文件对工程质量保证期、材料设施设备质保期和售后、服务质量作出明确要求的，适用磋商（谈判）文件对 工程质量保证期及材料设施设备质保期和售后、服务质量的规定，如乙方在响应文件及磋商（谈判）过程中对工程质量保证期及设施设备质保期和售后、服务质量作出更优的承诺、声明或保证的，适用乙方的承诺、声明或保证。</w:t>
      </w:r>
    </w:p>
    <w:p w14:paraId="0FC13757">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1"/>
        <w:rPr>
          <w:rFonts w:hint="eastAsia" w:ascii="宋体" w:hAnsi="宋体" w:eastAsia="宋体" w:cs="宋体"/>
          <w:color w:val="auto"/>
          <w:sz w:val="28"/>
          <w:szCs w:val="28"/>
        </w:rPr>
      </w:pPr>
      <w:r>
        <w:rPr>
          <w:rFonts w:hint="eastAsia" w:ascii="宋体" w:hAnsi="宋体" w:eastAsia="宋体" w:cs="宋体"/>
          <w:color w:val="auto"/>
          <w:sz w:val="28"/>
          <w:szCs w:val="28"/>
        </w:rPr>
        <w:t>九、违约条款</w:t>
      </w:r>
    </w:p>
    <w:p w14:paraId="3B3A0E3C">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（一）甲方没有正当理由逾期支付合同款项的，每延期一日，甲方应按照逾期支付金额</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的承担违约责任。延期达到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日，乙方有权解除合同，并要求甲方赔偿由此造成的经济损失。</w:t>
      </w:r>
    </w:p>
    <w:p w14:paraId="7FCF151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（二）甲方存在其他违反本合同的行为，应承担相应的违约责任（注：可以根据情况进行细化）；违约金不足以赔偿乙方损失的，乙方有权要求甲方赔偿由此造成的经济损失。</w:t>
      </w:r>
    </w:p>
    <w:p w14:paraId="6E50320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（三）乙方逾期交付工程的，每延期一 日，乙方应按照合同总金额的           承担违约责任。延期达到</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日，甲方有权解除合同，拒付延期部分的相应工程款，并要求乙方赔偿甲方经济损失。</w:t>
      </w:r>
    </w:p>
    <w:p w14:paraId="44BFC249">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（四）乙方交付的工程及设施设备、服务质量不符合质量规定或乙方未履行相应的工程质量保证期及设施设备质保期和售后、服务义务的，甲方有权拒付相应的工程款，并要求乙方支付合同总金额</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%的违约金。违约金不足以赔偿损失的，甲方有权要求乙方赔偿经济损失。</w:t>
      </w:r>
    </w:p>
    <w:p w14:paraId="2A11DE41">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（五）乙方在参与本项目采购活动过程中，如存在提供虚假承诺、证明、串通投标等违法违规行为，除承担相应的行政责 任外，甲方有权解除合同，并要求乙方承担合同总金额</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%的违约金，违约金不足以赔偿甲方损失的，甲方有权要求乙方赔偿经济损失。</w:t>
      </w:r>
    </w:p>
    <w:p w14:paraId="1DFEF48E">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（六）乙方存在其他违反本合同的行为，应承担相应的违约责任（可以根据情况进行细化）；违约金不足以赔偿甲方损失的，甲方有权要求乙方赔偿经济损失。</w:t>
      </w:r>
    </w:p>
    <w:p w14:paraId="54177A69">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1"/>
        <w:rPr>
          <w:rFonts w:hint="eastAsia" w:ascii="宋体" w:hAnsi="宋体" w:eastAsia="宋体" w:cs="宋体"/>
          <w:color w:val="auto"/>
          <w:sz w:val="28"/>
          <w:szCs w:val="28"/>
        </w:rPr>
      </w:pPr>
      <w:r>
        <w:rPr>
          <w:rFonts w:hint="eastAsia" w:ascii="宋体" w:hAnsi="宋体" w:eastAsia="宋体" w:cs="宋体"/>
          <w:color w:val="auto"/>
          <w:sz w:val="28"/>
          <w:szCs w:val="28"/>
        </w:rPr>
        <w:t>十、不可抗力条款</w:t>
      </w:r>
    </w:p>
    <w:p w14:paraId="12D233E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 xml:space="preserve">因不可抗力致使一方不能及时或完全履行合同的，应及时通知另一方，双方互不承担责任，并在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天内提供有关</w:t>
      </w:r>
    </w:p>
    <w:p w14:paraId="1DB14AB3">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不可抗力的相关证明。合同未履行部分是否继续履行、如何履行等问题，由双方协商解决。</w:t>
      </w:r>
    </w:p>
    <w:p w14:paraId="7D5C7196">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1"/>
        <w:rPr>
          <w:rFonts w:hint="eastAsia" w:ascii="宋体" w:hAnsi="宋体" w:eastAsia="宋体" w:cs="宋体"/>
          <w:color w:val="auto"/>
          <w:sz w:val="28"/>
          <w:szCs w:val="28"/>
        </w:rPr>
      </w:pPr>
      <w:r>
        <w:rPr>
          <w:rFonts w:hint="eastAsia" w:ascii="宋体" w:hAnsi="宋体" w:eastAsia="宋体" w:cs="宋体"/>
          <w:color w:val="auto"/>
          <w:sz w:val="28"/>
          <w:szCs w:val="28"/>
        </w:rPr>
        <w:t>十一、争议的解决方式</w:t>
      </w:r>
    </w:p>
    <w:p w14:paraId="593B9789">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合同发生纠纷时，双方应协商解决，协商不成，可以采用下列方式</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解决：</w:t>
      </w:r>
    </w:p>
    <w:p w14:paraId="6FE945F3">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（一）提交</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仲裁委员会仲裁。</w:t>
      </w:r>
    </w:p>
    <w:p w14:paraId="1F814749">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（二）向</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人民法院起诉。</w:t>
      </w:r>
    </w:p>
    <w:p w14:paraId="271FA123">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1"/>
        <w:rPr>
          <w:rFonts w:hint="eastAsia" w:ascii="宋体" w:hAnsi="宋体" w:eastAsia="宋体" w:cs="宋体"/>
          <w:color w:val="auto"/>
          <w:sz w:val="28"/>
          <w:szCs w:val="28"/>
        </w:rPr>
      </w:pPr>
      <w:r>
        <w:rPr>
          <w:rFonts w:hint="eastAsia" w:ascii="宋体" w:hAnsi="宋体" w:eastAsia="宋体" w:cs="宋体"/>
          <w:color w:val="auto"/>
          <w:sz w:val="28"/>
          <w:szCs w:val="28"/>
        </w:rPr>
        <w:t>十二、合同保存</w:t>
      </w:r>
    </w:p>
    <w:p w14:paraId="59A78670">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合同文本一式</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份，采购单位、中标（成交）供应商、采购代理机构、           各执一份。合同文本保存期限为从采购结束之日起至少保存十五年。</w:t>
      </w:r>
    </w:p>
    <w:p w14:paraId="3545074F">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1"/>
        <w:rPr>
          <w:rFonts w:hint="eastAsia" w:ascii="宋体" w:hAnsi="宋体" w:eastAsia="宋体" w:cs="宋体"/>
          <w:color w:val="auto"/>
          <w:sz w:val="28"/>
          <w:szCs w:val="28"/>
        </w:rPr>
      </w:pPr>
      <w:r>
        <w:rPr>
          <w:rFonts w:hint="eastAsia" w:ascii="宋体" w:hAnsi="宋体" w:eastAsia="宋体" w:cs="宋体"/>
          <w:color w:val="auto"/>
          <w:sz w:val="28"/>
          <w:szCs w:val="28"/>
        </w:rPr>
        <w:t>十三、合同附件</w:t>
      </w:r>
    </w:p>
    <w:p w14:paraId="18E0B920">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本合同所附下列文件是构成本合同不可分割的部分，与本合同具有同等法律效力：</w:t>
      </w:r>
    </w:p>
    <w:p w14:paraId="6A957B04">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1.工程清单（双方应盖章确认）</w:t>
      </w:r>
    </w:p>
    <w:p w14:paraId="05B0D53B">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2. 乙方出具的报价单（函）</w:t>
      </w:r>
    </w:p>
    <w:p w14:paraId="3B22650E">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3.成交结果公告及成交通知书</w:t>
      </w:r>
    </w:p>
    <w:p w14:paraId="21D8A2F2">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4. 甲方磋商（谈判）文件</w:t>
      </w:r>
    </w:p>
    <w:p w14:paraId="08F7ECD1">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5. 乙方响应文件</w:t>
      </w:r>
    </w:p>
    <w:p w14:paraId="46586817">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6. 甲乙双方商定的其他文件</w:t>
      </w:r>
    </w:p>
    <w:p w14:paraId="147F4706">
      <w:pPr>
        <w:keepNext w:val="0"/>
        <w:keepLines w:val="0"/>
        <w:pageBreakBefore w:val="0"/>
        <w:overflowPunct/>
        <w:topLinePunct w:val="0"/>
        <w:bidi w:val="0"/>
        <w:spacing w:line="360" w:lineRule="auto"/>
        <w:outlineLvl w:val="1"/>
        <w:rPr>
          <w:rFonts w:hint="eastAsia" w:ascii="宋体" w:hAnsi="宋体" w:eastAsia="宋体" w:cs="宋体"/>
          <w:color w:val="auto"/>
          <w:sz w:val="28"/>
          <w:szCs w:val="28"/>
        </w:rPr>
      </w:pPr>
      <w:r>
        <w:rPr>
          <w:rFonts w:hint="eastAsia" w:ascii="宋体" w:hAnsi="宋体" w:eastAsia="宋体" w:cs="宋体"/>
          <w:color w:val="auto"/>
          <w:sz w:val="28"/>
          <w:szCs w:val="28"/>
        </w:rPr>
        <w:t>十四、合同保存</w:t>
      </w:r>
    </w:p>
    <w:p w14:paraId="15CC2280">
      <w:pPr>
        <w:keepNext w:val="0"/>
        <w:keepLines w:val="0"/>
        <w:pageBreakBefore w:val="0"/>
        <w:overflowPunct/>
        <w:topLinePunct w:val="0"/>
        <w:bidi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合同文本一式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份，采购单位、中标（成交）供应商、采购代理机构、各执一份。合同文本保存期限为从采购结束之日起至少保存十五年。</w:t>
      </w:r>
    </w:p>
    <w:p w14:paraId="3831CD42">
      <w:pPr>
        <w:keepNext w:val="0"/>
        <w:keepLines w:val="0"/>
        <w:pageBreakBefore w:val="0"/>
        <w:overflowPunct/>
        <w:topLinePunct w:val="0"/>
        <w:bidi w:val="0"/>
        <w:spacing w:line="360" w:lineRule="auto"/>
        <w:outlineLvl w:val="1"/>
        <w:rPr>
          <w:rFonts w:hint="eastAsia" w:ascii="宋体" w:hAnsi="宋体" w:eastAsia="宋体" w:cs="宋体"/>
          <w:color w:val="auto"/>
          <w:sz w:val="28"/>
          <w:szCs w:val="28"/>
        </w:rPr>
      </w:pPr>
      <w:r>
        <w:rPr>
          <w:rFonts w:hint="eastAsia" w:ascii="宋体" w:hAnsi="宋体" w:eastAsia="宋体" w:cs="宋体"/>
          <w:color w:val="auto"/>
          <w:sz w:val="28"/>
          <w:szCs w:val="28"/>
        </w:rPr>
        <w:t>十五、合同附件</w:t>
      </w:r>
    </w:p>
    <w:p w14:paraId="1589D44E">
      <w:pPr>
        <w:keepNext w:val="0"/>
        <w:keepLines w:val="0"/>
        <w:pageBreakBefore w:val="0"/>
        <w:overflowPunct/>
        <w:topLinePunct w:val="0"/>
        <w:bidi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本合同所附下列文件是构成本合同不可分割的组成部分，其内容与本合同具有同等的法律效力：</w:t>
      </w:r>
    </w:p>
    <w:p w14:paraId="63028BA6">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1、货物清单（双方应盖章确认）</w:t>
      </w:r>
    </w:p>
    <w:p w14:paraId="464F581F">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2、乙方出具的报价单（函）</w:t>
      </w:r>
    </w:p>
    <w:p w14:paraId="7967FDF2">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3、中标（成交）结果公告及中标（成交）通知书</w:t>
      </w:r>
    </w:p>
    <w:p w14:paraId="2BF35992">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4、甲方招标（磋商、谈判）文件或询价通知书</w:t>
      </w:r>
    </w:p>
    <w:p w14:paraId="7F299787">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5、乙方投标（响应）文件</w:t>
      </w:r>
    </w:p>
    <w:p w14:paraId="0725D9B2">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6、甲乙双方商定的其他文件</w:t>
      </w:r>
    </w:p>
    <w:p w14:paraId="2FA9DA9C">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十六、双方约定的其他条款_________________________________________________</w:t>
      </w:r>
    </w:p>
    <w:p w14:paraId="0BB02849">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十七、本合同未尽事宜， 由双方另行签订补充协议，补充协议是本合同的组成部分。</w:t>
      </w:r>
    </w:p>
    <w:p w14:paraId="17197FB4">
      <w:pPr>
        <w:keepNext w:val="0"/>
        <w:keepLines w:val="0"/>
        <w:pageBreakBefore w:val="0"/>
        <w:overflowPunct/>
        <w:topLinePunct w:val="0"/>
        <w:bidi w:val="0"/>
        <w:spacing w:line="360" w:lineRule="auto"/>
        <w:outlineLvl w:val="1"/>
        <w:rPr>
          <w:rFonts w:hint="eastAsia" w:ascii="宋体" w:hAnsi="宋体" w:eastAsia="宋体" w:cs="宋体"/>
          <w:color w:val="auto"/>
          <w:sz w:val="28"/>
          <w:szCs w:val="28"/>
        </w:rPr>
      </w:pPr>
      <w:r>
        <w:rPr>
          <w:rFonts w:hint="eastAsia" w:ascii="宋体" w:hAnsi="宋体" w:eastAsia="宋体" w:cs="宋体"/>
          <w:color w:val="auto"/>
          <w:sz w:val="28"/>
          <w:szCs w:val="28"/>
        </w:rPr>
        <w:t>十八、本合同由甲乙双方盖章生效。</w:t>
      </w:r>
    </w:p>
    <w:p w14:paraId="5108FE6A">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甲方名称：（章）</w:t>
      </w:r>
    </w:p>
    <w:p w14:paraId="25F97A37">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甲方法定代表人或负责人：（签字）</w:t>
      </w:r>
    </w:p>
    <w:p w14:paraId="188F94E0">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年  月   日</w:t>
      </w:r>
    </w:p>
    <w:p w14:paraId="051E6E40">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乙方名称：（章）</w:t>
      </w:r>
    </w:p>
    <w:p w14:paraId="26622A7A">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乙方法定代表人或负责人：（签字）</w:t>
      </w:r>
    </w:p>
    <w:p w14:paraId="74C241A5">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年  月   日</w:t>
      </w:r>
    </w:p>
    <w:p w14:paraId="4EEA28A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ascii="宋体" w:hAnsi="宋体" w:eastAsia="宋体" w:cs="宋体"/>
          <w:b/>
          <w:bCs/>
          <w:color w:val="auto"/>
          <w:sz w:val="28"/>
          <w:szCs w:val="28"/>
        </w:rPr>
      </w:pPr>
      <w:r>
        <w:rPr>
          <w:rFonts w:hint="eastAsia" w:ascii="宋体" w:hAnsi="宋体" w:eastAsia="宋体" w:cs="宋体"/>
          <w:color w:val="auto"/>
          <w:sz w:val="28"/>
          <w:szCs w:val="28"/>
        </w:rPr>
        <w:br w:type="column"/>
      </w:r>
      <w:r>
        <w:rPr>
          <w:rFonts w:hint="eastAsia" w:ascii="宋体" w:hAnsi="宋体" w:eastAsia="宋体" w:cs="宋体"/>
          <w:b/>
          <w:bCs/>
          <w:color w:val="auto"/>
          <w:sz w:val="28"/>
          <w:szCs w:val="28"/>
        </w:rPr>
        <w:t>政府采购合同</w:t>
      </w:r>
    </w:p>
    <w:p w14:paraId="32DF2F96">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（货物类合同参考文本）</w:t>
      </w:r>
    </w:p>
    <w:p w14:paraId="601E26B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合同编号：</w:t>
      </w:r>
    </w:p>
    <w:p w14:paraId="0A27EA7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甲方：***（填写采购单位名称） </w:t>
      </w:r>
    </w:p>
    <w:p w14:paraId="2C26F2B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地址：***（填写详细地址）</w:t>
      </w:r>
    </w:p>
    <w:p w14:paraId="4E3E065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乙方：***（填写中标、成交供应商名称） </w:t>
      </w:r>
    </w:p>
    <w:p w14:paraId="079732C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地址：***（填写详细地址）</w:t>
      </w:r>
    </w:p>
    <w:p w14:paraId="768A5A3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根据《中华人民共和国政府采购法》《中华人民共和国政府采购法实施条例》《中华人民共和国民法典》等相关法律法规、规范性文件以及</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项目（填写项目名称）</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（填写政府采购项目编号）的中标（成交）结果、招标（磋商、谈判）文件或询价通知书、投标（响应）文件等文件的相关内容，甲乙双方经平等协商，就如下合同条款达成一致意见。</w:t>
      </w:r>
    </w:p>
    <w:p w14:paraId="06F82B6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一、 甲方向乙方采购的货物基本情况</w:t>
      </w:r>
    </w:p>
    <w:p w14:paraId="3F08BEE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（一）根据招标（磋商、谈判）文件或询价通知书及中标（成交）结果公告，甲方所采购的货物、服务（如有）基本情况如下：</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14:paraId="66F2EB4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（二）货物名称、数量、规格型号、生产厂家、品牌、单价、与货物相关的服务等详细内容，见合同附件-货物清单。 </w:t>
      </w:r>
    </w:p>
    <w:p w14:paraId="395830C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二、乙方交付货物的时间及地点</w:t>
      </w:r>
    </w:p>
    <w:p w14:paraId="56632D0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u w:val="single"/>
        </w:rPr>
      </w:pPr>
      <w:r>
        <w:rPr>
          <w:rFonts w:hint="eastAsia" w:ascii="宋体" w:hAnsi="宋体" w:eastAsia="宋体" w:cs="宋体"/>
          <w:color w:val="auto"/>
          <w:sz w:val="28"/>
          <w:szCs w:val="28"/>
        </w:rPr>
        <w:t>（一）交付时间：</w:t>
      </w:r>
      <w:r>
        <w:rPr>
          <w:rFonts w:hint="eastAsia" w:ascii="宋体" w:hAnsi="宋体" w:eastAsia="宋体" w:cs="宋体"/>
          <w:color w:val="auto"/>
          <w:sz w:val="28"/>
          <w:szCs w:val="28"/>
          <w:u w:val="single"/>
        </w:rPr>
        <w:t xml:space="preserve">           </w:t>
      </w:r>
    </w:p>
    <w:p w14:paraId="09D15B5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（二）交付地点：</w:t>
      </w:r>
      <w:r>
        <w:rPr>
          <w:rFonts w:hint="eastAsia" w:ascii="宋体" w:hAnsi="宋体" w:eastAsia="宋体" w:cs="宋体"/>
          <w:color w:val="auto"/>
          <w:sz w:val="28"/>
          <w:szCs w:val="28"/>
          <w:u w:val="single"/>
        </w:rPr>
        <w:t xml:space="preserve">           </w:t>
      </w:r>
    </w:p>
    <w:p w14:paraId="19E7165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u w:val="single"/>
        </w:rPr>
      </w:pPr>
      <w:r>
        <w:rPr>
          <w:rFonts w:hint="eastAsia" w:ascii="宋体" w:hAnsi="宋体" w:eastAsia="宋体" w:cs="宋体"/>
          <w:color w:val="auto"/>
          <w:sz w:val="28"/>
          <w:szCs w:val="28"/>
        </w:rPr>
        <w:t>（三）交付货物的名称及数量：</w:t>
      </w:r>
      <w:r>
        <w:rPr>
          <w:rFonts w:hint="eastAsia" w:ascii="宋体" w:hAnsi="宋体" w:eastAsia="宋体" w:cs="宋体"/>
          <w:color w:val="auto"/>
          <w:sz w:val="28"/>
          <w:szCs w:val="28"/>
          <w:u w:val="single"/>
        </w:rPr>
        <w:t xml:space="preserve">           </w:t>
      </w:r>
    </w:p>
    <w:p w14:paraId="76980C7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（四）乙方交付货物代表及联系电话：</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（填写姓名和联系电话）</w:t>
      </w:r>
    </w:p>
    <w:p w14:paraId="7B4C5C9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（五）甲方接收货物代表及联系电话：</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（填写姓名和联系电话）</w:t>
      </w:r>
    </w:p>
    <w:p w14:paraId="155A3D3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注：货物为多批次交付的，应详细列明每批次交付的内容、数量、交付时间、交付地点等。</w:t>
      </w:r>
    </w:p>
    <w:p w14:paraId="3CDF07C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三、乙方交付货物的质量</w:t>
      </w:r>
    </w:p>
    <w:p w14:paraId="2A8A81D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（一）乙方交付的货物应同时满足：</w:t>
      </w:r>
    </w:p>
    <w:p w14:paraId="0810BE7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1.符合国家法律法规和规范性文件对货物的质量要求；</w:t>
      </w:r>
    </w:p>
    <w:p w14:paraId="2603FA8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2.符合甲方招标（磋商、谈判）文件或询价通知书对货物的质量要求；</w:t>
      </w:r>
    </w:p>
    <w:p w14:paraId="5E5CF25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3.符合乙方在投标（响应）文件中或磋商、谈判过程中对货物质量作出的书面承诺、声明或保证。上述质量要求作为甲方对乙方货物质量的验收依据。</w:t>
      </w:r>
    </w:p>
    <w:p w14:paraId="1B0FDCF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（二）乙方应根据国家法律法规和规范性文件的规定、招标（磋商、谈判）文件或询价通知书的相关要求、投标（响应）文件及乙方承诺、声明或保证，向甲方提供相应的货物质量证明文件。</w:t>
      </w:r>
    </w:p>
    <w:p w14:paraId="1635779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四、乙方交付货物的包装及标识</w:t>
      </w:r>
    </w:p>
    <w:p w14:paraId="4982975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（一）乙方交付货物的包装和标识应同时满足：</w:t>
      </w:r>
    </w:p>
    <w:p w14:paraId="76F82A1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1.符合国家法律法规和规范性文件对产品包装及标识的要求；</w:t>
      </w:r>
    </w:p>
    <w:p w14:paraId="2B06F2E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2.符合甲方招标（磋商、谈判）文件或询价通知书对货物包装及标识的要求；</w:t>
      </w:r>
    </w:p>
    <w:p w14:paraId="6FE7DA1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3.符合乙方在投标（响应）文件中对货物包装及标识作出的承诺、声明或保证；</w:t>
      </w:r>
    </w:p>
    <w:p w14:paraId="467C753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4.符合绿色环保、运输及安全性等要求。</w:t>
      </w:r>
    </w:p>
    <w:p w14:paraId="0DA7C6F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（二）货物的包装费用由乙方承担。 </w:t>
      </w:r>
    </w:p>
    <w:p w14:paraId="15278C4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五、货物的运输要求</w:t>
      </w:r>
    </w:p>
    <w:p w14:paraId="1D759D0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（一）运输方式及运输线路：</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14:paraId="230859F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（二）运输、保险及其他相关费用由乙方承担。</w:t>
      </w:r>
    </w:p>
    <w:p w14:paraId="079397B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六、甲方对货物的验收</w:t>
      </w:r>
    </w:p>
    <w:p w14:paraId="7C4F230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（一）乙方将货物送达至甲方指定的地点，应及时通知甲方。在甲方收到到货通知并在货物到达指定地点后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日内，由甲乙双方及第三方（如有）对货物的数量、规格型号、生产厂家、品牌、外观进行验收，在条件允许的情况下，可以同步对货物质量进行初步验收，甲乙双方应签署书面验收记录，作为本项目的履行文件留存。</w:t>
      </w:r>
    </w:p>
    <w:p w14:paraId="7A5FCBF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（二）在甲方收到货物</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日内，如发现质量问题，甲方应在</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日内向乙方提出书面异议，甲方逾期提出的，视为乙方所交付的货物质量符合合同的约定。乙方在收到甲方关于质量问题的书面异议后，应当在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日内负责解决处理。</w:t>
      </w:r>
    </w:p>
    <w:p w14:paraId="6BA256A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（三）乙方提交的货物数量、规格型号及质量不符合本合同要求的，甲方应在验收记录中作出明确记载，保留相关的证据，并有权拒绝接受货物，解除合同且不承担任何法律责任。</w:t>
      </w:r>
    </w:p>
    <w:p w14:paraId="0525743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七、合同金额</w:t>
      </w:r>
    </w:p>
    <w:p w14:paraId="46F4473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在乙方提供完全符合合同要求的货物的前提下，本合同总金额为</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元（小写）</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none"/>
        </w:rPr>
        <w:t>（大写）</w:t>
      </w:r>
      <w:r>
        <w:rPr>
          <w:rFonts w:hint="eastAsia" w:ascii="宋体" w:hAnsi="宋体" w:eastAsia="宋体" w:cs="宋体"/>
          <w:color w:val="auto"/>
          <w:sz w:val="28"/>
          <w:szCs w:val="28"/>
          <w:u w:val="none"/>
          <w:lang w:eastAsia="zh-CN"/>
        </w:rPr>
        <w:t>。</w:t>
      </w:r>
      <w:r>
        <w:rPr>
          <w:rFonts w:hint="eastAsia" w:ascii="宋体" w:hAnsi="宋体" w:eastAsia="宋体" w:cs="宋体"/>
          <w:color w:val="auto"/>
          <w:sz w:val="28"/>
          <w:szCs w:val="28"/>
          <w:u w:val="none"/>
          <w:lang w:val="en-US" w:eastAsia="zh-CN"/>
        </w:rPr>
        <w:t xml:space="preserve">   </w:t>
      </w:r>
      <w:r>
        <w:rPr>
          <w:rFonts w:hint="eastAsia" w:ascii="宋体" w:hAnsi="宋体" w:eastAsia="宋体" w:cs="宋体"/>
          <w:color w:val="auto"/>
          <w:sz w:val="28"/>
          <w:szCs w:val="28"/>
          <w:lang w:val="en-US" w:eastAsia="zh-CN"/>
        </w:rPr>
        <w:t xml:space="preserve"> </w:t>
      </w:r>
    </w:p>
    <w:p w14:paraId="5DE9587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八、付款时间、金额及条件</w:t>
      </w:r>
    </w:p>
    <w:p w14:paraId="0A2A5E5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（一）付款时间及付款金额：           </w:t>
      </w:r>
    </w:p>
    <w:p w14:paraId="302C3E5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（二）付款条件：           </w:t>
      </w:r>
    </w:p>
    <w:p w14:paraId="3527AD3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（三）乙方账户信息</w:t>
      </w:r>
    </w:p>
    <w:p w14:paraId="1AE8E47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乙方名称：           </w:t>
      </w:r>
    </w:p>
    <w:p w14:paraId="038F5D4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开户银行：           </w:t>
      </w:r>
    </w:p>
    <w:p w14:paraId="2BAAB9D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银行账号：           </w:t>
      </w:r>
    </w:p>
    <w:p w14:paraId="150F12E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九、货物质量保证及售后服务</w:t>
      </w:r>
    </w:p>
    <w:p w14:paraId="7B5473A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招标（磋商、谈判）文件或询价通知书对货物质量保证期及售后服务作出明确要求的，适用招标（磋商、谈判）文件或询价通知书对保证期和售后服务的规定，如乙方在投标（响应）文件及磋商、谈判过程中对货物质量保证期和售后服务作出更优 的承诺、声明或保证的，适用乙方的承诺、声明或保证。</w:t>
      </w:r>
    </w:p>
    <w:p w14:paraId="68ECB94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十、知识产权</w:t>
      </w:r>
    </w:p>
    <w:p w14:paraId="7AC7F0A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乙方保证其提供的货物的全部及部分，均不存在任何侵犯第三方知识产权的情形。否则，乙方应向甲方承担违约责任及赔偿由此给甲方造成的名誉及经济损失。</w:t>
      </w:r>
    </w:p>
    <w:p w14:paraId="56479F2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十一、违约条款</w:t>
      </w:r>
    </w:p>
    <w:p w14:paraId="7BF1191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（一）甲方没有正当理由逾期支付合同款项的，每延期一日，甲方应按照逾期支付金额的</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承担违约责任。延期达到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日，乙方有权解除合同，并要求甲方赔偿由此造成的经济损失。</w:t>
      </w:r>
    </w:p>
    <w:p w14:paraId="4CF20D3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（二）甲方存在其他违反本合同的行为，应承担相应的违约责任（注：可以根据情况进行细化）；违约金不足以赔偿乙方损失的，乙方有权要求甲方赔偿由此造成的经济损失。</w:t>
      </w:r>
    </w:p>
    <w:p w14:paraId="72E81EA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（三）乙方逾期交付货物的，每延期一日，乙方应按照合同总金额的</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承担违约责任。延期达到</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日，甲方有权解除合同，拒付延期部分货物的相应货款，并要求乙方赔偿甲方的经济损失。</w:t>
      </w:r>
    </w:p>
    <w:p w14:paraId="54FF5B1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（四）乙方交付的货物不符合质量约定或乙方未履行相应的质量保证责任及售后服务义务、或存在侵权行为的，甲方有权退货，并要求乙方支付合同总金额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%的违约金，违约金不足以赔偿甲方损失的，甲方有权要求乙方赔偿经济损失。</w:t>
      </w:r>
    </w:p>
    <w:p w14:paraId="0C1086F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（五）乙方在参与本项目采购活动过程中，如存在提供虚假承诺、证明、串通投标等违法违规行为，除承担相应的行政责任外，甲方有权解除合同，并要求乙方承担合同总金额</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%的违约金，违约金不足以赔偿甲方损失的，甲方有权要求乙方赔偿经济损失。</w:t>
      </w:r>
    </w:p>
    <w:p w14:paraId="419ABE5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（六）乙方存在其他违反本合同的行为，应承担相应的违约责任（注：可以根据情况进行细化）；违约金不足以赔偿甲方损失的，甲方有权要求乙方赔偿经济损失。</w:t>
      </w:r>
    </w:p>
    <w:p w14:paraId="4173D90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十二、不可抗力</w:t>
      </w:r>
    </w:p>
    <w:p w14:paraId="37F25DA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因不可抗力致使一方不能及时或完全履行合同的，应及时通知另一方，双方互不承担责任，并在</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天内提供有关不可抗力的相关证明。合同未履行部分是否继续履行、如何履行等问题，双方协商解决。 </w:t>
      </w:r>
    </w:p>
    <w:p w14:paraId="232047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十三、争议的解决方式</w:t>
      </w:r>
    </w:p>
    <w:p w14:paraId="4BAD797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合同发生纠纷时，双方应协商解决，协商不成，可以采用下列方式解决：</w:t>
      </w:r>
    </w:p>
    <w:p w14:paraId="118C1CE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（一）提交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仲裁委员会仲裁。</w:t>
      </w:r>
    </w:p>
    <w:p w14:paraId="0104AD5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（二）向</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人民法院起诉。</w:t>
      </w:r>
    </w:p>
    <w:p w14:paraId="50AB7FA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十四、合同保存</w:t>
      </w:r>
    </w:p>
    <w:p w14:paraId="2614134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合同文本一式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份，采购单位、中标（成交）供应商、采购代理机构、各执一份。合同文本保存期限为从采购结束之日起至少保存十五年。 </w:t>
      </w:r>
    </w:p>
    <w:p w14:paraId="561D866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十五、合同附件</w:t>
      </w:r>
    </w:p>
    <w:p w14:paraId="0B0846E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本合同所附下列文件是构成本合同不可分割的组成部分，其内容与本合同具有同等的法律效力：</w:t>
      </w:r>
    </w:p>
    <w:p w14:paraId="31DB821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1、货物清单（双方应盖章确认）</w:t>
      </w:r>
    </w:p>
    <w:p w14:paraId="79B5507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2、乙方出具的报价单（函）</w:t>
      </w:r>
    </w:p>
    <w:p w14:paraId="4F7BABB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3、中标（成交）结果公告及中标（成交）通知书</w:t>
      </w:r>
    </w:p>
    <w:p w14:paraId="1945D01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4、甲方招标（磋商、谈判）文件或询价通知书</w:t>
      </w:r>
    </w:p>
    <w:p w14:paraId="6A10F22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5、乙方投标（响应）文件</w:t>
      </w:r>
    </w:p>
    <w:p w14:paraId="0B852B0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6、甲乙双方商定的其他文件</w:t>
      </w:r>
    </w:p>
    <w:p w14:paraId="03E4FEA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十六、双方约定的其他条款。</w:t>
      </w:r>
    </w:p>
    <w:p w14:paraId="57EB131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 xml:space="preserve">十七、本合同未尽事宜，由双方另行签订补充协议， </w:t>
      </w:r>
    </w:p>
    <w:p w14:paraId="6BEC134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十八、本合同由甲乙双方盖章生效。</w:t>
      </w:r>
    </w:p>
    <w:p w14:paraId="6673D56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甲方名称：（章）</w:t>
      </w:r>
    </w:p>
    <w:p w14:paraId="22707F8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甲方法定代表人或负责人：（签字）</w:t>
      </w:r>
    </w:p>
    <w:p w14:paraId="04B7CEF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righ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年  月   日</w:t>
      </w:r>
    </w:p>
    <w:p w14:paraId="238A65C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乙方名称：（章）</w:t>
      </w:r>
    </w:p>
    <w:p w14:paraId="3785E1F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乙方法定代表人或负责人：（签字）</w:t>
      </w:r>
    </w:p>
    <w:p w14:paraId="5221850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righ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年  月   日</w:t>
      </w:r>
    </w:p>
    <w:p w14:paraId="4769F706">
      <w:pPr>
        <w:keepNext w:val="0"/>
        <w:keepLines w:val="0"/>
        <w:pageBreakBefore w:val="0"/>
        <w:overflowPunct/>
        <w:topLinePunct w:val="0"/>
        <w:bidi w:val="0"/>
        <w:spacing w:after="0" w:line="600" w:lineRule="exact"/>
        <w:rPr>
          <w:rFonts w:hint="eastAsia" w:ascii="宋体" w:hAnsi="宋体" w:eastAsia="宋体" w:cs="宋体"/>
          <w:color w:val="auto"/>
          <w:sz w:val="24"/>
          <w:szCs w:val="24"/>
        </w:rPr>
        <w:sectPr>
          <w:footerReference r:id="rId14" w:type="default"/>
          <w:type w:val="continuous"/>
          <w:pgSz w:w="11910" w:h="16840"/>
          <w:pgMar w:top="1440" w:right="1080" w:bottom="1440" w:left="1080" w:header="567" w:footer="850" w:gutter="0"/>
          <w:pgBorders>
            <w:top w:val="none" w:sz="0" w:space="0"/>
            <w:left w:val="none" w:sz="0" w:space="0"/>
            <w:bottom w:val="none" w:sz="0" w:space="0"/>
            <w:right w:val="none" w:sz="0" w:space="0"/>
          </w:pgBorders>
          <w:pgNumType w:fmt="numberInDash"/>
          <w:cols w:space="0" w:num="1"/>
          <w:rtlGutter w:val="0"/>
          <w:docGrid w:linePitch="0" w:charSpace="0"/>
        </w:sectPr>
      </w:pPr>
    </w:p>
    <w:p w14:paraId="333D0A32">
      <w:pPr>
        <w:keepNext w:val="0"/>
        <w:keepLines w:val="0"/>
        <w:pageBreakBefore w:val="0"/>
        <w:overflowPunct/>
        <w:topLinePunct w:val="0"/>
        <w:bidi w:val="0"/>
        <w:spacing w:line="360" w:lineRule="auto"/>
        <w:outlineLvl w:val="1"/>
        <w:rPr>
          <w:rFonts w:hint="eastAsia" w:ascii="宋体" w:hAnsi="宋体" w:eastAsia="宋体" w:cs="宋体"/>
          <w:color w:val="auto"/>
          <w:sz w:val="28"/>
          <w:szCs w:val="28"/>
        </w:rPr>
      </w:pPr>
      <w:r>
        <w:rPr>
          <w:rFonts w:hint="eastAsia" w:ascii="宋体" w:hAnsi="宋体" w:eastAsia="宋体" w:cs="宋体"/>
          <w:color w:val="auto"/>
          <w:sz w:val="28"/>
          <w:szCs w:val="28"/>
        </w:rPr>
        <w:t>二 .验收</w:t>
      </w:r>
    </w:p>
    <w:p w14:paraId="2DCF832C">
      <w:pPr>
        <w:keepNext w:val="0"/>
        <w:keepLines w:val="0"/>
        <w:pageBreakBefore w:val="0"/>
        <w:overflowPunct/>
        <w:topLinePunct w:val="0"/>
        <w:bidi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严格按照采购合同开展履约验收。采购人或者采购代理机构应当成立验收小组,按照采购合同的约定对供应商履约情况进 行验收。验收时,应当按照采购合同的约定对每一项技术、服务、安全标准的履约情况进行确认。验收结束后,应当出具验收书 （参考格式附后）,列明各项标准的验收情况及项目总体评价, 由验收双方共同签署。验收结果应当与采购合同约定的资金支付及履约保证金返还条件挂钩。履约验收的各项资料应当存档备查。</w:t>
      </w:r>
    </w:p>
    <w:p w14:paraId="2C74E6BF">
      <w:pPr>
        <w:keepNext w:val="0"/>
        <w:keepLines w:val="0"/>
        <w:pageBreakBefore w:val="0"/>
        <w:overflowPunct/>
        <w:topLinePunct w:val="0"/>
        <w:bidi w:val="0"/>
        <w:spacing w:line="360" w:lineRule="auto"/>
        <w:rPr>
          <w:rFonts w:hint="eastAsia" w:ascii="宋体" w:hAnsi="宋体" w:eastAsia="宋体" w:cs="宋体"/>
          <w:color w:val="auto"/>
          <w:sz w:val="28"/>
          <w:szCs w:val="28"/>
        </w:rPr>
        <w:sectPr>
          <w:footerReference r:id="rId15" w:type="default"/>
          <w:pgSz w:w="11900" w:h="16840"/>
          <w:pgMar w:top="1440" w:right="1080" w:bottom="1440" w:left="1080" w:header="0" w:footer="0" w:gutter="0"/>
          <w:pgNumType w:fmt="decimal"/>
          <w:cols w:space="720" w:num="1"/>
        </w:sectPr>
      </w:pPr>
    </w:p>
    <w:p w14:paraId="431D51C9">
      <w:pPr>
        <w:keepNext w:val="0"/>
        <w:keepLines w:val="0"/>
        <w:pageBreakBefore w:val="0"/>
        <w:overflowPunct/>
        <w:topLinePunct w:val="0"/>
        <w:bidi w:val="0"/>
        <w:spacing w:line="360" w:lineRule="auto"/>
        <w:jc w:val="center"/>
        <w:outlineLvl w:val="0"/>
        <w:rPr>
          <w:rFonts w:hint="eastAsia" w:ascii="宋体" w:hAnsi="宋体" w:eastAsia="宋体" w:cs="宋体"/>
          <w:color w:val="auto"/>
          <w:sz w:val="24"/>
          <w:szCs w:val="24"/>
        </w:rPr>
      </w:pPr>
      <w:bookmarkStart w:id="27" w:name="_Toc29844"/>
      <w:r>
        <w:rPr>
          <w:rFonts w:hint="eastAsia" w:ascii="宋体" w:hAnsi="宋体" w:eastAsia="宋体" w:cs="宋体"/>
          <w:color w:val="auto"/>
          <w:sz w:val="24"/>
          <w:szCs w:val="24"/>
        </w:rPr>
        <w:t>政府采购工程履约验收书</w:t>
      </w:r>
      <w:bookmarkEnd w:id="27"/>
      <w:r>
        <w:rPr>
          <w:rFonts w:hint="eastAsia" w:ascii="宋体" w:hAnsi="宋体" w:eastAsia="宋体" w:cs="宋体"/>
          <w:color w:val="auto"/>
          <w:sz w:val="24"/>
          <w:szCs w:val="24"/>
        </w:rPr>
        <w:t>（参考格式）</w:t>
      </w:r>
    </w:p>
    <w:tbl>
      <w:tblPr>
        <w:tblStyle w:val="14"/>
        <w:tblW w:w="97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08"/>
        <w:gridCol w:w="7571"/>
      </w:tblGrid>
      <w:tr w14:paraId="4619A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 w:hRule="atLeast"/>
        </w:trPr>
        <w:tc>
          <w:tcPr>
            <w:tcW w:w="2208" w:type="dxa"/>
            <w:vAlign w:val="top"/>
          </w:tcPr>
          <w:p w14:paraId="20624587">
            <w:pPr>
              <w:keepNext w:val="0"/>
              <w:keepLines w:val="0"/>
              <w:pageBreakBefore w:val="0"/>
              <w:overflowPunct/>
              <w:topLinePunct w:val="0"/>
              <w:bidi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7571" w:type="dxa"/>
            <w:vAlign w:val="top"/>
          </w:tcPr>
          <w:p w14:paraId="7EEADE18">
            <w:pPr>
              <w:keepNext w:val="0"/>
              <w:keepLines w:val="0"/>
              <w:pageBreakBefore w:val="0"/>
              <w:overflowPunct/>
              <w:topLinePunct w:val="0"/>
              <w:bidi w:val="0"/>
              <w:spacing w:line="360" w:lineRule="auto"/>
              <w:rPr>
                <w:rFonts w:hint="eastAsia" w:ascii="宋体" w:hAnsi="宋体" w:eastAsia="宋体" w:cs="宋体"/>
                <w:color w:val="auto"/>
                <w:sz w:val="24"/>
                <w:szCs w:val="24"/>
              </w:rPr>
            </w:pPr>
          </w:p>
        </w:tc>
      </w:tr>
      <w:tr w14:paraId="677F4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 w:hRule="atLeast"/>
        </w:trPr>
        <w:tc>
          <w:tcPr>
            <w:tcW w:w="2208" w:type="dxa"/>
            <w:vAlign w:val="top"/>
          </w:tcPr>
          <w:p w14:paraId="0099BEE2">
            <w:pPr>
              <w:keepNext w:val="0"/>
              <w:keepLines w:val="0"/>
              <w:pageBreakBefore w:val="0"/>
              <w:overflowPunct/>
              <w:topLinePunct w:val="0"/>
              <w:bidi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项目编号</w:t>
            </w:r>
          </w:p>
        </w:tc>
        <w:tc>
          <w:tcPr>
            <w:tcW w:w="7571" w:type="dxa"/>
            <w:vAlign w:val="top"/>
          </w:tcPr>
          <w:p w14:paraId="1EB8A4E0">
            <w:pPr>
              <w:keepNext w:val="0"/>
              <w:keepLines w:val="0"/>
              <w:pageBreakBefore w:val="0"/>
              <w:overflowPunct/>
              <w:topLinePunct w:val="0"/>
              <w:bidi w:val="0"/>
              <w:spacing w:line="360" w:lineRule="auto"/>
              <w:rPr>
                <w:rFonts w:hint="eastAsia" w:ascii="宋体" w:hAnsi="宋体" w:eastAsia="宋体" w:cs="宋体"/>
                <w:color w:val="auto"/>
                <w:sz w:val="24"/>
                <w:szCs w:val="24"/>
              </w:rPr>
            </w:pPr>
          </w:p>
        </w:tc>
      </w:tr>
      <w:tr w14:paraId="73BA4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2208" w:type="dxa"/>
            <w:vAlign w:val="top"/>
          </w:tcPr>
          <w:p w14:paraId="26716B7C">
            <w:pPr>
              <w:keepNext w:val="0"/>
              <w:keepLines w:val="0"/>
              <w:pageBreakBefore w:val="0"/>
              <w:overflowPunct/>
              <w:topLinePunct w:val="0"/>
              <w:bidi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采购人</w:t>
            </w:r>
          </w:p>
        </w:tc>
        <w:tc>
          <w:tcPr>
            <w:tcW w:w="7571" w:type="dxa"/>
            <w:vAlign w:val="top"/>
          </w:tcPr>
          <w:p w14:paraId="693B95D4">
            <w:pPr>
              <w:keepNext w:val="0"/>
              <w:keepLines w:val="0"/>
              <w:pageBreakBefore w:val="0"/>
              <w:overflowPunct/>
              <w:topLinePunct w:val="0"/>
              <w:bidi w:val="0"/>
              <w:spacing w:line="360" w:lineRule="auto"/>
              <w:rPr>
                <w:rFonts w:hint="eastAsia" w:ascii="宋体" w:hAnsi="宋体" w:eastAsia="宋体" w:cs="宋体"/>
                <w:color w:val="auto"/>
                <w:sz w:val="24"/>
                <w:szCs w:val="24"/>
              </w:rPr>
            </w:pPr>
          </w:p>
        </w:tc>
      </w:tr>
      <w:tr w14:paraId="05A06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2208" w:type="dxa"/>
            <w:vAlign w:val="top"/>
          </w:tcPr>
          <w:p w14:paraId="1925914E">
            <w:pPr>
              <w:keepNext w:val="0"/>
              <w:keepLines w:val="0"/>
              <w:pageBreakBefore w:val="0"/>
              <w:overflowPunct/>
              <w:topLinePunct w:val="0"/>
              <w:bidi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使用人</w:t>
            </w:r>
          </w:p>
        </w:tc>
        <w:tc>
          <w:tcPr>
            <w:tcW w:w="7571" w:type="dxa"/>
            <w:vAlign w:val="top"/>
          </w:tcPr>
          <w:p w14:paraId="6258A93C">
            <w:pPr>
              <w:keepNext w:val="0"/>
              <w:keepLines w:val="0"/>
              <w:pageBreakBefore w:val="0"/>
              <w:overflowPunct/>
              <w:topLinePunct w:val="0"/>
              <w:bidi w:val="0"/>
              <w:spacing w:line="360" w:lineRule="auto"/>
              <w:rPr>
                <w:rFonts w:hint="eastAsia" w:ascii="宋体" w:hAnsi="宋体" w:eastAsia="宋体" w:cs="宋体"/>
                <w:color w:val="auto"/>
                <w:sz w:val="24"/>
                <w:szCs w:val="24"/>
              </w:rPr>
            </w:pPr>
          </w:p>
        </w:tc>
      </w:tr>
      <w:tr w14:paraId="288F9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2208" w:type="dxa"/>
            <w:vAlign w:val="top"/>
          </w:tcPr>
          <w:p w14:paraId="0EBD5058">
            <w:pPr>
              <w:keepNext w:val="0"/>
              <w:keepLines w:val="0"/>
              <w:pageBreakBefore w:val="0"/>
              <w:overflowPunct/>
              <w:topLinePunct w:val="0"/>
              <w:bidi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供应商</w:t>
            </w:r>
          </w:p>
        </w:tc>
        <w:tc>
          <w:tcPr>
            <w:tcW w:w="7571" w:type="dxa"/>
            <w:vAlign w:val="top"/>
          </w:tcPr>
          <w:p w14:paraId="05C162A6">
            <w:pPr>
              <w:keepNext w:val="0"/>
              <w:keepLines w:val="0"/>
              <w:pageBreakBefore w:val="0"/>
              <w:overflowPunct/>
              <w:topLinePunct w:val="0"/>
              <w:bidi w:val="0"/>
              <w:spacing w:line="360" w:lineRule="auto"/>
              <w:rPr>
                <w:rFonts w:hint="eastAsia" w:ascii="宋体" w:hAnsi="宋体" w:eastAsia="宋体" w:cs="宋体"/>
                <w:color w:val="auto"/>
                <w:sz w:val="24"/>
                <w:szCs w:val="24"/>
              </w:rPr>
            </w:pPr>
          </w:p>
        </w:tc>
      </w:tr>
      <w:tr w14:paraId="0BF95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8" w:hRule="atLeast"/>
        </w:trPr>
        <w:tc>
          <w:tcPr>
            <w:tcW w:w="2208" w:type="dxa"/>
            <w:vAlign w:val="top"/>
          </w:tcPr>
          <w:p w14:paraId="4F245AEB">
            <w:pPr>
              <w:keepNext w:val="0"/>
              <w:keepLines w:val="0"/>
              <w:pageBreakBefore w:val="0"/>
              <w:overflowPunct/>
              <w:topLinePunct w:val="0"/>
              <w:bidi w:val="0"/>
              <w:spacing w:line="240" w:lineRule="auto"/>
              <w:rPr>
                <w:rFonts w:hint="eastAsia" w:ascii="宋体" w:hAnsi="宋体" w:eastAsia="宋体" w:cs="宋体"/>
                <w:color w:val="auto"/>
                <w:sz w:val="24"/>
                <w:szCs w:val="24"/>
              </w:rPr>
            </w:pPr>
          </w:p>
          <w:p w14:paraId="4229BD08">
            <w:pPr>
              <w:keepNext w:val="0"/>
              <w:keepLines w:val="0"/>
              <w:pageBreakBefore w:val="0"/>
              <w:overflowPunct/>
              <w:topLinePunct w:val="0"/>
              <w:bidi w:val="0"/>
              <w:spacing w:line="240" w:lineRule="auto"/>
              <w:rPr>
                <w:rFonts w:hint="eastAsia" w:ascii="宋体" w:hAnsi="宋体" w:eastAsia="宋体" w:cs="宋体"/>
                <w:color w:val="auto"/>
                <w:sz w:val="24"/>
                <w:szCs w:val="24"/>
              </w:rPr>
            </w:pPr>
          </w:p>
          <w:p w14:paraId="130F0EA8">
            <w:pPr>
              <w:keepNext w:val="0"/>
              <w:keepLines w:val="0"/>
              <w:pageBreakBefore w:val="0"/>
              <w:overflowPunct/>
              <w:topLinePunct w:val="0"/>
              <w:bidi w:val="0"/>
              <w:spacing w:line="240" w:lineRule="auto"/>
              <w:rPr>
                <w:rFonts w:hint="eastAsia" w:ascii="宋体" w:hAnsi="宋体" w:eastAsia="宋体" w:cs="宋体"/>
                <w:color w:val="auto"/>
                <w:sz w:val="24"/>
                <w:szCs w:val="24"/>
              </w:rPr>
            </w:pPr>
          </w:p>
          <w:p w14:paraId="4CED7923">
            <w:pPr>
              <w:keepNext w:val="0"/>
              <w:keepLines w:val="0"/>
              <w:pageBreakBefore w:val="0"/>
              <w:overflowPunct/>
              <w:topLinePunct w:val="0"/>
              <w:bidi w:val="0"/>
              <w:spacing w:line="240" w:lineRule="auto"/>
              <w:rPr>
                <w:rFonts w:hint="eastAsia" w:ascii="宋体" w:hAnsi="宋体" w:eastAsia="宋体" w:cs="宋体"/>
                <w:color w:val="auto"/>
                <w:sz w:val="24"/>
                <w:szCs w:val="24"/>
              </w:rPr>
            </w:pPr>
          </w:p>
          <w:p w14:paraId="2FF3B8BB">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验收依据</w:t>
            </w:r>
          </w:p>
        </w:tc>
        <w:tc>
          <w:tcPr>
            <w:tcW w:w="7571" w:type="dxa"/>
            <w:vAlign w:val="top"/>
          </w:tcPr>
          <w:p w14:paraId="0A3171E8">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1.政府采购合同（合同名称及编号）</w:t>
            </w:r>
          </w:p>
          <w:p w14:paraId="71B7677A">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2.成交公告及成交通知书</w:t>
            </w:r>
          </w:p>
          <w:p w14:paraId="0B68F681">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3.磋商、谈判文件</w:t>
            </w:r>
          </w:p>
          <w:p w14:paraId="64821DC1">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4.响应文件</w:t>
            </w:r>
          </w:p>
          <w:p w14:paraId="5A81BDC3">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5.供应商的承诺及保证（如有）</w:t>
            </w:r>
          </w:p>
          <w:p w14:paraId="7246480B">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6. 国家关于工程建设的相关法律法规及规范性文件</w:t>
            </w:r>
          </w:p>
          <w:p w14:paraId="6A635CA5">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注：验收依据可根据项目具体情况适当增加</w:t>
            </w:r>
          </w:p>
        </w:tc>
      </w:tr>
      <w:tr w14:paraId="25D3C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3" w:hRule="atLeast"/>
        </w:trPr>
        <w:tc>
          <w:tcPr>
            <w:tcW w:w="2208" w:type="dxa"/>
            <w:vAlign w:val="top"/>
          </w:tcPr>
          <w:p w14:paraId="719EC7FC">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供应商对履约情况的总结及提供的相关证明材料</w:t>
            </w:r>
          </w:p>
        </w:tc>
        <w:tc>
          <w:tcPr>
            <w:tcW w:w="7571" w:type="dxa"/>
            <w:vAlign w:val="top"/>
          </w:tcPr>
          <w:p w14:paraId="1DC7E9E6">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注：供应商根据采购合同的约定，对履约情况（包括但不限于采购合同中约定的工程内容、工程质量、工程进度、工程各阶段验收、安全管理、材料及设施设备等）进行总结，并提供相应的履约证明材料作为附件</w:t>
            </w:r>
          </w:p>
        </w:tc>
      </w:tr>
      <w:tr w14:paraId="5D024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2208" w:type="dxa"/>
            <w:vAlign w:val="top"/>
          </w:tcPr>
          <w:p w14:paraId="7AB3557F">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采购人（使用人）对履约情况的确认</w:t>
            </w:r>
          </w:p>
        </w:tc>
        <w:tc>
          <w:tcPr>
            <w:tcW w:w="7571" w:type="dxa"/>
            <w:vAlign w:val="top"/>
          </w:tcPr>
          <w:p w14:paraId="0958028B">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注：采购人或使用人根据采购合同约定，对供应商履约情况进行逐一确认。</w:t>
            </w:r>
          </w:p>
        </w:tc>
      </w:tr>
      <w:tr w14:paraId="44F017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7" w:hRule="atLeast"/>
        </w:trPr>
        <w:tc>
          <w:tcPr>
            <w:tcW w:w="2208" w:type="dxa"/>
            <w:vAlign w:val="top"/>
          </w:tcPr>
          <w:p w14:paraId="42C5EF3D">
            <w:pPr>
              <w:keepNext w:val="0"/>
              <w:keepLines w:val="0"/>
              <w:pageBreakBefore w:val="0"/>
              <w:overflowPunct/>
              <w:topLinePunct w:val="0"/>
              <w:bidi w:val="0"/>
              <w:spacing w:line="240" w:lineRule="auto"/>
              <w:rPr>
                <w:rFonts w:hint="eastAsia" w:ascii="宋体" w:hAnsi="宋体" w:eastAsia="宋体" w:cs="宋体"/>
                <w:color w:val="auto"/>
                <w:sz w:val="24"/>
                <w:szCs w:val="24"/>
              </w:rPr>
            </w:pPr>
          </w:p>
          <w:p w14:paraId="54969C09">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验收人员名单及组成</w:t>
            </w:r>
          </w:p>
        </w:tc>
        <w:tc>
          <w:tcPr>
            <w:tcW w:w="7571" w:type="dxa"/>
            <w:vAlign w:val="top"/>
          </w:tcPr>
          <w:p w14:paraId="6F24E600">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1. 采购人代表：</w:t>
            </w:r>
          </w:p>
          <w:p w14:paraId="506C0FD3">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2. 采购代理机构代表：</w:t>
            </w:r>
          </w:p>
          <w:p w14:paraId="3DB3A61D">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3. 第三方专业机构代表及专家：</w:t>
            </w:r>
          </w:p>
          <w:p w14:paraId="70C1AD56">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4. 其他供应商代表：</w:t>
            </w:r>
          </w:p>
        </w:tc>
      </w:tr>
      <w:tr w14:paraId="38240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2208" w:type="dxa"/>
            <w:vAlign w:val="top"/>
          </w:tcPr>
          <w:p w14:paraId="079F4595">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验收评价及结论</w:t>
            </w:r>
          </w:p>
        </w:tc>
        <w:tc>
          <w:tcPr>
            <w:tcW w:w="7571" w:type="dxa"/>
            <w:vAlign w:val="top"/>
          </w:tcPr>
          <w:p w14:paraId="151221BE">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评价：</w:t>
            </w:r>
          </w:p>
          <w:p w14:paraId="3B30C3F1">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结论：☐通过 ☐不通过，具体说明：</w:t>
            </w:r>
          </w:p>
        </w:tc>
      </w:tr>
      <w:tr w14:paraId="34A33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2208" w:type="dxa"/>
            <w:vAlign w:val="top"/>
          </w:tcPr>
          <w:p w14:paraId="49022EF8">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验收人员签字</w:t>
            </w:r>
          </w:p>
        </w:tc>
        <w:tc>
          <w:tcPr>
            <w:tcW w:w="7571" w:type="dxa"/>
            <w:vAlign w:val="top"/>
          </w:tcPr>
          <w:p w14:paraId="25E6C53F">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年  月   日</w:t>
            </w:r>
          </w:p>
        </w:tc>
      </w:tr>
      <w:tr w14:paraId="562B3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3" w:hRule="atLeast"/>
        </w:trPr>
        <w:tc>
          <w:tcPr>
            <w:tcW w:w="2208" w:type="dxa"/>
            <w:vAlign w:val="top"/>
          </w:tcPr>
          <w:p w14:paraId="4240F433">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采购人确认意见（注</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采购人委托代理机构验收时适用</w:t>
            </w:r>
          </w:p>
        </w:tc>
        <w:tc>
          <w:tcPr>
            <w:tcW w:w="7571" w:type="dxa"/>
            <w:vAlign w:val="top"/>
          </w:tcPr>
          <w:p w14:paraId="12C1702C">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☐同意验收结论。</w:t>
            </w:r>
          </w:p>
          <w:p w14:paraId="5783B8A6">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☐不同意验收结论。具体说明：</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年  月   日</w:t>
            </w:r>
          </w:p>
        </w:tc>
      </w:tr>
      <w:tr w14:paraId="43BFD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2" w:hRule="atLeast"/>
        </w:trPr>
        <w:tc>
          <w:tcPr>
            <w:tcW w:w="2208" w:type="dxa"/>
            <w:vAlign w:val="top"/>
          </w:tcPr>
          <w:p w14:paraId="749D2613">
            <w:pPr>
              <w:keepNext w:val="0"/>
              <w:keepLines w:val="0"/>
              <w:pageBreakBefore w:val="0"/>
              <w:overflowPunct/>
              <w:topLinePunct w:val="0"/>
              <w:bidi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c>
          <w:tcPr>
            <w:tcW w:w="7571" w:type="dxa"/>
            <w:vAlign w:val="top"/>
          </w:tcPr>
          <w:p w14:paraId="0C707D4C">
            <w:pPr>
              <w:keepNext w:val="0"/>
              <w:keepLines w:val="0"/>
              <w:pageBreakBefore w:val="0"/>
              <w:overflowPunct/>
              <w:topLinePunct w:val="0"/>
              <w:bidi w:val="0"/>
              <w:spacing w:line="360" w:lineRule="auto"/>
              <w:rPr>
                <w:rFonts w:hint="eastAsia" w:ascii="宋体" w:hAnsi="宋体" w:eastAsia="宋体" w:cs="宋体"/>
                <w:color w:val="auto"/>
                <w:sz w:val="24"/>
                <w:szCs w:val="24"/>
              </w:rPr>
            </w:pPr>
          </w:p>
        </w:tc>
      </w:tr>
    </w:tbl>
    <w:p w14:paraId="3EBA1B4F">
      <w:pPr>
        <w:keepNext w:val="0"/>
        <w:keepLines w:val="0"/>
        <w:pageBreakBefore w:val="0"/>
        <w:overflowPunct/>
        <w:topLinePunct w:val="0"/>
        <w:bidi w:val="0"/>
        <w:spacing w:line="360" w:lineRule="auto"/>
        <w:rPr>
          <w:rFonts w:hint="eastAsia" w:ascii="宋体" w:hAnsi="宋体" w:eastAsia="宋体" w:cs="宋体"/>
          <w:color w:val="auto"/>
          <w:sz w:val="24"/>
          <w:szCs w:val="24"/>
        </w:rPr>
      </w:pPr>
    </w:p>
    <w:p w14:paraId="4EB07684">
      <w:pPr>
        <w:keepNext w:val="0"/>
        <w:keepLines w:val="0"/>
        <w:pageBreakBefore w:val="0"/>
        <w:overflowPunct/>
        <w:topLinePunct w:val="0"/>
        <w:bidi w:val="0"/>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采购人代表签字：</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供应商代表签字</w:t>
      </w:r>
      <w:r>
        <w:rPr>
          <w:rFonts w:hint="eastAsia" w:ascii="宋体" w:hAnsi="宋体" w:eastAsia="宋体" w:cs="宋体"/>
          <w:color w:val="auto"/>
          <w:sz w:val="24"/>
          <w:szCs w:val="24"/>
          <w:lang w:eastAsia="zh-CN"/>
        </w:rPr>
        <w:t>：</w:t>
      </w:r>
    </w:p>
    <w:p w14:paraId="25231B83">
      <w:pPr>
        <w:pStyle w:val="18"/>
        <w:tabs>
          <w:tab w:val="left" w:pos="6768"/>
        </w:tabs>
        <w:spacing w:line="360" w:lineRule="auto"/>
        <w:jc w:val="both"/>
        <w:outlineLvl w:val="2"/>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年  月   日</w:t>
      </w:r>
      <w:r>
        <w:rPr>
          <w:rFonts w:hint="eastAsia" w:ascii="宋体" w:hAnsi="宋体" w:eastAsia="宋体" w:cs="宋体"/>
          <w:color w:val="auto"/>
          <w:sz w:val="24"/>
          <w:szCs w:val="24"/>
          <w:lang w:eastAsia="zh-CN"/>
        </w:rPr>
        <w:tab/>
      </w:r>
      <w:r>
        <w:rPr>
          <w:rFonts w:hint="eastAsia" w:ascii="宋体" w:hAnsi="宋体" w:eastAsia="宋体" w:cs="宋体"/>
          <w:color w:val="auto"/>
          <w:sz w:val="24"/>
          <w:szCs w:val="24"/>
          <w:lang w:eastAsia="zh-CN"/>
        </w:rPr>
        <w:t>年</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月</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日</w:t>
      </w:r>
    </w:p>
    <w:p w14:paraId="6DC1ABE8">
      <w:pPr>
        <w:pStyle w:val="18"/>
        <w:tabs>
          <w:tab w:val="left" w:pos="6768"/>
        </w:tabs>
        <w:spacing w:line="360" w:lineRule="auto"/>
        <w:jc w:val="both"/>
        <w:outlineLvl w:val="2"/>
        <w:rPr>
          <w:rFonts w:hint="eastAsia" w:ascii="宋体" w:hAnsi="宋体" w:eastAsia="宋体" w:cs="宋体"/>
          <w:color w:val="auto"/>
          <w:sz w:val="24"/>
          <w:szCs w:val="24"/>
          <w:lang w:val="en-US" w:eastAsia="zh-CN"/>
        </w:rPr>
      </w:pPr>
    </w:p>
    <w:p w14:paraId="66F22571">
      <w:pPr>
        <w:pStyle w:val="18"/>
        <w:spacing w:line="360" w:lineRule="auto"/>
        <w:jc w:val="center"/>
        <w:outlineLvl w:val="2"/>
        <w:rPr>
          <w:rFonts w:hint="eastAsia" w:ascii="宋体" w:hAnsi="宋体" w:eastAsia="宋体" w:cs="宋体"/>
          <w:b/>
          <w:color w:val="auto"/>
          <w:sz w:val="24"/>
          <w:szCs w:val="24"/>
        </w:rPr>
      </w:pPr>
    </w:p>
    <w:p w14:paraId="1CADE615">
      <w:pPr>
        <w:pStyle w:val="18"/>
        <w:spacing w:line="360" w:lineRule="auto"/>
        <w:jc w:val="center"/>
        <w:outlineLvl w:val="2"/>
        <w:rPr>
          <w:rFonts w:hint="eastAsia" w:ascii="宋体" w:hAnsi="宋体" w:eastAsia="宋体" w:cs="宋体"/>
          <w:b/>
          <w:color w:val="auto"/>
          <w:sz w:val="24"/>
          <w:szCs w:val="24"/>
        </w:rPr>
      </w:pPr>
    </w:p>
    <w:p w14:paraId="41272526">
      <w:pPr>
        <w:pStyle w:val="18"/>
        <w:spacing w:line="360" w:lineRule="auto"/>
        <w:jc w:val="center"/>
        <w:outlineLvl w:val="2"/>
        <w:rPr>
          <w:rFonts w:hint="eastAsia" w:ascii="宋体" w:hAnsi="宋体" w:eastAsia="宋体" w:cs="宋体"/>
          <w:color w:val="auto"/>
          <w:sz w:val="24"/>
          <w:szCs w:val="24"/>
        </w:rPr>
      </w:pPr>
      <w:r>
        <w:rPr>
          <w:rFonts w:hint="eastAsia" w:ascii="宋体" w:hAnsi="宋体" w:eastAsia="宋体" w:cs="宋体"/>
          <w:b/>
          <w:color w:val="auto"/>
          <w:sz w:val="24"/>
          <w:szCs w:val="24"/>
        </w:rPr>
        <w:t>政府采购货物履约验收书（参考格式）</w:t>
      </w:r>
    </w:p>
    <w:tbl>
      <w:tblPr>
        <w:tblStyle w:val="12"/>
        <w:tblW w:w="9891"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331"/>
        <w:gridCol w:w="7560"/>
      </w:tblGrid>
      <w:tr w14:paraId="35C66B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0" w:hRule="atLeast"/>
        </w:trPr>
        <w:tc>
          <w:tcPr>
            <w:tcW w:w="2331" w:type="dxa"/>
          </w:tcPr>
          <w:p w14:paraId="2BE21F9A">
            <w:pPr>
              <w:pStyle w:val="18"/>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7560" w:type="dxa"/>
          </w:tcPr>
          <w:p w14:paraId="040C7FCE">
            <w:pPr>
              <w:spacing w:line="360" w:lineRule="auto"/>
              <w:rPr>
                <w:rFonts w:hint="eastAsia" w:ascii="宋体" w:hAnsi="宋体" w:eastAsia="宋体" w:cs="宋体"/>
                <w:color w:val="auto"/>
                <w:sz w:val="24"/>
                <w:szCs w:val="24"/>
              </w:rPr>
            </w:pPr>
          </w:p>
        </w:tc>
      </w:tr>
      <w:tr w14:paraId="2AF6A0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31" w:type="dxa"/>
          </w:tcPr>
          <w:p w14:paraId="7D472782">
            <w:pPr>
              <w:pStyle w:val="18"/>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项目编号</w:t>
            </w:r>
          </w:p>
        </w:tc>
        <w:tc>
          <w:tcPr>
            <w:tcW w:w="7560" w:type="dxa"/>
          </w:tcPr>
          <w:p w14:paraId="7C8FEF1F">
            <w:pPr>
              <w:spacing w:line="360" w:lineRule="auto"/>
              <w:rPr>
                <w:rFonts w:hint="eastAsia" w:ascii="宋体" w:hAnsi="宋体" w:eastAsia="宋体" w:cs="宋体"/>
                <w:color w:val="auto"/>
                <w:sz w:val="24"/>
                <w:szCs w:val="24"/>
              </w:rPr>
            </w:pPr>
          </w:p>
        </w:tc>
      </w:tr>
      <w:tr w14:paraId="1D7B6A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31" w:type="dxa"/>
          </w:tcPr>
          <w:p w14:paraId="12AFBB27">
            <w:pPr>
              <w:pStyle w:val="18"/>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采购人</w:t>
            </w:r>
          </w:p>
        </w:tc>
        <w:tc>
          <w:tcPr>
            <w:tcW w:w="7560" w:type="dxa"/>
          </w:tcPr>
          <w:p w14:paraId="4D8EF38F">
            <w:pPr>
              <w:spacing w:line="360" w:lineRule="auto"/>
              <w:rPr>
                <w:rFonts w:hint="eastAsia" w:ascii="宋体" w:hAnsi="宋体" w:eastAsia="宋体" w:cs="宋体"/>
                <w:color w:val="auto"/>
                <w:sz w:val="24"/>
                <w:szCs w:val="24"/>
              </w:rPr>
            </w:pPr>
          </w:p>
        </w:tc>
      </w:tr>
      <w:tr w14:paraId="4A1B2A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331" w:type="dxa"/>
          </w:tcPr>
          <w:p w14:paraId="53B3979F">
            <w:pPr>
              <w:pStyle w:val="18"/>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使用人</w:t>
            </w:r>
          </w:p>
        </w:tc>
        <w:tc>
          <w:tcPr>
            <w:tcW w:w="7560" w:type="dxa"/>
          </w:tcPr>
          <w:p w14:paraId="4FB25184">
            <w:pPr>
              <w:spacing w:line="360" w:lineRule="auto"/>
              <w:rPr>
                <w:rFonts w:hint="eastAsia" w:ascii="宋体" w:hAnsi="宋体" w:eastAsia="宋体" w:cs="宋体"/>
                <w:color w:val="auto"/>
                <w:sz w:val="24"/>
                <w:szCs w:val="24"/>
              </w:rPr>
            </w:pPr>
          </w:p>
        </w:tc>
      </w:tr>
      <w:tr w14:paraId="703979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31" w:type="dxa"/>
          </w:tcPr>
          <w:p w14:paraId="6A3B0723">
            <w:pPr>
              <w:pStyle w:val="18"/>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供应商</w:t>
            </w:r>
          </w:p>
        </w:tc>
        <w:tc>
          <w:tcPr>
            <w:tcW w:w="7560" w:type="dxa"/>
          </w:tcPr>
          <w:p w14:paraId="031091DF">
            <w:pPr>
              <w:spacing w:line="360" w:lineRule="auto"/>
              <w:rPr>
                <w:rFonts w:hint="eastAsia" w:ascii="宋体" w:hAnsi="宋体" w:eastAsia="宋体" w:cs="宋体"/>
                <w:color w:val="auto"/>
                <w:sz w:val="24"/>
                <w:szCs w:val="24"/>
              </w:rPr>
            </w:pPr>
          </w:p>
        </w:tc>
      </w:tr>
      <w:tr w14:paraId="34C886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31" w:type="dxa"/>
          </w:tcPr>
          <w:p w14:paraId="79344625">
            <w:pPr>
              <w:pStyle w:val="18"/>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验收依据</w:t>
            </w:r>
          </w:p>
        </w:tc>
        <w:tc>
          <w:tcPr>
            <w:tcW w:w="7560" w:type="dxa"/>
          </w:tcPr>
          <w:p w14:paraId="3D9037DC">
            <w:pPr>
              <w:pStyle w:val="18"/>
              <w:numPr>
                <w:ilvl w:val="0"/>
                <w:numId w:val="2"/>
              </w:numPr>
              <w:spacing w:line="240" w:lineRule="auto"/>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政府采购合同（合同名称及编号）</w:t>
            </w:r>
            <w:r>
              <w:rPr>
                <w:rFonts w:hint="eastAsia" w:ascii="宋体" w:hAnsi="宋体" w:eastAsia="宋体" w:cs="宋体"/>
                <w:color w:val="auto"/>
                <w:sz w:val="24"/>
                <w:szCs w:val="24"/>
                <w:lang w:eastAsia="zh-CN"/>
              </w:rPr>
              <w:t>；</w:t>
            </w:r>
          </w:p>
          <w:p w14:paraId="5244E789">
            <w:pPr>
              <w:pStyle w:val="18"/>
              <w:numPr>
                <w:ilvl w:val="0"/>
                <w:numId w:val="2"/>
              </w:numPr>
              <w:spacing w:line="24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中标（成交）公告或中标（成交）通知书</w:t>
            </w:r>
            <w:r>
              <w:rPr>
                <w:rFonts w:hint="eastAsia" w:ascii="宋体" w:hAnsi="宋体" w:eastAsia="宋体" w:cs="宋体"/>
                <w:color w:val="auto"/>
                <w:sz w:val="24"/>
                <w:szCs w:val="24"/>
                <w:lang w:eastAsia="zh-CN"/>
              </w:rPr>
              <w:t>；</w:t>
            </w:r>
          </w:p>
          <w:p w14:paraId="447019EE">
            <w:pPr>
              <w:pStyle w:val="18"/>
              <w:numPr>
                <w:ilvl w:val="0"/>
                <w:numId w:val="2"/>
              </w:numPr>
              <w:spacing w:line="24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招标（磋商、谈判）文件或询价通知书</w:t>
            </w:r>
            <w:r>
              <w:rPr>
                <w:rFonts w:hint="eastAsia" w:ascii="宋体" w:hAnsi="宋体" w:eastAsia="宋体" w:cs="宋体"/>
                <w:color w:val="auto"/>
                <w:sz w:val="24"/>
                <w:szCs w:val="24"/>
                <w:lang w:eastAsia="zh-CN"/>
              </w:rPr>
              <w:t>；</w:t>
            </w:r>
          </w:p>
          <w:p w14:paraId="6CF41BA2">
            <w:pPr>
              <w:pStyle w:val="18"/>
              <w:numPr>
                <w:ilvl w:val="0"/>
                <w:numId w:val="2"/>
              </w:numPr>
              <w:spacing w:line="24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投标（响应）文件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5.供应商的承诺、声明或保证（如有）</w:t>
            </w:r>
          </w:p>
          <w:p w14:paraId="3BA1E304">
            <w:pPr>
              <w:pStyle w:val="18"/>
              <w:numPr>
                <w:ilvl w:val="0"/>
                <w:numId w:val="0"/>
              </w:numPr>
              <w:spacing w:line="24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注：验收依据可根据项目具体情况适当增加</w:t>
            </w:r>
          </w:p>
        </w:tc>
      </w:tr>
      <w:tr w14:paraId="1AEE63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31" w:type="dxa"/>
          </w:tcPr>
          <w:p w14:paraId="33B95192">
            <w:pPr>
              <w:pStyle w:val="18"/>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供应商对履约情况的总结及提供的相关证明材料</w:t>
            </w:r>
          </w:p>
        </w:tc>
        <w:tc>
          <w:tcPr>
            <w:tcW w:w="7560" w:type="dxa"/>
          </w:tcPr>
          <w:p w14:paraId="2222F718">
            <w:pPr>
              <w:pStyle w:val="18"/>
              <w:spacing w:line="24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注：供应商根据采购合同的约定，对履约情况（包括但不限于采购合同中约定的货物数量、货物规格型号、生产厂家、交货时间、交货地点、验收情况、货物质量、售后服务等）进行总结，并提供相应的履约证明材料作为附件。</w:t>
            </w:r>
          </w:p>
        </w:tc>
      </w:tr>
      <w:tr w14:paraId="5F388E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31" w:type="dxa"/>
          </w:tcPr>
          <w:p w14:paraId="73CCCBFB">
            <w:pPr>
              <w:pStyle w:val="18"/>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采购人（使用人）对履约情况的确认</w:t>
            </w:r>
          </w:p>
        </w:tc>
        <w:tc>
          <w:tcPr>
            <w:tcW w:w="7560" w:type="dxa"/>
          </w:tcPr>
          <w:p w14:paraId="40FC95CC">
            <w:pPr>
              <w:pStyle w:val="18"/>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注：采购人或使用人根据采购合同约定，对供应商履约情况进行逐一确认。</w:t>
            </w:r>
          </w:p>
        </w:tc>
      </w:tr>
      <w:tr w14:paraId="3A7C41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31" w:type="dxa"/>
          </w:tcPr>
          <w:p w14:paraId="3B3B3092">
            <w:pPr>
              <w:pStyle w:val="18"/>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验收人员名单及组成</w:t>
            </w:r>
          </w:p>
        </w:tc>
        <w:tc>
          <w:tcPr>
            <w:tcW w:w="7560" w:type="dxa"/>
          </w:tcPr>
          <w:p w14:paraId="0A1A5146">
            <w:pPr>
              <w:pStyle w:val="18"/>
              <w:numPr>
                <w:ilvl w:val="0"/>
                <w:numId w:val="3"/>
              </w:num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采购人代表：</w:t>
            </w:r>
          </w:p>
          <w:p w14:paraId="2E328115">
            <w:pPr>
              <w:pStyle w:val="18"/>
              <w:numPr>
                <w:ilvl w:val="0"/>
                <w:numId w:val="3"/>
              </w:num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采购代理机构代表：</w:t>
            </w:r>
          </w:p>
          <w:p w14:paraId="01AFDBDD">
            <w:pPr>
              <w:pStyle w:val="18"/>
              <w:numPr>
                <w:ilvl w:val="0"/>
                <w:numId w:val="0"/>
              </w:num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3. 第三方专业机构代表及专家：</w:t>
            </w:r>
          </w:p>
          <w:p w14:paraId="6258CE35">
            <w:pPr>
              <w:pStyle w:val="18"/>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4. 其他供应商代表：</w:t>
            </w:r>
          </w:p>
        </w:tc>
      </w:tr>
      <w:tr w14:paraId="5B6013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31" w:type="dxa"/>
            <w:vAlign w:val="top"/>
          </w:tcPr>
          <w:p w14:paraId="0D15A03E">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验收评价及结论</w:t>
            </w:r>
          </w:p>
        </w:tc>
        <w:tc>
          <w:tcPr>
            <w:tcW w:w="7560" w:type="dxa"/>
            <w:vAlign w:val="top"/>
          </w:tcPr>
          <w:p w14:paraId="79AA2B5B">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评价：</w:t>
            </w:r>
          </w:p>
          <w:p w14:paraId="6ED25A55">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结论：☐通过 ☐不通过，具体说明：</w:t>
            </w:r>
          </w:p>
        </w:tc>
      </w:tr>
      <w:tr w14:paraId="28F0F1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31" w:type="dxa"/>
            <w:vAlign w:val="top"/>
          </w:tcPr>
          <w:p w14:paraId="0B1BC231">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验收人员签字</w:t>
            </w:r>
          </w:p>
        </w:tc>
        <w:tc>
          <w:tcPr>
            <w:tcW w:w="7560" w:type="dxa"/>
            <w:vAlign w:val="top"/>
          </w:tcPr>
          <w:p w14:paraId="0CD18E2F">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年  月   日</w:t>
            </w:r>
          </w:p>
        </w:tc>
      </w:tr>
      <w:tr w14:paraId="33CF35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31" w:type="dxa"/>
            <w:vAlign w:val="top"/>
          </w:tcPr>
          <w:p w14:paraId="7C2C0ED3">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采购人确认意见（注</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采购人委托代理机构验收时适用</w:t>
            </w:r>
          </w:p>
        </w:tc>
        <w:tc>
          <w:tcPr>
            <w:tcW w:w="7560" w:type="dxa"/>
            <w:vAlign w:val="top"/>
          </w:tcPr>
          <w:p w14:paraId="2DD902D6">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☐同意验收结论。</w:t>
            </w:r>
          </w:p>
          <w:p w14:paraId="4B511EE4">
            <w:pPr>
              <w:keepNext w:val="0"/>
              <w:keepLines w:val="0"/>
              <w:pageBreakBefore w:val="0"/>
              <w:overflowPunct/>
              <w:topLinePunct w:val="0"/>
              <w:bidi w:val="0"/>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rPr>
              <w:t>☐不同意验收结论。具体说明：</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年  月   日</w:t>
            </w:r>
          </w:p>
        </w:tc>
      </w:tr>
      <w:tr w14:paraId="65C3EC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31" w:type="dxa"/>
            <w:vAlign w:val="top"/>
          </w:tcPr>
          <w:p w14:paraId="311C6760">
            <w:pPr>
              <w:keepNext w:val="0"/>
              <w:keepLines w:val="0"/>
              <w:pageBreakBefore w:val="0"/>
              <w:overflowPunct/>
              <w:topLinePunct w:val="0"/>
              <w:bidi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c>
          <w:tcPr>
            <w:tcW w:w="7560" w:type="dxa"/>
            <w:vAlign w:val="top"/>
          </w:tcPr>
          <w:p w14:paraId="0C65E01A">
            <w:pPr>
              <w:keepNext w:val="0"/>
              <w:keepLines w:val="0"/>
              <w:pageBreakBefore w:val="0"/>
              <w:overflowPunct/>
              <w:topLinePunct w:val="0"/>
              <w:bidi w:val="0"/>
              <w:spacing w:line="360" w:lineRule="auto"/>
              <w:rPr>
                <w:rFonts w:hint="eastAsia" w:ascii="宋体" w:hAnsi="宋体" w:eastAsia="宋体" w:cs="宋体"/>
                <w:color w:val="auto"/>
                <w:sz w:val="24"/>
                <w:szCs w:val="24"/>
              </w:rPr>
            </w:pPr>
          </w:p>
        </w:tc>
      </w:tr>
    </w:tbl>
    <w:p w14:paraId="05852C46">
      <w:pPr>
        <w:keepNext w:val="0"/>
        <w:keepLines w:val="0"/>
        <w:pageBreakBefore w:val="0"/>
        <w:overflowPunct/>
        <w:topLinePunct w:val="0"/>
        <w:bidi w:val="0"/>
        <w:spacing w:line="360" w:lineRule="auto"/>
        <w:rPr>
          <w:rFonts w:hint="eastAsia" w:ascii="宋体" w:hAnsi="宋体" w:eastAsia="宋体" w:cs="宋体"/>
          <w:color w:val="auto"/>
          <w:sz w:val="24"/>
          <w:szCs w:val="24"/>
        </w:rPr>
      </w:pPr>
    </w:p>
    <w:p w14:paraId="24A5BCEC">
      <w:pPr>
        <w:keepNext w:val="0"/>
        <w:keepLines w:val="0"/>
        <w:pageBreakBefore w:val="0"/>
        <w:overflowPunct/>
        <w:topLinePunct w:val="0"/>
        <w:bidi w:val="0"/>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采购人代表签字：</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供应商代表签字</w:t>
      </w:r>
      <w:r>
        <w:rPr>
          <w:rFonts w:hint="eastAsia" w:ascii="宋体" w:hAnsi="宋体" w:eastAsia="宋体" w:cs="宋体"/>
          <w:color w:val="auto"/>
          <w:sz w:val="24"/>
          <w:szCs w:val="24"/>
          <w:lang w:eastAsia="zh-CN"/>
        </w:rPr>
        <w:t>：</w:t>
      </w:r>
    </w:p>
    <w:p w14:paraId="26186503">
      <w:pPr>
        <w:pStyle w:val="18"/>
        <w:tabs>
          <w:tab w:val="left" w:pos="6768"/>
        </w:tabs>
        <w:spacing w:line="360" w:lineRule="auto"/>
        <w:jc w:val="both"/>
        <w:outlineLvl w:val="2"/>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年  月   日</w:t>
      </w:r>
      <w:r>
        <w:rPr>
          <w:rFonts w:hint="eastAsia" w:ascii="宋体" w:hAnsi="宋体" w:eastAsia="宋体" w:cs="宋体"/>
          <w:color w:val="auto"/>
          <w:sz w:val="24"/>
          <w:szCs w:val="24"/>
          <w:lang w:eastAsia="zh-CN"/>
        </w:rPr>
        <w:tab/>
      </w:r>
      <w:r>
        <w:rPr>
          <w:rFonts w:hint="eastAsia" w:ascii="宋体" w:hAnsi="宋体" w:eastAsia="宋体" w:cs="宋体"/>
          <w:color w:val="auto"/>
          <w:sz w:val="24"/>
          <w:szCs w:val="24"/>
          <w:lang w:eastAsia="zh-CN"/>
        </w:rPr>
        <w:t>年</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月</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日</w:t>
      </w:r>
    </w:p>
    <w:p w14:paraId="366E6048">
      <w:pPr>
        <w:keepNext w:val="0"/>
        <w:keepLines w:val="0"/>
        <w:pageBreakBefore w:val="0"/>
        <w:overflowPunct/>
        <w:topLinePunct w:val="0"/>
        <w:bidi w:val="0"/>
        <w:spacing w:line="360" w:lineRule="auto"/>
        <w:rPr>
          <w:rFonts w:hint="eastAsia" w:ascii="宋体" w:hAnsi="宋体" w:eastAsia="宋体" w:cs="宋体"/>
          <w:color w:val="auto"/>
          <w:sz w:val="28"/>
          <w:szCs w:val="28"/>
        </w:rPr>
        <w:sectPr>
          <w:footerReference r:id="rId16" w:type="default"/>
          <w:pgSz w:w="11900" w:h="16840"/>
          <w:pgMar w:top="1440" w:right="1080" w:bottom="1440" w:left="1080" w:header="0" w:footer="0" w:gutter="0"/>
          <w:pgNumType w:fmt="decimal"/>
          <w:cols w:equalWidth="0" w:num="1">
            <w:col w:w="10563"/>
          </w:cols>
        </w:sectPr>
      </w:pPr>
      <w:r>
        <w:rPr>
          <w:rFonts w:hint="eastAsia" w:ascii="宋体" w:hAnsi="宋体" w:eastAsia="宋体" w:cs="宋体"/>
          <w:color w:val="auto"/>
          <w:sz w:val="24"/>
          <w:szCs w:val="24"/>
          <w:lang w:val="en-US" w:eastAsia="zh-CN"/>
        </w:rPr>
        <w:t xml:space="preserve">  </w:t>
      </w:r>
    </w:p>
    <w:p w14:paraId="3B42FBAE">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2A1E9D6A">
      <w:pPr>
        <w:keepNext w:val="0"/>
        <w:keepLines w:val="0"/>
        <w:pageBreakBefore w:val="0"/>
        <w:overflowPunct/>
        <w:topLinePunct w:val="0"/>
        <w:bidi w:val="0"/>
        <w:spacing w:line="360" w:lineRule="auto"/>
        <w:jc w:val="center"/>
        <w:outlineLvl w:val="0"/>
        <w:rPr>
          <w:rFonts w:hint="eastAsia" w:ascii="宋体" w:hAnsi="宋体" w:eastAsia="宋体" w:cs="宋体"/>
          <w:color w:val="auto"/>
          <w:sz w:val="28"/>
          <w:szCs w:val="28"/>
        </w:rPr>
      </w:pPr>
      <w:bookmarkStart w:id="28" w:name="_Toc7473"/>
      <w:r>
        <w:rPr>
          <w:rFonts w:hint="eastAsia" w:ascii="宋体" w:hAnsi="宋体" w:eastAsia="宋体" w:cs="宋体"/>
          <w:color w:val="auto"/>
          <w:sz w:val="28"/>
          <w:szCs w:val="28"/>
        </w:rPr>
        <w:t>第七章 响应文件格式与要求</w:t>
      </w:r>
      <w:bookmarkEnd w:id="28"/>
    </w:p>
    <w:p w14:paraId="5BC8C89F">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7D1185A7">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供应商按照以下格式编制响应文件。</w:t>
      </w:r>
    </w:p>
    <w:p w14:paraId="272B9EBF">
      <w:pPr>
        <w:keepNext w:val="0"/>
        <w:keepLines w:val="0"/>
        <w:pageBreakBefore w:val="0"/>
        <w:overflowPunct/>
        <w:topLinePunct w:val="0"/>
        <w:bidi w:val="0"/>
        <w:spacing w:line="360" w:lineRule="auto"/>
        <w:rPr>
          <w:rFonts w:hint="eastAsia" w:ascii="宋体" w:hAnsi="宋体" w:eastAsia="宋体" w:cs="宋体"/>
          <w:color w:val="auto"/>
          <w:sz w:val="28"/>
          <w:szCs w:val="28"/>
        </w:rPr>
        <w:sectPr>
          <w:footerReference r:id="rId17" w:type="default"/>
          <w:pgSz w:w="11900" w:h="16840"/>
          <w:pgMar w:top="1440" w:right="1080" w:bottom="1440" w:left="1080" w:header="0" w:footer="0" w:gutter="0"/>
          <w:pgNumType w:fmt="decimal"/>
          <w:cols w:space="720" w:num="1"/>
        </w:sectPr>
      </w:pPr>
    </w:p>
    <w:p w14:paraId="282DA6CD">
      <w:pPr>
        <w:keepNext w:val="0"/>
        <w:keepLines w:val="0"/>
        <w:pageBreakBefore w:val="0"/>
        <w:overflowPunct/>
        <w:topLinePunct w:val="0"/>
        <w:bidi w:val="0"/>
        <w:spacing w:line="360" w:lineRule="auto"/>
        <w:jc w:val="both"/>
        <w:rPr>
          <w:rFonts w:hint="eastAsia" w:ascii="宋体" w:hAnsi="宋体" w:eastAsia="宋体" w:cs="宋体"/>
          <w:color w:val="auto"/>
          <w:sz w:val="28"/>
          <w:szCs w:val="28"/>
        </w:rPr>
      </w:pPr>
      <w:r>
        <w:rPr>
          <w:rFonts w:hint="eastAsia" w:ascii="宋体" w:hAnsi="宋体" w:eastAsia="宋体" w:cs="宋体"/>
          <w:color w:val="auto"/>
          <w:sz w:val="28"/>
          <w:szCs w:val="28"/>
        </w:rPr>
        <w:t>响应文件封面格式：</w:t>
      </w:r>
    </w:p>
    <w:p w14:paraId="2BD9B9C3">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p>
    <w:p w14:paraId="19495D3D">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p>
    <w:p w14:paraId="59761DE4">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p>
    <w:p w14:paraId="639BC950">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（项目名称）</w:t>
      </w:r>
    </w:p>
    <w:p w14:paraId="17B5B1BA">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响应文件</w:t>
      </w:r>
    </w:p>
    <w:p w14:paraId="7DD81EC7">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项目编号：</w:t>
      </w:r>
    </w:p>
    <w:p w14:paraId="2C9B7E39">
      <w:pPr>
        <w:keepNext w:val="0"/>
        <w:keepLines w:val="0"/>
        <w:pageBreakBefore w:val="0"/>
        <w:overflowPunct/>
        <w:topLinePunct w:val="0"/>
        <w:bidi w:val="0"/>
        <w:spacing w:line="360" w:lineRule="auto"/>
        <w:jc w:val="center"/>
        <w:outlineLvl w:val="1"/>
        <w:rPr>
          <w:rFonts w:hint="eastAsia" w:ascii="宋体" w:hAnsi="宋体" w:eastAsia="宋体" w:cs="宋体"/>
          <w:color w:val="auto"/>
          <w:sz w:val="28"/>
          <w:szCs w:val="28"/>
        </w:rPr>
      </w:pPr>
      <w:r>
        <w:rPr>
          <w:rFonts w:hint="eastAsia" w:ascii="宋体" w:hAnsi="宋体" w:eastAsia="宋体" w:cs="宋体"/>
          <w:color w:val="auto"/>
          <w:sz w:val="28"/>
          <w:szCs w:val="28"/>
        </w:rPr>
        <w:t>包 号： 第  包（项目划分采购包时使用）</w:t>
      </w:r>
    </w:p>
    <w:p w14:paraId="1D68A2E2">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p>
    <w:p w14:paraId="321500B8">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p>
    <w:p w14:paraId="182EAD7D">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p>
    <w:p w14:paraId="3E3A812B">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p>
    <w:p w14:paraId="32E8474D">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p>
    <w:p w14:paraId="4066FE33">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p>
    <w:p w14:paraId="10D34341">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p>
    <w:p w14:paraId="066F7DAD">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（供应商名称）（盖章）</w:t>
      </w:r>
    </w:p>
    <w:p w14:paraId="25CAA1AA">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p>
    <w:p w14:paraId="3BE671F9">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p>
    <w:p w14:paraId="401DCCD6">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p>
    <w:p w14:paraId="37A1624C">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p>
    <w:p w14:paraId="4D00D26B">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p>
    <w:p w14:paraId="78EAE5B0">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p>
    <w:p w14:paraId="0E84770D">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p>
    <w:p w14:paraId="3FDC690D">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年  月   日</w:t>
      </w:r>
    </w:p>
    <w:p w14:paraId="409422A6">
      <w:pPr>
        <w:keepNext w:val="0"/>
        <w:keepLines w:val="0"/>
        <w:pageBreakBefore w:val="0"/>
        <w:overflowPunct/>
        <w:topLinePunct w:val="0"/>
        <w:bidi w:val="0"/>
        <w:spacing w:line="360" w:lineRule="auto"/>
        <w:rPr>
          <w:rFonts w:hint="eastAsia" w:ascii="宋体" w:hAnsi="宋体" w:eastAsia="宋体" w:cs="宋体"/>
          <w:color w:val="auto"/>
          <w:sz w:val="28"/>
          <w:szCs w:val="28"/>
        </w:rPr>
        <w:sectPr>
          <w:footerReference r:id="rId18" w:type="default"/>
          <w:pgSz w:w="11900" w:h="16840"/>
          <w:pgMar w:top="1440" w:right="1080" w:bottom="1440" w:left="1080" w:header="0" w:footer="0" w:gutter="0"/>
          <w:pgNumType w:fmt="decimal"/>
          <w:cols w:space="720" w:num="1"/>
        </w:sectPr>
      </w:pPr>
    </w:p>
    <w:p w14:paraId="47800A82">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响应文件目录格式 :</w:t>
      </w:r>
    </w:p>
    <w:p w14:paraId="6031EC7E">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目 录</w:t>
      </w:r>
    </w:p>
    <w:p w14:paraId="37CA7797">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一、响应承诺书</w:t>
      </w:r>
    </w:p>
    <w:p w14:paraId="2BEABDD5">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二、</w:t>
      </w:r>
      <w:r>
        <w:rPr>
          <w:rFonts w:hint="eastAsia" w:ascii="宋体" w:hAnsi="宋体" w:eastAsia="宋体" w:cs="宋体"/>
          <w:color w:val="auto"/>
          <w:sz w:val="28"/>
          <w:szCs w:val="28"/>
          <w:lang w:val="en-US" w:eastAsia="zh-CN"/>
        </w:rPr>
        <w:t>谈判</w:t>
      </w:r>
      <w:r>
        <w:rPr>
          <w:rFonts w:hint="eastAsia" w:ascii="宋体" w:hAnsi="宋体" w:eastAsia="宋体" w:cs="宋体"/>
          <w:color w:val="auto"/>
          <w:sz w:val="28"/>
          <w:szCs w:val="28"/>
        </w:rPr>
        <w:t>报价表</w:t>
      </w:r>
    </w:p>
    <w:p w14:paraId="08556A0E">
      <w:pPr>
        <w:keepNext w:val="0"/>
        <w:keepLines w:val="0"/>
        <w:pageBreakBefore w:val="0"/>
        <w:overflowPunct/>
        <w:topLinePunct w:val="0"/>
        <w:bidi w:val="0"/>
        <w:spacing w:line="360" w:lineRule="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三、</w:t>
      </w:r>
      <w:r>
        <w:rPr>
          <w:rFonts w:hint="eastAsia" w:ascii="宋体" w:hAnsi="宋体" w:eastAsia="宋体" w:cs="宋体"/>
          <w:color w:val="auto"/>
          <w:sz w:val="28"/>
          <w:szCs w:val="28"/>
          <w:lang w:val="en-US" w:eastAsia="zh-CN"/>
        </w:rPr>
        <w:t>分项报价表</w:t>
      </w:r>
    </w:p>
    <w:p w14:paraId="42C979D3">
      <w:pPr>
        <w:keepNext w:val="0"/>
        <w:keepLines w:val="0"/>
        <w:pageBreakBefore w:val="0"/>
        <w:overflowPunct/>
        <w:topLinePunct w:val="0"/>
        <w:bidi w:val="0"/>
        <w:spacing w:line="360" w:lineRule="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四、技术规格响应表</w:t>
      </w:r>
    </w:p>
    <w:p w14:paraId="3BD77B2A">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五</w:t>
      </w:r>
      <w:r>
        <w:rPr>
          <w:rFonts w:hint="eastAsia" w:ascii="宋体" w:hAnsi="宋体" w:eastAsia="宋体" w:cs="宋体"/>
          <w:color w:val="auto"/>
          <w:sz w:val="28"/>
          <w:szCs w:val="28"/>
        </w:rPr>
        <w:t>、授权委托书</w:t>
      </w:r>
    </w:p>
    <w:p w14:paraId="0FBC79CA">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六</w:t>
      </w:r>
      <w:r>
        <w:rPr>
          <w:rFonts w:hint="eastAsia" w:ascii="宋体" w:hAnsi="宋体" w:eastAsia="宋体" w:cs="宋体"/>
          <w:color w:val="auto"/>
          <w:sz w:val="28"/>
          <w:szCs w:val="28"/>
        </w:rPr>
        <w:t>、缴纳保证金证明材料</w:t>
      </w:r>
    </w:p>
    <w:p w14:paraId="0FDDDE39">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七</w:t>
      </w:r>
      <w:r>
        <w:rPr>
          <w:rFonts w:hint="eastAsia" w:ascii="宋体" w:hAnsi="宋体" w:eastAsia="宋体" w:cs="宋体"/>
          <w:color w:val="auto"/>
          <w:sz w:val="28"/>
          <w:szCs w:val="28"/>
        </w:rPr>
        <w:t>、供应商基本情况表</w:t>
      </w:r>
    </w:p>
    <w:p w14:paraId="5DC38D69">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八</w:t>
      </w:r>
      <w:r>
        <w:rPr>
          <w:rFonts w:hint="eastAsia" w:ascii="宋体" w:hAnsi="宋体" w:eastAsia="宋体" w:cs="宋体"/>
          <w:color w:val="auto"/>
          <w:sz w:val="28"/>
          <w:szCs w:val="28"/>
        </w:rPr>
        <w:t>、具有独立承担民事责任的能力的证明材料</w:t>
      </w:r>
    </w:p>
    <w:p w14:paraId="78013089">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九</w:t>
      </w:r>
      <w:r>
        <w:rPr>
          <w:rFonts w:hint="eastAsia" w:ascii="宋体" w:hAnsi="宋体" w:eastAsia="宋体" w:cs="宋体"/>
          <w:color w:val="auto"/>
          <w:sz w:val="28"/>
          <w:szCs w:val="28"/>
        </w:rPr>
        <w:t>、具有良好的商业信誉和健全的财务会计制度的相关材料</w:t>
      </w:r>
    </w:p>
    <w:p w14:paraId="4BDEED96">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十</w:t>
      </w:r>
      <w:r>
        <w:rPr>
          <w:rFonts w:hint="eastAsia" w:ascii="宋体" w:hAnsi="宋体" w:eastAsia="宋体" w:cs="宋体"/>
          <w:color w:val="auto"/>
          <w:sz w:val="28"/>
          <w:szCs w:val="28"/>
        </w:rPr>
        <w:t>、依法缴纳税收的良好记录的相关材料</w:t>
      </w:r>
    </w:p>
    <w:p w14:paraId="57AE6D75">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十</w:t>
      </w:r>
      <w:r>
        <w:rPr>
          <w:rFonts w:hint="eastAsia" w:ascii="宋体" w:hAnsi="宋体" w:eastAsia="宋体" w:cs="宋体"/>
          <w:color w:val="auto"/>
          <w:sz w:val="28"/>
          <w:szCs w:val="28"/>
          <w:lang w:val="en-US" w:eastAsia="zh-CN"/>
        </w:rPr>
        <w:t>一</w:t>
      </w:r>
      <w:r>
        <w:rPr>
          <w:rFonts w:hint="eastAsia" w:ascii="宋体" w:hAnsi="宋体" w:eastAsia="宋体" w:cs="宋体"/>
          <w:color w:val="auto"/>
          <w:sz w:val="28"/>
          <w:szCs w:val="28"/>
        </w:rPr>
        <w:t>、具有履行合同所必需的设备和专业技术能力的证明材料</w:t>
      </w:r>
    </w:p>
    <w:p w14:paraId="508058DB">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十</w:t>
      </w:r>
      <w:r>
        <w:rPr>
          <w:rFonts w:hint="eastAsia" w:ascii="宋体" w:hAnsi="宋体" w:eastAsia="宋体" w:cs="宋体"/>
          <w:color w:val="auto"/>
          <w:sz w:val="28"/>
          <w:szCs w:val="28"/>
          <w:lang w:val="en-US" w:eastAsia="zh-CN"/>
        </w:rPr>
        <w:t>二</w:t>
      </w:r>
      <w:r>
        <w:rPr>
          <w:rFonts w:hint="eastAsia" w:ascii="宋体" w:hAnsi="宋体" w:eastAsia="宋体" w:cs="宋体"/>
          <w:color w:val="auto"/>
          <w:sz w:val="28"/>
          <w:szCs w:val="28"/>
        </w:rPr>
        <w:t>、参加政府采购活动前3年内在经营活动中没有重大违法记录的书面声明</w:t>
      </w:r>
    </w:p>
    <w:p w14:paraId="5C1FD08E">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十</w:t>
      </w:r>
      <w:r>
        <w:rPr>
          <w:rFonts w:hint="eastAsia" w:ascii="宋体" w:hAnsi="宋体" w:eastAsia="宋体" w:cs="宋体"/>
          <w:color w:val="auto"/>
          <w:sz w:val="28"/>
          <w:szCs w:val="28"/>
          <w:lang w:val="en-US" w:eastAsia="zh-CN"/>
        </w:rPr>
        <w:t>三</w:t>
      </w:r>
      <w:r>
        <w:rPr>
          <w:rFonts w:hint="eastAsia" w:ascii="宋体" w:hAnsi="宋体" w:eastAsia="宋体" w:cs="宋体"/>
          <w:color w:val="auto"/>
          <w:sz w:val="28"/>
          <w:szCs w:val="28"/>
        </w:rPr>
        <w:t>、联合体协议书</w:t>
      </w:r>
    </w:p>
    <w:p w14:paraId="703BFFB5">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十</w:t>
      </w:r>
      <w:r>
        <w:rPr>
          <w:rFonts w:hint="eastAsia" w:ascii="宋体" w:hAnsi="宋体" w:eastAsia="宋体" w:cs="宋体"/>
          <w:color w:val="auto"/>
          <w:sz w:val="28"/>
          <w:szCs w:val="28"/>
          <w:lang w:val="en-US" w:eastAsia="zh-CN"/>
        </w:rPr>
        <w:t>四</w:t>
      </w:r>
      <w:r>
        <w:rPr>
          <w:rFonts w:hint="eastAsia" w:ascii="宋体" w:hAnsi="宋体" w:eastAsia="宋体" w:cs="宋体"/>
          <w:color w:val="auto"/>
          <w:sz w:val="28"/>
          <w:szCs w:val="28"/>
        </w:rPr>
        <w:t>、中小企业声明函</w:t>
      </w:r>
    </w:p>
    <w:p w14:paraId="2CD5438E">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十</w:t>
      </w:r>
      <w:r>
        <w:rPr>
          <w:rFonts w:hint="eastAsia" w:ascii="宋体" w:hAnsi="宋体" w:eastAsia="宋体" w:cs="宋体"/>
          <w:color w:val="auto"/>
          <w:sz w:val="28"/>
          <w:szCs w:val="28"/>
          <w:lang w:val="en-US" w:eastAsia="zh-CN"/>
        </w:rPr>
        <w:t>五</w:t>
      </w:r>
      <w:r>
        <w:rPr>
          <w:rFonts w:hint="eastAsia" w:ascii="宋体" w:hAnsi="宋体" w:eastAsia="宋体" w:cs="宋体"/>
          <w:color w:val="auto"/>
          <w:sz w:val="28"/>
          <w:szCs w:val="28"/>
        </w:rPr>
        <w:t>、监狱企业证明文件</w:t>
      </w:r>
    </w:p>
    <w:p w14:paraId="61A1A456">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十</w:t>
      </w:r>
      <w:r>
        <w:rPr>
          <w:rFonts w:hint="eastAsia" w:ascii="宋体" w:hAnsi="宋体" w:eastAsia="宋体" w:cs="宋体"/>
          <w:color w:val="auto"/>
          <w:sz w:val="28"/>
          <w:szCs w:val="28"/>
          <w:lang w:val="en-US" w:eastAsia="zh-CN"/>
        </w:rPr>
        <w:t>六</w:t>
      </w:r>
      <w:r>
        <w:rPr>
          <w:rFonts w:hint="eastAsia" w:ascii="宋体" w:hAnsi="宋体" w:eastAsia="宋体" w:cs="宋体"/>
          <w:color w:val="auto"/>
          <w:sz w:val="28"/>
          <w:szCs w:val="28"/>
        </w:rPr>
        <w:t>、残疾人福利性单位声明函</w:t>
      </w:r>
    </w:p>
    <w:p w14:paraId="07F1B5D8">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十</w:t>
      </w:r>
      <w:r>
        <w:rPr>
          <w:rFonts w:hint="eastAsia" w:ascii="宋体" w:hAnsi="宋体" w:eastAsia="宋体" w:cs="宋体"/>
          <w:color w:val="auto"/>
          <w:sz w:val="28"/>
          <w:szCs w:val="28"/>
          <w:lang w:val="en-US" w:eastAsia="zh-CN"/>
        </w:rPr>
        <w:t>七</w:t>
      </w:r>
      <w:r>
        <w:rPr>
          <w:rFonts w:hint="eastAsia" w:ascii="宋体" w:hAnsi="宋体" w:eastAsia="宋体" w:cs="宋体"/>
          <w:color w:val="auto"/>
          <w:sz w:val="28"/>
          <w:szCs w:val="28"/>
        </w:rPr>
        <w:t>、主要商务要求承诺书</w:t>
      </w:r>
    </w:p>
    <w:p w14:paraId="45762259">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十八、项目组成人员一览表</w:t>
      </w:r>
    </w:p>
    <w:p w14:paraId="167C403D">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十九、项目实施方案、质量保证及售后服务承诺等</w:t>
      </w:r>
    </w:p>
    <w:p w14:paraId="79CB8E77">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二十、供应商业绩情况表</w:t>
      </w:r>
    </w:p>
    <w:p w14:paraId="6D69E874">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二十一、各类证明材料</w:t>
      </w:r>
    </w:p>
    <w:p w14:paraId="78327CAF">
      <w:pPr>
        <w:keepNext w:val="0"/>
        <w:keepLines w:val="0"/>
        <w:pageBreakBefore w:val="0"/>
        <w:overflowPunct/>
        <w:topLinePunct w:val="0"/>
        <w:bidi w:val="0"/>
        <w:spacing w:line="360" w:lineRule="auto"/>
        <w:rPr>
          <w:rFonts w:hint="eastAsia" w:ascii="宋体" w:hAnsi="宋体" w:eastAsia="宋体" w:cs="宋体"/>
          <w:color w:val="auto"/>
          <w:sz w:val="28"/>
          <w:szCs w:val="28"/>
        </w:rPr>
        <w:sectPr>
          <w:footerReference r:id="rId19" w:type="default"/>
          <w:pgSz w:w="11900" w:h="16840"/>
          <w:pgMar w:top="1440" w:right="1080" w:bottom="1440" w:left="1080" w:header="0" w:footer="0" w:gutter="0"/>
          <w:pgNumType w:fmt="decimal"/>
          <w:cols w:space="720" w:num="1"/>
        </w:sectPr>
      </w:pPr>
    </w:p>
    <w:p w14:paraId="3CED8712">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响应文件正文格式：</w:t>
      </w:r>
    </w:p>
    <w:p w14:paraId="415FF99C">
      <w:pPr>
        <w:keepNext w:val="0"/>
        <w:keepLines w:val="0"/>
        <w:pageBreakBefore w:val="0"/>
        <w:overflowPunct/>
        <w:topLinePunct w:val="0"/>
        <w:bidi w:val="0"/>
        <w:spacing w:line="360" w:lineRule="auto"/>
        <w:jc w:val="center"/>
        <w:outlineLvl w:val="1"/>
        <w:rPr>
          <w:rFonts w:hint="eastAsia" w:ascii="宋体" w:hAnsi="宋体" w:eastAsia="宋体" w:cs="宋体"/>
          <w:color w:val="auto"/>
          <w:sz w:val="28"/>
          <w:szCs w:val="28"/>
        </w:rPr>
      </w:pPr>
      <w:r>
        <w:rPr>
          <w:rFonts w:hint="eastAsia" w:ascii="宋体" w:hAnsi="宋体" w:eastAsia="宋体" w:cs="宋体"/>
          <w:color w:val="auto"/>
          <w:sz w:val="28"/>
          <w:szCs w:val="28"/>
        </w:rPr>
        <w:t>一、响应承诺书</w:t>
      </w:r>
    </w:p>
    <w:p w14:paraId="0309CE19">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致：</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（采购单位名称和采购代理机构名称）</w:t>
      </w:r>
    </w:p>
    <w:p w14:paraId="0B74072C">
      <w:pPr>
        <w:keepNext w:val="0"/>
        <w:keepLines w:val="0"/>
        <w:pageBreakBefore w:val="0"/>
        <w:overflowPunct/>
        <w:topLinePunct w:val="0"/>
        <w:bidi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你方组织的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（项目名称）的采购，项目编号：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，我方自愿参与，并就有关事项郑重承诺如下：</w:t>
      </w:r>
    </w:p>
    <w:p w14:paraId="13C546E7">
      <w:pPr>
        <w:keepNext w:val="0"/>
        <w:keepLines w:val="0"/>
        <w:pageBreakBefore w:val="0"/>
        <w:overflowPunct/>
        <w:topLinePunct w:val="0"/>
        <w:bidi w:val="0"/>
        <w:spacing w:line="360" w:lineRule="auto"/>
        <w:outlineLvl w:val="1"/>
        <w:rPr>
          <w:rFonts w:hint="eastAsia" w:ascii="宋体" w:hAnsi="宋体" w:eastAsia="宋体" w:cs="宋体"/>
          <w:color w:val="auto"/>
          <w:sz w:val="28"/>
          <w:szCs w:val="28"/>
        </w:rPr>
      </w:pPr>
      <w:r>
        <w:rPr>
          <w:rFonts w:hint="eastAsia" w:ascii="宋体" w:hAnsi="宋体" w:eastAsia="宋体" w:cs="宋体"/>
          <w:color w:val="auto"/>
          <w:sz w:val="28"/>
          <w:szCs w:val="28"/>
        </w:rPr>
        <w:t>一、我方完全理解并接受该项目谈判文件的所有要求。</w:t>
      </w:r>
    </w:p>
    <w:p w14:paraId="3763A490">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二、我方严格遵守《中华人民共和国政府采购法》《中华人民共和国民法典》及相关法律、法规的规定，如有违反，承担相应的法律责任。</w:t>
      </w:r>
    </w:p>
    <w:p w14:paraId="443DDDEB">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三、我方在报价表中的报价为响应总报价。</w:t>
      </w:r>
    </w:p>
    <w:p w14:paraId="1887B57C">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四、我方同意提供贵方要求的与谈判有关的任何数据和资料。</w:t>
      </w:r>
    </w:p>
    <w:p w14:paraId="297E7170">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五、我方将按照谈判文件、响应文件等要求，签订并严格执行政府采购合同。</w:t>
      </w:r>
    </w:p>
    <w:p w14:paraId="7242423C">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六、我方响应报价已包含应向知识产权所有权人支付的所有相关税费，并保证采购人在中国使用我方提供的货物时，如有第三方提出侵犯其知识产权主张的，责任由我方承担。</w:t>
      </w:r>
    </w:p>
    <w:p w14:paraId="29E5A297">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七、我方承诺未为本项目提供整体设计、规范编制或者项目管理、监理、检测等服务。</w:t>
      </w:r>
    </w:p>
    <w:p w14:paraId="0984DB97">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八、我方提供的响应文件内容全部真实有效，如有虚假或隐瞒，我方愿意承担一切法律责任。</w:t>
      </w:r>
    </w:p>
    <w:p w14:paraId="531AEA03">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九、若我方成交，愿意按有关规定及谈判文件要求缴纳代理服务费。若采购人支付代理服务费，则此条不适用。</w:t>
      </w:r>
    </w:p>
    <w:p w14:paraId="178AD244">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详细地址：</w:t>
      </w:r>
    </w:p>
    <w:p w14:paraId="1EAD72AD">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邮政编码：</w:t>
      </w:r>
    </w:p>
    <w:p w14:paraId="5DA2F14E">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电话：</w:t>
      </w:r>
    </w:p>
    <w:p w14:paraId="719E8D76">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电子邮箱：</w:t>
      </w:r>
    </w:p>
    <w:p w14:paraId="3BE2FE2F">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供应商开户银行：</w:t>
      </w:r>
    </w:p>
    <w:p w14:paraId="0247580E">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账号/行号：</w:t>
      </w:r>
    </w:p>
    <w:p w14:paraId="2A2B3745">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供应商名称（盖章）：</w:t>
      </w:r>
    </w:p>
    <w:p w14:paraId="3F947D20">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法定代表人或授权委托人（签字）：</w:t>
      </w:r>
    </w:p>
    <w:p w14:paraId="7F2BB6AC">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年  月   日</w:t>
      </w:r>
    </w:p>
    <w:p w14:paraId="3462D4CC">
      <w:pPr>
        <w:keepNext w:val="0"/>
        <w:keepLines w:val="0"/>
        <w:pageBreakBefore w:val="0"/>
        <w:overflowPunct/>
        <w:topLinePunct w:val="0"/>
        <w:bidi w:val="0"/>
        <w:spacing w:line="360" w:lineRule="auto"/>
        <w:rPr>
          <w:rFonts w:hint="eastAsia" w:ascii="宋体" w:hAnsi="宋体" w:eastAsia="宋体" w:cs="宋体"/>
          <w:color w:val="auto"/>
          <w:sz w:val="28"/>
          <w:szCs w:val="28"/>
        </w:rPr>
        <w:sectPr>
          <w:footerReference r:id="rId20" w:type="default"/>
          <w:pgSz w:w="11900" w:h="16840"/>
          <w:pgMar w:top="1440" w:right="1080" w:bottom="1440" w:left="1080" w:header="0" w:footer="0" w:gutter="0"/>
          <w:pgNumType w:fmt="decimal"/>
          <w:cols w:space="720" w:num="1"/>
        </w:sectPr>
      </w:pPr>
    </w:p>
    <w:p w14:paraId="34EF75C6">
      <w:pPr>
        <w:keepNext w:val="0"/>
        <w:keepLines w:val="0"/>
        <w:pageBreakBefore w:val="0"/>
        <w:overflowPunct/>
        <w:topLinePunct w:val="0"/>
        <w:bidi w:val="0"/>
        <w:spacing w:line="360" w:lineRule="auto"/>
        <w:outlineLvl w:val="1"/>
        <w:rPr>
          <w:rFonts w:hint="eastAsia" w:ascii="宋体" w:hAnsi="宋体" w:eastAsia="宋体" w:cs="宋体"/>
          <w:color w:val="auto"/>
          <w:sz w:val="28"/>
          <w:szCs w:val="28"/>
        </w:rPr>
      </w:pPr>
      <w:r>
        <w:rPr>
          <w:rFonts w:hint="eastAsia" w:ascii="宋体" w:hAnsi="宋体" w:eastAsia="宋体" w:cs="宋体"/>
          <w:color w:val="auto"/>
          <w:sz w:val="28"/>
          <w:szCs w:val="28"/>
        </w:rPr>
        <w:t>二、</w:t>
      </w:r>
      <w:r>
        <w:rPr>
          <w:rFonts w:hint="eastAsia" w:ascii="宋体" w:hAnsi="宋体" w:eastAsia="宋体" w:cs="宋体"/>
          <w:color w:val="auto"/>
          <w:sz w:val="28"/>
          <w:szCs w:val="28"/>
          <w:lang w:val="en-US" w:eastAsia="zh-CN"/>
        </w:rPr>
        <w:t>谈判</w:t>
      </w:r>
      <w:r>
        <w:rPr>
          <w:rFonts w:hint="eastAsia" w:ascii="宋体" w:hAnsi="宋体" w:eastAsia="宋体" w:cs="宋体"/>
          <w:color w:val="auto"/>
          <w:sz w:val="28"/>
          <w:szCs w:val="28"/>
        </w:rPr>
        <w:t>报价表</w:t>
      </w:r>
    </w:p>
    <w:p w14:paraId="132B28D8">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谈判</w:t>
      </w:r>
      <w:r>
        <w:rPr>
          <w:rFonts w:hint="eastAsia" w:ascii="宋体" w:hAnsi="宋体" w:eastAsia="宋体" w:cs="宋体"/>
          <w:color w:val="auto"/>
          <w:sz w:val="28"/>
          <w:szCs w:val="28"/>
        </w:rPr>
        <w:t>报价表</w:t>
      </w:r>
    </w:p>
    <w:p w14:paraId="0FFDFBE5">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（总价、单价报价）</w:t>
      </w:r>
    </w:p>
    <w:p w14:paraId="58C9D415">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项目编号：</w:t>
      </w:r>
    </w:p>
    <w:p w14:paraId="7097BD03">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项目名称：</w:t>
      </w:r>
    </w:p>
    <w:p w14:paraId="46982D2B">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供应商名称</w:t>
      </w:r>
    </w:p>
    <w:p w14:paraId="3BF74904">
      <w:pPr>
        <w:keepNext w:val="0"/>
        <w:keepLines w:val="0"/>
        <w:pageBreakBefore w:val="0"/>
        <w:overflowPunct/>
        <w:topLinePunct w:val="0"/>
        <w:bidi w:val="0"/>
        <w:spacing w:line="360" w:lineRule="auto"/>
        <w:rPr>
          <w:rFonts w:hint="eastAsia" w:ascii="宋体" w:hAnsi="宋体" w:eastAsia="宋体" w:cs="宋体"/>
          <w:color w:val="auto"/>
          <w:sz w:val="28"/>
          <w:szCs w:val="28"/>
        </w:rPr>
      </w:pPr>
    </w:p>
    <w:tbl>
      <w:tblPr>
        <w:tblStyle w:val="14"/>
        <w:tblW w:w="1000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5"/>
        <w:gridCol w:w="3070"/>
        <w:gridCol w:w="2087"/>
        <w:gridCol w:w="1716"/>
        <w:gridCol w:w="2227"/>
      </w:tblGrid>
      <w:tr w14:paraId="3CA28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905" w:type="dxa"/>
            <w:vAlign w:val="top"/>
          </w:tcPr>
          <w:p w14:paraId="23D04BFB">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序号</w:t>
            </w:r>
          </w:p>
        </w:tc>
        <w:tc>
          <w:tcPr>
            <w:tcW w:w="3070" w:type="dxa"/>
            <w:vAlign w:val="top"/>
          </w:tcPr>
          <w:p w14:paraId="75B1BF0B">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采购项目名称/包名称</w:t>
            </w:r>
          </w:p>
        </w:tc>
        <w:tc>
          <w:tcPr>
            <w:tcW w:w="2087" w:type="dxa"/>
            <w:vAlign w:val="top"/>
          </w:tcPr>
          <w:p w14:paraId="2FADB697">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总报价（元）</w:t>
            </w:r>
          </w:p>
        </w:tc>
        <w:tc>
          <w:tcPr>
            <w:tcW w:w="1716" w:type="dxa"/>
            <w:vAlign w:val="top"/>
          </w:tcPr>
          <w:p w14:paraId="7FBECA2E">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交货或服务期</w:t>
            </w:r>
          </w:p>
        </w:tc>
        <w:tc>
          <w:tcPr>
            <w:tcW w:w="2227" w:type="dxa"/>
            <w:vAlign w:val="top"/>
          </w:tcPr>
          <w:p w14:paraId="0D6CC9F4">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交货或服务地点</w:t>
            </w:r>
          </w:p>
        </w:tc>
      </w:tr>
      <w:tr w14:paraId="3C4B5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4" w:hRule="atLeast"/>
        </w:trPr>
        <w:tc>
          <w:tcPr>
            <w:tcW w:w="905" w:type="dxa"/>
            <w:vAlign w:val="top"/>
          </w:tcPr>
          <w:p w14:paraId="25FFB6DB">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1</w:t>
            </w:r>
          </w:p>
        </w:tc>
        <w:tc>
          <w:tcPr>
            <w:tcW w:w="3070" w:type="dxa"/>
            <w:vAlign w:val="top"/>
          </w:tcPr>
          <w:p w14:paraId="287B9945">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2087" w:type="dxa"/>
            <w:vAlign w:val="top"/>
          </w:tcPr>
          <w:p w14:paraId="53C8D53D">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1716" w:type="dxa"/>
            <w:vAlign w:val="top"/>
          </w:tcPr>
          <w:p w14:paraId="7AFB48E0">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2227" w:type="dxa"/>
            <w:vAlign w:val="top"/>
          </w:tcPr>
          <w:p w14:paraId="55A9D8CD">
            <w:pPr>
              <w:keepNext w:val="0"/>
              <w:keepLines w:val="0"/>
              <w:pageBreakBefore w:val="0"/>
              <w:overflowPunct/>
              <w:topLinePunct w:val="0"/>
              <w:bidi w:val="0"/>
              <w:spacing w:line="360" w:lineRule="auto"/>
              <w:rPr>
                <w:rFonts w:hint="eastAsia" w:ascii="宋体" w:hAnsi="宋体" w:eastAsia="宋体" w:cs="宋体"/>
                <w:color w:val="auto"/>
                <w:sz w:val="28"/>
                <w:szCs w:val="28"/>
              </w:rPr>
            </w:pPr>
          </w:p>
        </w:tc>
      </w:tr>
      <w:tr w14:paraId="671F0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4" w:hRule="atLeast"/>
        </w:trPr>
        <w:tc>
          <w:tcPr>
            <w:tcW w:w="905" w:type="dxa"/>
            <w:vAlign w:val="top"/>
          </w:tcPr>
          <w:p w14:paraId="69D39CC9">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2</w:t>
            </w:r>
          </w:p>
        </w:tc>
        <w:tc>
          <w:tcPr>
            <w:tcW w:w="3070" w:type="dxa"/>
            <w:vAlign w:val="top"/>
          </w:tcPr>
          <w:p w14:paraId="4488573B">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2087" w:type="dxa"/>
            <w:vAlign w:val="top"/>
          </w:tcPr>
          <w:p w14:paraId="4B96D578">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1716" w:type="dxa"/>
            <w:vAlign w:val="top"/>
          </w:tcPr>
          <w:p w14:paraId="0B8676CE">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2227" w:type="dxa"/>
            <w:vAlign w:val="top"/>
          </w:tcPr>
          <w:p w14:paraId="1C0BF81F">
            <w:pPr>
              <w:keepNext w:val="0"/>
              <w:keepLines w:val="0"/>
              <w:pageBreakBefore w:val="0"/>
              <w:overflowPunct/>
              <w:topLinePunct w:val="0"/>
              <w:bidi w:val="0"/>
              <w:spacing w:line="360" w:lineRule="auto"/>
              <w:rPr>
                <w:rFonts w:hint="eastAsia" w:ascii="宋体" w:hAnsi="宋体" w:eastAsia="宋体" w:cs="宋体"/>
                <w:color w:val="auto"/>
                <w:sz w:val="28"/>
                <w:szCs w:val="28"/>
              </w:rPr>
            </w:pPr>
          </w:p>
        </w:tc>
      </w:tr>
      <w:tr w14:paraId="2AB3F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905" w:type="dxa"/>
            <w:vAlign w:val="top"/>
          </w:tcPr>
          <w:p w14:paraId="1E9CA0E1">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w:t>
            </w:r>
          </w:p>
        </w:tc>
        <w:tc>
          <w:tcPr>
            <w:tcW w:w="3070" w:type="dxa"/>
            <w:vAlign w:val="top"/>
          </w:tcPr>
          <w:p w14:paraId="7A54F91A">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2087" w:type="dxa"/>
            <w:vAlign w:val="top"/>
          </w:tcPr>
          <w:p w14:paraId="07CAAE7D">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1716" w:type="dxa"/>
            <w:vAlign w:val="top"/>
          </w:tcPr>
          <w:p w14:paraId="01966417">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2227" w:type="dxa"/>
            <w:vAlign w:val="top"/>
          </w:tcPr>
          <w:p w14:paraId="10752AE2">
            <w:pPr>
              <w:keepNext w:val="0"/>
              <w:keepLines w:val="0"/>
              <w:pageBreakBefore w:val="0"/>
              <w:overflowPunct/>
              <w:topLinePunct w:val="0"/>
              <w:bidi w:val="0"/>
              <w:spacing w:line="360" w:lineRule="auto"/>
              <w:rPr>
                <w:rFonts w:hint="eastAsia" w:ascii="宋体" w:hAnsi="宋体" w:eastAsia="宋体" w:cs="宋体"/>
                <w:color w:val="auto"/>
                <w:sz w:val="28"/>
                <w:szCs w:val="28"/>
              </w:rPr>
            </w:pPr>
          </w:p>
        </w:tc>
      </w:tr>
    </w:tbl>
    <w:p w14:paraId="6CFC2516">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供应商（盖章）：</w:t>
      </w:r>
    </w:p>
    <w:p w14:paraId="5B191A00">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日期：</w:t>
      </w:r>
    </w:p>
    <w:p w14:paraId="34264FA6">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0AB6FC7F">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4D313524">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06470717">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2AF6CE8B">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16567699">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42252DBC">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3BF0E0CD">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75B535A1">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7964CAD0">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578F19EF">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16D55D15">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0204E974">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3B807F40">
      <w:pPr>
        <w:keepNext w:val="0"/>
        <w:keepLines w:val="0"/>
        <w:pageBreakBefore w:val="0"/>
        <w:numPr>
          <w:ilvl w:val="0"/>
          <w:numId w:val="4"/>
        </w:numPr>
        <w:overflowPunct/>
        <w:topLinePunct w:val="0"/>
        <w:bidi w:val="0"/>
        <w:spacing w:line="360" w:lineRule="auto"/>
        <w:outlineLvl w:val="1"/>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分项报价表</w:t>
      </w:r>
    </w:p>
    <w:p w14:paraId="3C43D75C">
      <w:pPr>
        <w:spacing w:before="43"/>
        <w:ind w:firstLine="4096" w:firstLineChars="1700"/>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分项报价明细表</w:t>
      </w:r>
    </w:p>
    <w:p w14:paraId="682297A7">
      <w:pPr>
        <w:pStyle w:val="4"/>
        <w:ind w:right="1507"/>
        <w:jc w:val="center"/>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rPr>
        <w:t xml:space="preserve"> </w:t>
      </w:r>
      <w:r>
        <w:rPr>
          <w:rFonts w:hint="eastAsia" w:ascii="宋体" w:hAnsi="宋体" w:eastAsia="宋体" w:cs="宋体"/>
          <w:b/>
          <w:bCs/>
          <w:color w:val="auto"/>
          <w:sz w:val="32"/>
          <w:szCs w:val="32"/>
          <w:highlight w:val="none"/>
          <w:lang w:val="en-US"/>
        </w:rPr>
        <w:t xml:space="preserve">  </w:t>
      </w:r>
    </w:p>
    <w:p w14:paraId="6C0C5E16">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项目编号：</w:t>
      </w:r>
    </w:p>
    <w:tbl>
      <w:tblPr>
        <w:tblStyle w:val="12"/>
        <w:tblpPr w:leftFromText="180" w:rightFromText="180" w:vertAnchor="text" w:horzAnchor="page" w:tblpX="982" w:tblpY="58"/>
        <w:tblOverlap w:val="never"/>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50"/>
        <w:gridCol w:w="1610"/>
        <w:gridCol w:w="1005"/>
        <w:gridCol w:w="945"/>
        <w:gridCol w:w="1380"/>
        <w:gridCol w:w="1140"/>
        <w:gridCol w:w="1110"/>
        <w:gridCol w:w="1155"/>
        <w:gridCol w:w="900"/>
      </w:tblGrid>
      <w:tr w14:paraId="76F5AF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trPr>
        <w:tc>
          <w:tcPr>
            <w:tcW w:w="1050" w:type="dxa"/>
            <w:tcBorders>
              <w:top w:val="single" w:color="auto" w:sz="4" w:space="0"/>
            </w:tcBorders>
            <w:vAlign w:val="center"/>
          </w:tcPr>
          <w:p w14:paraId="21D509AD">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序号</w:t>
            </w:r>
          </w:p>
        </w:tc>
        <w:tc>
          <w:tcPr>
            <w:tcW w:w="1610" w:type="dxa"/>
            <w:tcBorders>
              <w:top w:val="single" w:color="auto" w:sz="4" w:space="0"/>
            </w:tcBorders>
            <w:vAlign w:val="center"/>
          </w:tcPr>
          <w:p w14:paraId="1189E78D">
            <w:pPr>
              <w:jc w:val="center"/>
              <w:rPr>
                <w:rFonts w:hint="eastAsia" w:ascii="宋体" w:hAnsi="宋体" w:eastAsia="宋体" w:cs="宋体"/>
                <w:color w:val="auto"/>
                <w:sz w:val="18"/>
                <w:szCs w:val="18"/>
                <w:highlight w:val="none"/>
              </w:rPr>
            </w:pPr>
            <w:r>
              <w:rPr>
                <w:rFonts w:hint="eastAsia" w:ascii="宋体" w:hAnsi="宋体" w:eastAsia="宋体" w:cs="宋体"/>
                <w:color w:val="auto"/>
                <w:sz w:val="13"/>
                <w:szCs w:val="13"/>
                <w:highlight w:val="none"/>
              </w:rPr>
              <w:t>货物内容</w:t>
            </w:r>
          </w:p>
        </w:tc>
        <w:tc>
          <w:tcPr>
            <w:tcW w:w="1005" w:type="dxa"/>
            <w:tcBorders>
              <w:top w:val="single" w:color="auto" w:sz="4" w:space="0"/>
              <w:right w:val="single" w:color="auto" w:sz="4" w:space="0"/>
            </w:tcBorders>
            <w:vAlign w:val="center"/>
          </w:tcPr>
          <w:p w14:paraId="1058A221">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品牌</w:t>
            </w:r>
          </w:p>
        </w:tc>
        <w:tc>
          <w:tcPr>
            <w:tcW w:w="945" w:type="dxa"/>
            <w:tcBorders>
              <w:top w:val="single" w:color="auto" w:sz="4" w:space="0"/>
              <w:left w:val="single" w:color="auto" w:sz="4" w:space="0"/>
              <w:right w:val="single" w:color="auto" w:sz="4" w:space="0"/>
            </w:tcBorders>
            <w:vAlign w:val="center"/>
          </w:tcPr>
          <w:p w14:paraId="32D8233A">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规格型号</w:t>
            </w:r>
          </w:p>
        </w:tc>
        <w:tc>
          <w:tcPr>
            <w:tcW w:w="1380" w:type="dxa"/>
            <w:tcBorders>
              <w:top w:val="single" w:color="auto" w:sz="4" w:space="0"/>
              <w:left w:val="single" w:color="auto" w:sz="4" w:space="0"/>
            </w:tcBorders>
            <w:vAlign w:val="center"/>
          </w:tcPr>
          <w:p w14:paraId="0C8ED102">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产地或生产 厂家</w:t>
            </w:r>
          </w:p>
        </w:tc>
        <w:tc>
          <w:tcPr>
            <w:tcW w:w="1140" w:type="dxa"/>
            <w:tcBorders>
              <w:top w:val="single" w:color="auto" w:sz="4" w:space="0"/>
              <w:right w:val="single" w:color="auto" w:sz="4" w:space="0"/>
            </w:tcBorders>
            <w:vAlign w:val="center"/>
          </w:tcPr>
          <w:p w14:paraId="3A881F77">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数量及单位</w:t>
            </w:r>
          </w:p>
        </w:tc>
        <w:tc>
          <w:tcPr>
            <w:tcW w:w="1110" w:type="dxa"/>
            <w:tcBorders>
              <w:top w:val="single" w:color="auto" w:sz="4" w:space="0"/>
              <w:left w:val="single" w:color="auto" w:sz="4" w:space="0"/>
              <w:right w:val="single" w:color="auto" w:sz="4" w:space="0"/>
            </w:tcBorders>
            <w:vAlign w:val="center"/>
          </w:tcPr>
          <w:p w14:paraId="4D7059FE">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单价（元）</w:t>
            </w:r>
          </w:p>
        </w:tc>
        <w:tc>
          <w:tcPr>
            <w:tcW w:w="1155" w:type="dxa"/>
            <w:tcBorders>
              <w:top w:val="single" w:color="auto" w:sz="4" w:space="0"/>
              <w:left w:val="single" w:color="auto" w:sz="4" w:space="0"/>
            </w:tcBorders>
            <w:vAlign w:val="center"/>
          </w:tcPr>
          <w:p w14:paraId="152AE3BC">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总价（元）</w:t>
            </w:r>
          </w:p>
        </w:tc>
        <w:tc>
          <w:tcPr>
            <w:tcW w:w="900" w:type="dxa"/>
            <w:tcBorders>
              <w:top w:val="single" w:color="auto" w:sz="4" w:space="0"/>
              <w:left w:val="single" w:color="auto" w:sz="4" w:space="0"/>
            </w:tcBorders>
            <w:vAlign w:val="center"/>
          </w:tcPr>
          <w:p w14:paraId="07B5C722">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备注</w:t>
            </w:r>
          </w:p>
        </w:tc>
      </w:tr>
      <w:tr w14:paraId="56B4564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trPr>
        <w:tc>
          <w:tcPr>
            <w:tcW w:w="1050" w:type="dxa"/>
            <w:vAlign w:val="center"/>
          </w:tcPr>
          <w:p w14:paraId="5C0A8264">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1610" w:type="dxa"/>
            <w:vAlign w:val="center"/>
          </w:tcPr>
          <w:p w14:paraId="34E2A35F">
            <w:pPr>
              <w:jc w:val="center"/>
              <w:rPr>
                <w:rFonts w:hint="eastAsia" w:ascii="宋体" w:hAnsi="宋体" w:eastAsia="宋体" w:cs="宋体"/>
                <w:color w:val="auto"/>
                <w:sz w:val="18"/>
                <w:szCs w:val="18"/>
                <w:highlight w:val="none"/>
              </w:rPr>
            </w:pPr>
          </w:p>
        </w:tc>
        <w:tc>
          <w:tcPr>
            <w:tcW w:w="1005" w:type="dxa"/>
            <w:tcBorders>
              <w:right w:val="single" w:color="auto" w:sz="4" w:space="0"/>
            </w:tcBorders>
            <w:vAlign w:val="center"/>
          </w:tcPr>
          <w:p w14:paraId="4E301D06">
            <w:pPr>
              <w:jc w:val="center"/>
              <w:rPr>
                <w:rFonts w:hint="eastAsia" w:ascii="宋体" w:hAnsi="宋体" w:eastAsia="宋体" w:cs="宋体"/>
                <w:color w:val="auto"/>
                <w:sz w:val="18"/>
                <w:szCs w:val="18"/>
                <w:highlight w:val="none"/>
              </w:rPr>
            </w:pPr>
          </w:p>
        </w:tc>
        <w:tc>
          <w:tcPr>
            <w:tcW w:w="945" w:type="dxa"/>
            <w:tcBorders>
              <w:left w:val="single" w:color="auto" w:sz="4" w:space="0"/>
              <w:right w:val="single" w:color="auto" w:sz="4" w:space="0"/>
            </w:tcBorders>
            <w:vAlign w:val="center"/>
          </w:tcPr>
          <w:p w14:paraId="7B45FCFD">
            <w:pPr>
              <w:jc w:val="center"/>
              <w:rPr>
                <w:rFonts w:hint="eastAsia" w:ascii="宋体" w:hAnsi="宋体" w:eastAsia="宋体" w:cs="宋体"/>
                <w:color w:val="auto"/>
                <w:sz w:val="18"/>
                <w:szCs w:val="18"/>
                <w:highlight w:val="none"/>
              </w:rPr>
            </w:pPr>
          </w:p>
        </w:tc>
        <w:tc>
          <w:tcPr>
            <w:tcW w:w="1380" w:type="dxa"/>
            <w:tcBorders>
              <w:left w:val="single" w:color="auto" w:sz="4" w:space="0"/>
            </w:tcBorders>
            <w:vAlign w:val="center"/>
          </w:tcPr>
          <w:p w14:paraId="74C308D5">
            <w:pPr>
              <w:jc w:val="center"/>
              <w:rPr>
                <w:rFonts w:hint="eastAsia" w:ascii="宋体" w:hAnsi="宋体" w:eastAsia="宋体" w:cs="宋体"/>
                <w:color w:val="auto"/>
                <w:sz w:val="18"/>
                <w:szCs w:val="18"/>
                <w:highlight w:val="none"/>
              </w:rPr>
            </w:pPr>
          </w:p>
        </w:tc>
        <w:tc>
          <w:tcPr>
            <w:tcW w:w="1140" w:type="dxa"/>
            <w:tcBorders>
              <w:right w:val="single" w:color="auto" w:sz="4" w:space="0"/>
            </w:tcBorders>
            <w:vAlign w:val="center"/>
          </w:tcPr>
          <w:p w14:paraId="50DEE59B">
            <w:pPr>
              <w:jc w:val="center"/>
              <w:rPr>
                <w:rFonts w:hint="eastAsia" w:ascii="宋体" w:hAnsi="宋体" w:eastAsia="宋体" w:cs="宋体"/>
                <w:color w:val="auto"/>
                <w:sz w:val="18"/>
                <w:szCs w:val="18"/>
                <w:highlight w:val="none"/>
              </w:rPr>
            </w:pPr>
          </w:p>
        </w:tc>
        <w:tc>
          <w:tcPr>
            <w:tcW w:w="1110" w:type="dxa"/>
            <w:tcBorders>
              <w:left w:val="single" w:color="auto" w:sz="4" w:space="0"/>
              <w:right w:val="single" w:color="auto" w:sz="4" w:space="0"/>
            </w:tcBorders>
            <w:vAlign w:val="center"/>
          </w:tcPr>
          <w:p w14:paraId="52C37F57">
            <w:pPr>
              <w:jc w:val="center"/>
              <w:rPr>
                <w:rFonts w:hint="eastAsia" w:ascii="宋体" w:hAnsi="宋体" w:eastAsia="宋体" w:cs="宋体"/>
                <w:color w:val="auto"/>
                <w:sz w:val="18"/>
                <w:szCs w:val="18"/>
                <w:highlight w:val="none"/>
              </w:rPr>
            </w:pPr>
          </w:p>
        </w:tc>
        <w:tc>
          <w:tcPr>
            <w:tcW w:w="1155" w:type="dxa"/>
            <w:tcBorders>
              <w:left w:val="single" w:color="auto" w:sz="4" w:space="0"/>
            </w:tcBorders>
            <w:vAlign w:val="center"/>
          </w:tcPr>
          <w:p w14:paraId="40C5B9F6">
            <w:pPr>
              <w:jc w:val="center"/>
              <w:rPr>
                <w:rFonts w:hint="eastAsia" w:ascii="宋体" w:hAnsi="宋体" w:eastAsia="宋体" w:cs="宋体"/>
                <w:color w:val="auto"/>
                <w:sz w:val="18"/>
                <w:szCs w:val="18"/>
                <w:highlight w:val="none"/>
              </w:rPr>
            </w:pPr>
          </w:p>
        </w:tc>
        <w:tc>
          <w:tcPr>
            <w:tcW w:w="900" w:type="dxa"/>
            <w:tcBorders>
              <w:left w:val="single" w:color="auto" w:sz="4" w:space="0"/>
            </w:tcBorders>
            <w:vAlign w:val="center"/>
          </w:tcPr>
          <w:p w14:paraId="5703AB8C">
            <w:pPr>
              <w:jc w:val="center"/>
              <w:rPr>
                <w:rFonts w:hint="eastAsia" w:ascii="宋体" w:hAnsi="宋体" w:eastAsia="宋体" w:cs="宋体"/>
                <w:color w:val="auto"/>
                <w:sz w:val="18"/>
                <w:szCs w:val="18"/>
                <w:highlight w:val="none"/>
              </w:rPr>
            </w:pPr>
          </w:p>
        </w:tc>
      </w:tr>
      <w:tr w14:paraId="72CB496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trPr>
        <w:tc>
          <w:tcPr>
            <w:tcW w:w="1050" w:type="dxa"/>
            <w:vAlign w:val="center"/>
          </w:tcPr>
          <w:p w14:paraId="30D676EB">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p>
        </w:tc>
        <w:tc>
          <w:tcPr>
            <w:tcW w:w="1610" w:type="dxa"/>
            <w:vAlign w:val="center"/>
          </w:tcPr>
          <w:p w14:paraId="1152355B">
            <w:pPr>
              <w:jc w:val="center"/>
              <w:rPr>
                <w:rFonts w:hint="eastAsia" w:ascii="宋体" w:hAnsi="宋体" w:eastAsia="宋体" w:cs="宋体"/>
                <w:color w:val="auto"/>
                <w:sz w:val="18"/>
                <w:szCs w:val="18"/>
                <w:highlight w:val="none"/>
              </w:rPr>
            </w:pPr>
          </w:p>
        </w:tc>
        <w:tc>
          <w:tcPr>
            <w:tcW w:w="1005" w:type="dxa"/>
            <w:tcBorders>
              <w:right w:val="single" w:color="auto" w:sz="4" w:space="0"/>
            </w:tcBorders>
            <w:vAlign w:val="center"/>
          </w:tcPr>
          <w:p w14:paraId="4F52701D">
            <w:pPr>
              <w:jc w:val="center"/>
              <w:rPr>
                <w:rFonts w:hint="eastAsia" w:ascii="宋体" w:hAnsi="宋体" w:eastAsia="宋体" w:cs="宋体"/>
                <w:color w:val="auto"/>
                <w:sz w:val="18"/>
                <w:szCs w:val="18"/>
                <w:highlight w:val="none"/>
              </w:rPr>
            </w:pPr>
          </w:p>
        </w:tc>
        <w:tc>
          <w:tcPr>
            <w:tcW w:w="945" w:type="dxa"/>
            <w:tcBorders>
              <w:left w:val="single" w:color="auto" w:sz="4" w:space="0"/>
              <w:right w:val="single" w:color="auto" w:sz="4" w:space="0"/>
            </w:tcBorders>
            <w:vAlign w:val="center"/>
          </w:tcPr>
          <w:p w14:paraId="50FD6253">
            <w:pPr>
              <w:jc w:val="center"/>
              <w:rPr>
                <w:rFonts w:hint="eastAsia" w:ascii="宋体" w:hAnsi="宋体" w:eastAsia="宋体" w:cs="宋体"/>
                <w:color w:val="auto"/>
                <w:sz w:val="18"/>
                <w:szCs w:val="18"/>
                <w:highlight w:val="none"/>
              </w:rPr>
            </w:pPr>
          </w:p>
        </w:tc>
        <w:tc>
          <w:tcPr>
            <w:tcW w:w="1380" w:type="dxa"/>
            <w:tcBorders>
              <w:left w:val="single" w:color="auto" w:sz="4" w:space="0"/>
            </w:tcBorders>
            <w:vAlign w:val="center"/>
          </w:tcPr>
          <w:p w14:paraId="4E3925E4">
            <w:pPr>
              <w:jc w:val="center"/>
              <w:rPr>
                <w:rFonts w:hint="eastAsia" w:ascii="宋体" w:hAnsi="宋体" w:eastAsia="宋体" w:cs="宋体"/>
                <w:color w:val="auto"/>
                <w:sz w:val="18"/>
                <w:szCs w:val="18"/>
                <w:highlight w:val="none"/>
              </w:rPr>
            </w:pPr>
          </w:p>
        </w:tc>
        <w:tc>
          <w:tcPr>
            <w:tcW w:w="1140" w:type="dxa"/>
            <w:tcBorders>
              <w:right w:val="single" w:color="auto" w:sz="4" w:space="0"/>
            </w:tcBorders>
            <w:vAlign w:val="center"/>
          </w:tcPr>
          <w:p w14:paraId="1973C46C">
            <w:pPr>
              <w:jc w:val="center"/>
              <w:rPr>
                <w:rFonts w:hint="eastAsia" w:ascii="宋体" w:hAnsi="宋体" w:eastAsia="宋体" w:cs="宋体"/>
                <w:color w:val="auto"/>
                <w:sz w:val="18"/>
                <w:szCs w:val="18"/>
                <w:highlight w:val="none"/>
              </w:rPr>
            </w:pPr>
          </w:p>
        </w:tc>
        <w:tc>
          <w:tcPr>
            <w:tcW w:w="1110" w:type="dxa"/>
            <w:tcBorders>
              <w:left w:val="single" w:color="auto" w:sz="4" w:space="0"/>
              <w:right w:val="single" w:color="auto" w:sz="4" w:space="0"/>
            </w:tcBorders>
            <w:vAlign w:val="center"/>
          </w:tcPr>
          <w:p w14:paraId="6F5D5FCF">
            <w:pPr>
              <w:jc w:val="center"/>
              <w:rPr>
                <w:rFonts w:hint="eastAsia" w:ascii="宋体" w:hAnsi="宋体" w:eastAsia="宋体" w:cs="宋体"/>
                <w:color w:val="auto"/>
                <w:sz w:val="18"/>
                <w:szCs w:val="18"/>
                <w:highlight w:val="none"/>
              </w:rPr>
            </w:pPr>
          </w:p>
        </w:tc>
        <w:tc>
          <w:tcPr>
            <w:tcW w:w="1155" w:type="dxa"/>
            <w:tcBorders>
              <w:left w:val="single" w:color="auto" w:sz="4" w:space="0"/>
            </w:tcBorders>
            <w:vAlign w:val="center"/>
          </w:tcPr>
          <w:p w14:paraId="0BE31469">
            <w:pPr>
              <w:jc w:val="center"/>
              <w:rPr>
                <w:rFonts w:hint="eastAsia" w:ascii="宋体" w:hAnsi="宋体" w:eastAsia="宋体" w:cs="宋体"/>
                <w:color w:val="auto"/>
                <w:sz w:val="18"/>
                <w:szCs w:val="18"/>
                <w:highlight w:val="none"/>
              </w:rPr>
            </w:pPr>
          </w:p>
        </w:tc>
        <w:tc>
          <w:tcPr>
            <w:tcW w:w="900" w:type="dxa"/>
            <w:tcBorders>
              <w:left w:val="single" w:color="auto" w:sz="4" w:space="0"/>
            </w:tcBorders>
            <w:vAlign w:val="center"/>
          </w:tcPr>
          <w:p w14:paraId="4AC4E79C">
            <w:pPr>
              <w:jc w:val="center"/>
              <w:rPr>
                <w:rFonts w:hint="eastAsia" w:ascii="宋体" w:hAnsi="宋体" w:eastAsia="宋体" w:cs="宋体"/>
                <w:color w:val="auto"/>
                <w:sz w:val="18"/>
                <w:szCs w:val="18"/>
                <w:highlight w:val="none"/>
              </w:rPr>
            </w:pPr>
          </w:p>
        </w:tc>
      </w:tr>
      <w:tr w14:paraId="51F2A3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trPr>
        <w:tc>
          <w:tcPr>
            <w:tcW w:w="1050" w:type="dxa"/>
            <w:vAlign w:val="center"/>
          </w:tcPr>
          <w:p w14:paraId="10C5C4FA">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w:t>
            </w:r>
          </w:p>
        </w:tc>
        <w:tc>
          <w:tcPr>
            <w:tcW w:w="1610" w:type="dxa"/>
            <w:vAlign w:val="center"/>
          </w:tcPr>
          <w:p w14:paraId="7EF74A1D">
            <w:pPr>
              <w:jc w:val="center"/>
              <w:rPr>
                <w:rFonts w:hint="eastAsia" w:ascii="宋体" w:hAnsi="宋体" w:eastAsia="宋体" w:cs="宋体"/>
                <w:color w:val="auto"/>
                <w:sz w:val="18"/>
                <w:szCs w:val="18"/>
                <w:highlight w:val="none"/>
              </w:rPr>
            </w:pPr>
          </w:p>
        </w:tc>
        <w:tc>
          <w:tcPr>
            <w:tcW w:w="1005" w:type="dxa"/>
            <w:tcBorders>
              <w:right w:val="single" w:color="auto" w:sz="4" w:space="0"/>
            </w:tcBorders>
            <w:vAlign w:val="center"/>
          </w:tcPr>
          <w:p w14:paraId="0EDEA084">
            <w:pPr>
              <w:jc w:val="center"/>
              <w:rPr>
                <w:rFonts w:hint="eastAsia" w:ascii="宋体" w:hAnsi="宋体" w:eastAsia="宋体" w:cs="宋体"/>
                <w:color w:val="auto"/>
                <w:sz w:val="18"/>
                <w:szCs w:val="18"/>
                <w:highlight w:val="none"/>
              </w:rPr>
            </w:pPr>
          </w:p>
        </w:tc>
        <w:tc>
          <w:tcPr>
            <w:tcW w:w="945" w:type="dxa"/>
            <w:tcBorders>
              <w:left w:val="single" w:color="auto" w:sz="4" w:space="0"/>
              <w:right w:val="single" w:color="auto" w:sz="4" w:space="0"/>
            </w:tcBorders>
            <w:vAlign w:val="center"/>
          </w:tcPr>
          <w:p w14:paraId="396103E9">
            <w:pPr>
              <w:jc w:val="center"/>
              <w:rPr>
                <w:rFonts w:hint="eastAsia" w:ascii="宋体" w:hAnsi="宋体" w:eastAsia="宋体" w:cs="宋体"/>
                <w:color w:val="auto"/>
                <w:sz w:val="18"/>
                <w:szCs w:val="18"/>
                <w:highlight w:val="none"/>
              </w:rPr>
            </w:pPr>
          </w:p>
        </w:tc>
        <w:tc>
          <w:tcPr>
            <w:tcW w:w="1380" w:type="dxa"/>
            <w:tcBorders>
              <w:left w:val="single" w:color="auto" w:sz="4" w:space="0"/>
            </w:tcBorders>
            <w:vAlign w:val="center"/>
          </w:tcPr>
          <w:p w14:paraId="2A15B744">
            <w:pPr>
              <w:jc w:val="center"/>
              <w:rPr>
                <w:rFonts w:hint="eastAsia" w:ascii="宋体" w:hAnsi="宋体" w:eastAsia="宋体" w:cs="宋体"/>
                <w:color w:val="auto"/>
                <w:sz w:val="18"/>
                <w:szCs w:val="18"/>
                <w:highlight w:val="none"/>
              </w:rPr>
            </w:pPr>
          </w:p>
        </w:tc>
        <w:tc>
          <w:tcPr>
            <w:tcW w:w="1140" w:type="dxa"/>
            <w:tcBorders>
              <w:right w:val="single" w:color="auto" w:sz="4" w:space="0"/>
            </w:tcBorders>
            <w:vAlign w:val="center"/>
          </w:tcPr>
          <w:p w14:paraId="263C3169">
            <w:pPr>
              <w:jc w:val="center"/>
              <w:rPr>
                <w:rFonts w:hint="eastAsia" w:ascii="宋体" w:hAnsi="宋体" w:eastAsia="宋体" w:cs="宋体"/>
                <w:color w:val="auto"/>
                <w:sz w:val="18"/>
                <w:szCs w:val="18"/>
                <w:highlight w:val="none"/>
              </w:rPr>
            </w:pPr>
          </w:p>
        </w:tc>
        <w:tc>
          <w:tcPr>
            <w:tcW w:w="1110" w:type="dxa"/>
            <w:tcBorders>
              <w:left w:val="single" w:color="auto" w:sz="4" w:space="0"/>
              <w:right w:val="single" w:color="auto" w:sz="4" w:space="0"/>
            </w:tcBorders>
            <w:vAlign w:val="center"/>
          </w:tcPr>
          <w:p w14:paraId="2EDAA2B3">
            <w:pPr>
              <w:jc w:val="center"/>
              <w:rPr>
                <w:rFonts w:hint="eastAsia" w:ascii="宋体" w:hAnsi="宋体" w:eastAsia="宋体" w:cs="宋体"/>
                <w:color w:val="auto"/>
                <w:sz w:val="18"/>
                <w:szCs w:val="18"/>
                <w:highlight w:val="none"/>
              </w:rPr>
            </w:pPr>
          </w:p>
        </w:tc>
        <w:tc>
          <w:tcPr>
            <w:tcW w:w="1155" w:type="dxa"/>
            <w:tcBorders>
              <w:left w:val="single" w:color="auto" w:sz="4" w:space="0"/>
            </w:tcBorders>
            <w:vAlign w:val="center"/>
          </w:tcPr>
          <w:p w14:paraId="29BBFDFD">
            <w:pPr>
              <w:jc w:val="center"/>
              <w:rPr>
                <w:rFonts w:hint="eastAsia" w:ascii="宋体" w:hAnsi="宋体" w:eastAsia="宋体" w:cs="宋体"/>
                <w:color w:val="auto"/>
                <w:sz w:val="18"/>
                <w:szCs w:val="18"/>
                <w:highlight w:val="none"/>
              </w:rPr>
            </w:pPr>
          </w:p>
        </w:tc>
        <w:tc>
          <w:tcPr>
            <w:tcW w:w="900" w:type="dxa"/>
            <w:tcBorders>
              <w:left w:val="single" w:color="auto" w:sz="4" w:space="0"/>
            </w:tcBorders>
            <w:vAlign w:val="center"/>
          </w:tcPr>
          <w:p w14:paraId="634FDE24">
            <w:pPr>
              <w:jc w:val="center"/>
              <w:rPr>
                <w:rFonts w:hint="eastAsia" w:ascii="宋体" w:hAnsi="宋体" w:eastAsia="宋体" w:cs="宋体"/>
                <w:color w:val="auto"/>
                <w:sz w:val="18"/>
                <w:szCs w:val="18"/>
                <w:highlight w:val="none"/>
              </w:rPr>
            </w:pPr>
          </w:p>
        </w:tc>
      </w:tr>
      <w:tr w14:paraId="66EE4A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trPr>
        <w:tc>
          <w:tcPr>
            <w:tcW w:w="1050" w:type="dxa"/>
            <w:vAlign w:val="center"/>
          </w:tcPr>
          <w:p w14:paraId="6F5F95A3">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1610" w:type="dxa"/>
            <w:vAlign w:val="center"/>
          </w:tcPr>
          <w:p w14:paraId="725A3042">
            <w:pPr>
              <w:jc w:val="center"/>
              <w:rPr>
                <w:rFonts w:hint="eastAsia" w:ascii="宋体" w:hAnsi="宋体" w:eastAsia="宋体" w:cs="宋体"/>
                <w:color w:val="auto"/>
                <w:sz w:val="18"/>
                <w:szCs w:val="18"/>
                <w:highlight w:val="none"/>
              </w:rPr>
            </w:pPr>
          </w:p>
        </w:tc>
        <w:tc>
          <w:tcPr>
            <w:tcW w:w="1005" w:type="dxa"/>
            <w:tcBorders>
              <w:right w:val="single" w:color="auto" w:sz="4" w:space="0"/>
            </w:tcBorders>
            <w:vAlign w:val="center"/>
          </w:tcPr>
          <w:p w14:paraId="6E3C4905">
            <w:pPr>
              <w:jc w:val="center"/>
              <w:rPr>
                <w:rFonts w:hint="eastAsia" w:ascii="宋体" w:hAnsi="宋体" w:eastAsia="宋体" w:cs="宋体"/>
                <w:color w:val="auto"/>
                <w:sz w:val="18"/>
                <w:szCs w:val="18"/>
                <w:highlight w:val="none"/>
              </w:rPr>
            </w:pPr>
          </w:p>
        </w:tc>
        <w:tc>
          <w:tcPr>
            <w:tcW w:w="945" w:type="dxa"/>
            <w:tcBorders>
              <w:left w:val="single" w:color="auto" w:sz="4" w:space="0"/>
              <w:right w:val="single" w:color="auto" w:sz="4" w:space="0"/>
            </w:tcBorders>
            <w:vAlign w:val="center"/>
          </w:tcPr>
          <w:p w14:paraId="41CA357A">
            <w:pPr>
              <w:jc w:val="center"/>
              <w:rPr>
                <w:rFonts w:hint="eastAsia" w:ascii="宋体" w:hAnsi="宋体" w:eastAsia="宋体" w:cs="宋体"/>
                <w:color w:val="auto"/>
                <w:sz w:val="18"/>
                <w:szCs w:val="18"/>
                <w:highlight w:val="none"/>
              </w:rPr>
            </w:pPr>
          </w:p>
        </w:tc>
        <w:tc>
          <w:tcPr>
            <w:tcW w:w="1380" w:type="dxa"/>
            <w:tcBorders>
              <w:left w:val="single" w:color="auto" w:sz="4" w:space="0"/>
            </w:tcBorders>
            <w:vAlign w:val="center"/>
          </w:tcPr>
          <w:p w14:paraId="2B0D6609">
            <w:pPr>
              <w:jc w:val="center"/>
              <w:rPr>
                <w:rFonts w:hint="eastAsia" w:ascii="宋体" w:hAnsi="宋体" w:eastAsia="宋体" w:cs="宋体"/>
                <w:color w:val="auto"/>
                <w:sz w:val="18"/>
                <w:szCs w:val="18"/>
                <w:highlight w:val="none"/>
              </w:rPr>
            </w:pPr>
          </w:p>
        </w:tc>
        <w:tc>
          <w:tcPr>
            <w:tcW w:w="1140" w:type="dxa"/>
            <w:tcBorders>
              <w:right w:val="single" w:color="auto" w:sz="4" w:space="0"/>
            </w:tcBorders>
            <w:vAlign w:val="center"/>
          </w:tcPr>
          <w:p w14:paraId="026AE484">
            <w:pPr>
              <w:jc w:val="center"/>
              <w:rPr>
                <w:rFonts w:hint="eastAsia" w:ascii="宋体" w:hAnsi="宋体" w:eastAsia="宋体" w:cs="宋体"/>
                <w:color w:val="auto"/>
                <w:sz w:val="18"/>
                <w:szCs w:val="18"/>
                <w:highlight w:val="none"/>
              </w:rPr>
            </w:pPr>
          </w:p>
        </w:tc>
        <w:tc>
          <w:tcPr>
            <w:tcW w:w="1110" w:type="dxa"/>
            <w:tcBorders>
              <w:left w:val="single" w:color="auto" w:sz="4" w:space="0"/>
              <w:right w:val="single" w:color="auto" w:sz="4" w:space="0"/>
            </w:tcBorders>
            <w:vAlign w:val="center"/>
          </w:tcPr>
          <w:p w14:paraId="2318D376">
            <w:pPr>
              <w:jc w:val="center"/>
              <w:rPr>
                <w:rFonts w:hint="eastAsia" w:ascii="宋体" w:hAnsi="宋体" w:eastAsia="宋体" w:cs="宋体"/>
                <w:color w:val="auto"/>
                <w:sz w:val="18"/>
                <w:szCs w:val="18"/>
                <w:highlight w:val="none"/>
              </w:rPr>
            </w:pPr>
          </w:p>
        </w:tc>
        <w:tc>
          <w:tcPr>
            <w:tcW w:w="1155" w:type="dxa"/>
            <w:tcBorders>
              <w:left w:val="single" w:color="auto" w:sz="4" w:space="0"/>
            </w:tcBorders>
            <w:vAlign w:val="center"/>
          </w:tcPr>
          <w:p w14:paraId="65EE2D45">
            <w:pPr>
              <w:jc w:val="center"/>
              <w:rPr>
                <w:rFonts w:hint="eastAsia" w:ascii="宋体" w:hAnsi="宋体" w:eastAsia="宋体" w:cs="宋体"/>
                <w:color w:val="auto"/>
                <w:sz w:val="18"/>
                <w:szCs w:val="18"/>
                <w:highlight w:val="none"/>
              </w:rPr>
            </w:pPr>
          </w:p>
        </w:tc>
        <w:tc>
          <w:tcPr>
            <w:tcW w:w="900" w:type="dxa"/>
            <w:tcBorders>
              <w:left w:val="single" w:color="auto" w:sz="4" w:space="0"/>
            </w:tcBorders>
            <w:vAlign w:val="center"/>
          </w:tcPr>
          <w:p w14:paraId="06DAF674">
            <w:pPr>
              <w:jc w:val="center"/>
              <w:rPr>
                <w:rFonts w:hint="eastAsia" w:ascii="宋体" w:hAnsi="宋体" w:eastAsia="宋体" w:cs="宋体"/>
                <w:color w:val="auto"/>
                <w:sz w:val="18"/>
                <w:szCs w:val="18"/>
                <w:highlight w:val="none"/>
              </w:rPr>
            </w:pPr>
          </w:p>
        </w:tc>
      </w:tr>
      <w:tr w14:paraId="7239D8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trPr>
        <w:tc>
          <w:tcPr>
            <w:tcW w:w="1050" w:type="dxa"/>
            <w:tcBorders>
              <w:bottom w:val="single" w:color="auto" w:sz="4" w:space="0"/>
            </w:tcBorders>
            <w:vAlign w:val="center"/>
          </w:tcPr>
          <w:p w14:paraId="35BA9789">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合计</w:t>
            </w:r>
          </w:p>
        </w:tc>
        <w:tc>
          <w:tcPr>
            <w:tcW w:w="1610" w:type="dxa"/>
            <w:tcBorders>
              <w:bottom w:val="single" w:color="auto" w:sz="4" w:space="0"/>
            </w:tcBorders>
            <w:vAlign w:val="center"/>
          </w:tcPr>
          <w:p w14:paraId="390C9E25">
            <w:pPr>
              <w:jc w:val="center"/>
              <w:rPr>
                <w:rFonts w:hint="eastAsia" w:ascii="宋体" w:hAnsi="宋体" w:eastAsia="宋体" w:cs="宋体"/>
                <w:color w:val="auto"/>
                <w:sz w:val="18"/>
                <w:szCs w:val="18"/>
                <w:highlight w:val="none"/>
              </w:rPr>
            </w:pPr>
          </w:p>
        </w:tc>
        <w:tc>
          <w:tcPr>
            <w:tcW w:w="1005" w:type="dxa"/>
            <w:tcBorders>
              <w:bottom w:val="single" w:color="auto" w:sz="4" w:space="0"/>
              <w:right w:val="single" w:color="auto" w:sz="4" w:space="0"/>
            </w:tcBorders>
            <w:vAlign w:val="center"/>
          </w:tcPr>
          <w:p w14:paraId="6F08DCCB">
            <w:pPr>
              <w:jc w:val="center"/>
              <w:rPr>
                <w:rFonts w:hint="eastAsia" w:ascii="宋体" w:hAnsi="宋体" w:eastAsia="宋体" w:cs="宋体"/>
                <w:color w:val="auto"/>
                <w:sz w:val="18"/>
                <w:szCs w:val="18"/>
                <w:highlight w:val="none"/>
              </w:rPr>
            </w:pPr>
          </w:p>
        </w:tc>
        <w:tc>
          <w:tcPr>
            <w:tcW w:w="945" w:type="dxa"/>
            <w:tcBorders>
              <w:left w:val="single" w:color="auto" w:sz="4" w:space="0"/>
              <w:bottom w:val="single" w:color="auto" w:sz="4" w:space="0"/>
              <w:right w:val="single" w:color="auto" w:sz="4" w:space="0"/>
            </w:tcBorders>
            <w:vAlign w:val="center"/>
          </w:tcPr>
          <w:p w14:paraId="5D30DBD0">
            <w:pPr>
              <w:jc w:val="center"/>
              <w:rPr>
                <w:rFonts w:hint="eastAsia" w:ascii="宋体" w:hAnsi="宋体" w:eastAsia="宋体" w:cs="宋体"/>
                <w:color w:val="auto"/>
                <w:sz w:val="18"/>
                <w:szCs w:val="18"/>
                <w:highlight w:val="none"/>
              </w:rPr>
            </w:pPr>
          </w:p>
        </w:tc>
        <w:tc>
          <w:tcPr>
            <w:tcW w:w="1380" w:type="dxa"/>
            <w:tcBorders>
              <w:left w:val="single" w:color="auto" w:sz="4" w:space="0"/>
              <w:bottom w:val="single" w:color="auto" w:sz="4" w:space="0"/>
            </w:tcBorders>
            <w:vAlign w:val="center"/>
          </w:tcPr>
          <w:p w14:paraId="0753043F">
            <w:pPr>
              <w:jc w:val="center"/>
              <w:rPr>
                <w:rFonts w:hint="eastAsia" w:ascii="宋体" w:hAnsi="宋体" w:eastAsia="宋体" w:cs="宋体"/>
                <w:color w:val="auto"/>
                <w:sz w:val="18"/>
                <w:szCs w:val="18"/>
                <w:highlight w:val="none"/>
              </w:rPr>
            </w:pPr>
          </w:p>
        </w:tc>
        <w:tc>
          <w:tcPr>
            <w:tcW w:w="1140" w:type="dxa"/>
            <w:tcBorders>
              <w:bottom w:val="single" w:color="auto" w:sz="4" w:space="0"/>
              <w:right w:val="single" w:color="auto" w:sz="4" w:space="0"/>
            </w:tcBorders>
            <w:vAlign w:val="center"/>
          </w:tcPr>
          <w:p w14:paraId="7010CF9F">
            <w:pPr>
              <w:jc w:val="center"/>
              <w:rPr>
                <w:rFonts w:hint="eastAsia" w:ascii="宋体" w:hAnsi="宋体" w:eastAsia="宋体" w:cs="宋体"/>
                <w:color w:val="auto"/>
                <w:sz w:val="18"/>
                <w:szCs w:val="18"/>
                <w:highlight w:val="none"/>
              </w:rPr>
            </w:pPr>
          </w:p>
        </w:tc>
        <w:tc>
          <w:tcPr>
            <w:tcW w:w="1110" w:type="dxa"/>
            <w:tcBorders>
              <w:left w:val="single" w:color="auto" w:sz="4" w:space="0"/>
              <w:bottom w:val="single" w:color="auto" w:sz="4" w:space="0"/>
              <w:right w:val="single" w:color="auto" w:sz="4" w:space="0"/>
            </w:tcBorders>
            <w:vAlign w:val="center"/>
          </w:tcPr>
          <w:p w14:paraId="6CC29962">
            <w:pPr>
              <w:jc w:val="center"/>
              <w:rPr>
                <w:rFonts w:hint="eastAsia" w:ascii="宋体" w:hAnsi="宋体" w:eastAsia="宋体" w:cs="宋体"/>
                <w:color w:val="auto"/>
                <w:sz w:val="18"/>
                <w:szCs w:val="18"/>
                <w:highlight w:val="none"/>
              </w:rPr>
            </w:pPr>
          </w:p>
        </w:tc>
        <w:tc>
          <w:tcPr>
            <w:tcW w:w="1155" w:type="dxa"/>
            <w:tcBorders>
              <w:left w:val="single" w:color="auto" w:sz="4" w:space="0"/>
              <w:bottom w:val="single" w:color="auto" w:sz="4" w:space="0"/>
            </w:tcBorders>
            <w:vAlign w:val="center"/>
          </w:tcPr>
          <w:p w14:paraId="5F827D2F">
            <w:pPr>
              <w:jc w:val="center"/>
              <w:rPr>
                <w:rFonts w:hint="eastAsia" w:ascii="宋体" w:hAnsi="宋体" w:eastAsia="宋体" w:cs="宋体"/>
                <w:color w:val="auto"/>
                <w:sz w:val="18"/>
                <w:szCs w:val="18"/>
                <w:highlight w:val="none"/>
              </w:rPr>
            </w:pPr>
          </w:p>
        </w:tc>
        <w:tc>
          <w:tcPr>
            <w:tcW w:w="900" w:type="dxa"/>
            <w:tcBorders>
              <w:left w:val="single" w:color="auto" w:sz="4" w:space="0"/>
              <w:bottom w:val="single" w:color="auto" w:sz="4" w:space="0"/>
            </w:tcBorders>
            <w:vAlign w:val="center"/>
          </w:tcPr>
          <w:p w14:paraId="51BF0205">
            <w:pPr>
              <w:jc w:val="center"/>
              <w:rPr>
                <w:rFonts w:hint="eastAsia" w:ascii="宋体" w:hAnsi="宋体" w:eastAsia="宋体" w:cs="宋体"/>
                <w:color w:val="auto"/>
                <w:sz w:val="18"/>
                <w:szCs w:val="18"/>
                <w:highlight w:val="none"/>
              </w:rPr>
            </w:pPr>
          </w:p>
        </w:tc>
      </w:tr>
    </w:tbl>
    <w:p w14:paraId="2212FD55">
      <w:pPr>
        <w:pStyle w:val="11"/>
        <w:kinsoku/>
        <w:autoSpaceDE/>
        <w:autoSpaceDN/>
        <w:adjustRightInd/>
        <w:snapToGrid/>
        <w:spacing w:line="420" w:lineRule="exact"/>
        <w:textAlignment w:val="auto"/>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rPr>
        <w:t>说明：</w:t>
      </w:r>
    </w:p>
    <w:p w14:paraId="48655089">
      <w:pPr>
        <w:pStyle w:val="11"/>
        <w:kinsoku/>
        <w:autoSpaceDE/>
        <w:autoSpaceDN/>
        <w:adjustRightInd/>
        <w:snapToGrid/>
        <w:spacing w:line="420" w:lineRule="exact"/>
        <w:ind w:firstLine="560" w:firstLineChars="200"/>
        <w:textAlignment w:val="auto"/>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rPr>
        <w:t>1.供货内容尽可能详细，涉及配件、备品、备件的应列出；</w:t>
      </w:r>
    </w:p>
    <w:p w14:paraId="6F1EDDAE">
      <w:pPr>
        <w:pStyle w:val="11"/>
        <w:kinsoku/>
        <w:autoSpaceDE/>
        <w:autoSpaceDN/>
        <w:adjustRightInd/>
        <w:snapToGrid/>
        <w:spacing w:line="420" w:lineRule="exact"/>
        <w:ind w:firstLine="560" w:firstLineChars="200"/>
        <w:textAlignment w:val="auto"/>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rPr>
        <w:t>2.如投标总报价与响应文件里的《分项报价明细表》里的合计总价不一致，应随最后报价重新填写一份《分项报价明细表》（加盖单位公章）；</w:t>
      </w:r>
    </w:p>
    <w:p w14:paraId="4A8AB094">
      <w:pPr>
        <w:pStyle w:val="11"/>
        <w:kinsoku/>
        <w:autoSpaceDE/>
        <w:autoSpaceDN/>
        <w:adjustRightInd/>
        <w:snapToGrid/>
        <w:spacing w:line="420" w:lineRule="exact"/>
        <w:ind w:firstLine="560" w:firstLineChars="200"/>
        <w:textAlignment w:val="auto"/>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lang w:val="en-US" w:eastAsia="zh-CN"/>
        </w:rPr>
        <w:t>3</w:t>
      </w:r>
      <w:r>
        <w:rPr>
          <w:rFonts w:hint="eastAsia" w:ascii="宋体" w:hAnsi="宋体" w:eastAsia="宋体" w:cs="宋体"/>
          <w:color w:val="auto"/>
          <w:kern w:val="2"/>
          <w:sz w:val="28"/>
          <w:szCs w:val="28"/>
          <w:highlight w:val="none"/>
        </w:rPr>
        <w:t>.投标总报价（包括分项报价，投标总报价）只能有一个有效报价且不超过采购预算或最高限价，投标报价不得缺项、漏项。</w:t>
      </w:r>
    </w:p>
    <w:p w14:paraId="595CE96D">
      <w:pPr>
        <w:pStyle w:val="11"/>
        <w:kinsoku/>
        <w:autoSpaceDE/>
        <w:autoSpaceDN/>
        <w:adjustRightInd/>
        <w:snapToGrid/>
        <w:spacing w:line="420" w:lineRule="exact"/>
        <w:ind w:firstLine="560" w:firstLineChars="200"/>
        <w:textAlignment w:val="auto"/>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lang w:val="en-US" w:eastAsia="zh-CN"/>
        </w:rPr>
        <w:t>4</w:t>
      </w:r>
      <w:r>
        <w:rPr>
          <w:rFonts w:hint="eastAsia" w:ascii="宋体" w:hAnsi="宋体" w:eastAsia="宋体" w:cs="宋体"/>
          <w:color w:val="auto"/>
          <w:kern w:val="2"/>
          <w:sz w:val="28"/>
          <w:szCs w:val="28"/>
          <w:highlight w:val="none"/>
        </w:rPr>
        <w:t>.按</w:t>
      </w:r>
      <w:r>
        <w:rPr>
          <w:rFonts w:hint="eastAsia" w:ascii="宋体" w:hAnsi="宋体" w:eastAsia="宋体" w:cs="宋体"/>
          <w:color w:val="auto"/>
          <w:kern w:val="2"/>
          <w:sz w:val="28"/>
          <w:szCs w:val="28"/>
          <w:highlight w:val="none"/>
          <w:lang w:val="en-US" w:eastAsia="zh-CN"/>
        </w:rPr>
        <w:t>谈判</w:t>
      </w:r>
      <w:r>
        <w:rPr>
          <w:rFonts w:hint="eastAsia" w:ascii="宋体" w:hAnsi="宋体" w:eastAsia="宋体" w:cs="宋体"/>
          <w:color w:val="auto"/>
          <w:kern w:val="2"/>
          <w:sz w:val="28"/>
          <w:szCs w:val="28"/>
          <w:highlight w:val="none"/>
        </w:rPr>
        <w:t>文件中采购要求及技术要求进行编制，各分项报价的合计金额应与</w:t>
      </w:r>
      <w:r>
        <w:rPr>
          <w:rFonts w:hint="eastAsia" w:ascii="宋体" w:hAnsi="宋体" w:cs="宋体"/>
          <w:color w:val="auto"/>
          <w:kern w:val="2"/>
          <w:sz w:val="28"/>
          <w:szCs w:val="28"/>
          <w:highlight w:val="none"/>
          <w:lang w:val="en-US" w:eastAsia="zh-CN"/>
        </w:rPr>
        <w:t>谈判报价表</w:t>
      </w:r>
      <w:r>
        <w:rPr>
          <w:rFonts w:hint="eastAsia" w:ascii="宋体" w:hAnsi="宋体" w:eastAsia="宋体" w:cs="宋体"/>
          <w:color w:val="auto"/>
          <w:kern w:val="2"/>
          <w:sz w:val="28"/>
          <w:szCs w:val="28"/>
          <w:highlight w:val="none"/>
        </w:rPr>
        <w:t>一致。</w:t>
      </w:r>
    </w:p>
    <w:p w14:paraId="104CA807">
      <w:pPr>
        <w:keepNext w:val="0"/>
        <w:keepLines w:val="0"/>
        <w:pageBreakBefore w:val="0"/>
        <w:numPr>
          <w:ilvl w:val="0"/>
          <w:numId w:val="0"/>
        </w:numPr>
        <w:overflowPunct/>
        <w:topLinePunct w:val="0"/>
        <w:bidi w:val="0"/>
        <w:spacing w:line="360" w:lineRule="auto"/>
        <w:outlineLvl w:val="1"/>
        <w:rPr>
          <w:rFonts w:hint="eastAsia" w:ascii="宋体" w:hAnsi="宋体" w:eastAsia="宋体" w:cs="宋体"/>
          <w:color w:val="auto"/>
          <w:sz w:val="28"/>
          <w:szCs w:val="28"/>
          <w:lang w:val="en-US" w:eastAsia="zh-CN"/>
        </w:rPr>
      </w:pPr>
    </w:p>
    <w:p w14:paraId="09E6E6A0">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5B40BB02">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4AB4BAE3">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7A5F2E73">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6EF978B5">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442B1A12">
      <w:pPr>
        <w:keepNext w:val="0"/>
        <w:keepLines w:val="0"/>
        <w:pageBreakBefore w:val="0"/>
        <w:overflowPunct/>
        <w:topLinePunct w:val="0"/>
        <w:bidi w:val="0"/>
        <w:spacing w:line="360" w:lineRule="auto"/>
        <w:rPr>
          <w:rFonts w:hint="eastAsia" w:ascii="宋体" w:hAnsi="宋体" w:eastAsia="宋体" w:cs="宋体"/>
          <w:color w:val="auto"/>
          <w:sz w:val="28"/>
          <w:szCs w:val="28"/>
        </w:rPr>
        <w:sectPr>
          <w:pgSz w:w="11900" w:h="16840"/>
          <w:pgMar w:top="1106" w:right="1106" w:bottom="1106" w:left="1106" w:header="0" w:footer="930" w:gutter="0"/>
          <w:pgNumType w:fmt="decimal"/>
          <w:cols w:space="0" w:num="1"/>
          <w:rtlGutter w:val="0"/>
          <w:docGrid w:linePitch="0" w:charSpace="0"/>
        </w:sectPr>
      </w:pPr>
    </w:p>
    <w:p w14:paraId="5B03D843">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44228BF2">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676D2E65">
      <w:pPr>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lang w:val="en-US" w:eastAsia="zh-CN"/>
        </w:rPr>
        <w:t>四、</w:t>
      </w:r>
      <w:r>
        <w:rPr>
          <w:rFonts w:hint="eastAsia" w:ascii="宋体" w:hAnsi="宋体" w:eastAsia="宋体" w:cs="宋体"/>
          <w:b/>
          <w:color w:val="auto"/>
          <w:sz w:val="36"/>
          <w:szCs w:val="36"/>
          <w:highlight w:val="none"/>
        </w:rPr>
        <w:t>技术规格响应表</w:t>
      </w:r>
    </w:p>
    <w:p w14:paraId="05C6C757">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项目编号：</w:t>
      </w:r>
    </w:p>
    <w:tbl>
      <w:tblPr>
        <w:tblStyle w:val="12"/>
        <w:tblW w:w="140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8"/>
        <w:gridCol w:w="1436"/>
        <w:gridCol w:w="4203"/>
        <w:gridCol w:w="4203"/>
        <w:gridCol w:w="1292"/>
        <w:gridCol w:w="1866"/>
      </w:tblGrid>
      <w:tr w14:paraId="17FBA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048" w:type="dxa"/>
            <w:vAlign w:val="center"/>
          </w:tcPr>
          <w:p w14:paraId="0067991D">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编号</w:t>
            </w:r>
          </w:p>
        </w:tc>
        <w:tc>
          <w:tcPr>
            <w:tcW w:w="1436" w:type="dxa"/>
            <w:vAlign w:val="center"/>
          </w:tcPr>
          <w:p w14:paraId="55EE3CE5">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货物名称</w:t>
            </w:r>
          </w:p>
        </w:tc>
        <w:tc>
          <w:tcPr>
            <w:tcW w:w="4203" w:type="dxa"/>
            <w:vAlign w:val="center"/>
          </w:tcPr>
          <w:p w14:paraId="01430638">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采购文件要求</w:t>
            </w:r>
          </w:p>
          <w:p w14:paraId="155796C4">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技术参数、性能指标</w:t>
            </w:r>
          </w:p>
        </w:tc>
        <w:tc>
          <w:tcPr>
            <w:tcW w:w="4203" w:type="dxa"/>
            <w:vAlign w:val="center"/>
          </w:tcPr>
          <w:p w14:paraId="4266B9C4">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供应商提供的详细</w:t>
            </w:r>
          </w:p>
          <w:p w14:paraId="6BE8C53B">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技术参数、性能指标</w:t>
            </w:r>
          </w:p>
        </w:tc>
        <w:tc>
          <w:tcPr>
            <w:tcW w:w="1292" w:type="dxa"/>
            <w:vAlign w:val="center"/>
          </w:tcPr>
          <w:p w14:paraId="2A8D54E3">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响应</w:t>
            </w:r>
          </w:p>
          <w:p w14:paraId="1B59F614">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程度</w:t>
            </w:r>
          </w:p>
        </w:tc>
        <w:tc>
          <w:tcPr>
            <w:tcW w:w="1866" w:type="dxa"/>
            <w:vAlign w:val="center"/>
          </w:tcPr>
          <w:p w14:paraId="348DEC0C">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佐证文件名称</w:t>
            </w:r>
          </w:p>
        </w:tc>
      </w:tr>
      <w:tr w14:paraId="3A81C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1048" w:type="dxa"/>
            <w:vAlign w:val="center"/>
          </w:tcPr>
          <w:p w14:paraId="6A2D594C">
            <w:pPr>
              <w:jc w:val="center"/>
              <w:rPr>
                <w:rFonts w:hint="eastAsia" w:ascii="宋体" w:hAnsi="宋体" w:eastAsia="宋体" w:cs="宋体"/>
                <w:color w:val="auto"/>
                <w:sz w:val="18"/>
                <w:szCs w:val="18"/>
                <w:highlight w:val="none"/>
              </w:rPr>
            </w:pPr>
          </w:p>
        </w:tc>
        <w:tc>
          <w:tcPr>
            <w:tcW w:w="1436" w:type="dxa"/>
            <w:vAlign w:val="center"/>
          </w:tcPr>
          <w:p w14:paraId="4A801E5F">
            <w:pPr>
              <w:jc w:val="center"/>
              <w:rPr>
                <w:rFonts w:hint="eastAsia" w:ascii="宋体" w:hAnsi="宋体" w:eastAsia="宋体" w:cs="宋体"/>
                <w:color w:val="auto"/>
                <w:sz w:val="18"/>
                <w:szCs w:val="18"/>
                <w:highlight w:val="none"/>
              </w:rPr>
            </w:pPr>
          </w:p>
        </w:tc>
        <w:tc>
          <w:tcPr>
            <w:tcW w:w="4203" w:type="dxa"/>
            <w:vAlign w:val="center"/>
          </w:tcPr>
          <w:p w14:paraId="4E617109">
            <w:pPr>
              <w:jc w:val="center"/>
              <w:rPr>
                <w:rFonts w:hint="eastAsia" w:ascii="宋体" w:hAnsi="宋体" w:eastAsia="宋体" w:cs="宋体"/>
                <w:color w:val="auto"/>
                <w:sz w:val="18"/>
                <w:szCs w:val="18"/>
                <w:highlight w:val="none"/>
              </w:rPr>
            </w:pPr>
          </w:p>
        </w:tc>
        <w:tc>
          <w:tcPr>
            <w:tcW w:w="4203" w:type="dxa"/>
            <w:vAlign w:val="center"/>
          </w:tcPr>
          <w:p w14:paraId="4B0AFAC1">
            <w:pPr>
              <w:jc w:val="center"/>
              <w:rPr>
                <w:rFonts w:hint="eastAsia" w:ascii="宋体" w:hAnsi="宋体" w:eastAsia="宋体" w:cs="宋体"/>
                <w:color w:val="auto"/>
                <w:sz w:val="18"/>
                <w:szCs w:val="18"/>
                <w:highlight w:val="none"/>
              </w:rPr>
            </w:pPr>
          </w:p>
        </w:tc>
        <w:tc>
          <w:tcPr>
            <w:tcW w:w="1292" w:type="dxa"/>
            <w:vAlign w:val="center"/>
          </w:tcPr>
          <w:p w14:paraId="350A561C">
            <w:pPr>
              <w:jc w:val="center"/>
              <w:rPr>
                <w:rFonts w:hint="eastAsia" w:ascii="宋体" w:hAnsi="宋体" w:eastAsia="宋体" w:cs="宋体"/>
                <w:color w:val="auto"/>
                <w:sz w:val="18"/>
                <w:szCs w:val="18"/>
                <w:highlight w:val="none"/>
              </w:rPr>
            </w:pPr>
          </w:p>
        </w:tc>
        <w:tc>
          <w:tcPr>
            <w:tcW w:w="1866" w:type="dxa"/>
            <w:vAlign w:val="center"/>
          </w:tcPr>
          <w:p w14:paraId="24A371CF">
            <w:pPr>
              <w:jc w:val="center"/>
              <w:rPr>
                <w:rFonts w:hint="eastAsia" w:ascii="宋体" w:hAnsi="宋体" w:eastAsia="宋体" w:cs="宋体"/>
                <w:color w:val="auto"/>
                <w:sz w:val="18"/>
                <w:szCs w:val="18"/>
                <w:highlight w:val="none"/>
              </w:rPr>
            </w:pPr>
          </w:p>
        </w:tc>
      </w:tr>
      <w:tr w14:paraId="0B748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1048" w:type="dxa"/>
            <w:vAlign w:val="center"/>
          </w:tcPr>
          <w:p w14:paraId="4945BAD7">
            <w:pPr>
              <w:jc w:val="center"/>
              <w:rPr>
                <w:rFonts w:hint="eastAsia" w:ascii="宋体" w:hAnsi="宋体" w:eastAsia="宋体" w:cs="宋体"/>
                <w:color w:val="auto"/>
                <w:sz w:val="18"/>
                <w:szCs w:val="18"/>
                <w:highlight w:val="none"/>
              </w:rPr>
            </w:pPr>
          </w:p>
        </w:tc>
        <w:tc>
          <w:tcPr>
            <w:tcW w:w="1436" w:type="dxa"/>
            <w:vAlign w:val="center"/>
          </w:tcPr>
          <w:p w14:paraId="00A35279">
            <w:pPr>
              <w:jc w:val="center"/>
              <w:rPr>
                <w:rFonts w:hint="eastAsia" w:ascii="宋体" w:hAnsi="宋体" w:eastAsia="宋体" w:cs="宋体"/>
                <w:color w:val="auto"/>
                <w:sz w:val="18"/>
                <w:szCs w:val="18"/>
                <w:highlight w:val="none"/>
              </w:rPr>
            </w:pPr>
          </w:p>
        </w:tc>
        <w:tc>
          <w:tcPr>
            <w:tcW w:w="4203" w:type="dxa"/>
            <w:vAlign w:val="center"/>
          </w:tcPr>
          <w:p w14:paraId="779C6359">
            <w:pPr>
              <w:jc w:val="center"/>
              <w:rPr>
                <w:rFonts w:hint="eastAsia" w:ascii="宋体" w:hAnsi="宋体" w:eastAsia="宋体" w:cs="宋体"/>
                <w:color w:val="auto"/>
                <w:sz w:val="18"/>
                <w:szCs w:val="18"/>
                <w:highlight w:val="none"/>
              </w:rPr>
            </w:pPr>
          </w:p>
        </w:tc>
        <w:tc>
          <w:tcPr>
            <w:tcW w:w="4203" w:type="dxa"/>
            <w:vAlign w:val="center"/>
          </w:tcPr>
          <w:p w14:paraId="380411B1">
            <w:pPr>
              <w:jc w:val="center"/>
              <w:rPr>
                <w:rFonts w:hint="eastAsia" w:ascii="宋体" w:hAnsi="宋体" w:eastAsia="宋体" w:cs="宋体"/>
                <w:color w:val="auto"/>
                <w:sz w:val="18"/>
                <w:szCs w:val="18"/>
                <w:highlight w:val="none"/>
              </w:rPr>
            </w:pPr>
          </w:p>
        </w:tc>
        <w:tc>
          <w:tcPr>
            <w:tcW w:w="1292" w:type="dxa"/>
            <w:vAlign w:val="center"/>
          </w:tcPr>
          <w:p w14:paraId="697AC73A">
            <w:pPr>
              <w:jc w:val="center"/>
              <w:rPr>
                <w:rFonts w:hint="eastAsia" w:ascii="宋体" w:hAnsi="宋体" w:eastAsia="宋体" w:cs="宋体"/>
                <w:color w:val="auto"/>
                <w:sz w:val="18"/>
                <w:szCs w:val="18"/>
                <w:highlight w:val="none"/>
              </w:rPr>
            </w:pPr>
          </w:p>
        </w:tc>
        <w:tc>
          <w:tcPr>
            <w:tcW w:w="1866" w:type="dxa"/>
            <w:vAlign w:val="center"/>
          </w:tcPr>
          <w:p w14:paraId="51960F33">
            <w:pPr>
              <w:jc w:val="center"/>
              <w:rPr>
                <w:rFonts w:hint="eastAsia" w:ascii="宋体" w:hAnsi="宋体" w:eastAsia="宋体" w:cs="宋体"/>
                <w:color w:val="auto"/>
                <w:sz w:val="18"/>
                <w:szCs w:val="18"/>
                <w:highlight w:val="none"/>
              </w:rPr>
            </w:pPr>
          </w:p>
        </w:tc>
      </w:tr>
      <w:tr w14:paraId="55ADB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1048" w:type="dxa"/>
            <w:vAlign w:val="center"/>
          </w:tcPr>
          <w:p w14:paraId="03C4E2A1">
            <w:pPr>
              <w:jc w:val="center"/>
              <w:rPr>
                <w:rFonts w:hint="eastAsia" w:ascii="宋体" w:hAnsi="宋体" w:eastAsia="宋体" w:cs="宋体"/>
                <w:color w:val="auto"/>
                <w:sz w:val="18"/>
                <w:szCs w:val="18"/>
                <w:highlight w:val="none"/>
              </w:rPr>
            </w:pPr>
          </w:p>
        </w:tc>
        <w:tc>
          <w:tcPr>
            <w:tcW w:w="1436" w:type="dxa"/>
            <w:vAlign w:val="center"/>
          </w:tcPr>
          <w:p w14:paraId="0624D920">
            <w:pPr>
              <w:jc w:val="center"/>
              <w:rPr>
                <w:rFonts w:hint="eastAsia" w:ascii="宋体" w:hAnsi="宋体" w:eastAsia="宋体" w:cs="宋体"/>
                <w:color w:val="auto"/>
                <w:sz w:val="18"/>
                <w:szCs w:val="18"/>
                <w:highlight w:val="none"/>
              </w:rPr>
            </w:pPr>
          </w:p>
        </w:tc>
        <w:tc>
          <w:tcPr>
            <w:tcW w:w="4203" w:type="dxa"/>
            <w:vAlign w:val="center"/>
          </w:tcPr>
          <w:p w14:paraId="14EB462D">
            <w:pPr>
              <w:jc w:val="center"/>
              <w:rPr>
                <w:rFonts w:hint="eastAsia" w:ascii="宋体" w:hAnsi="宋体" w:eastAsia="宋体" w:cs="宋体"/>
                <w:color w:val="auto"/>
                <w:sz w:val="18"/>
                <w:szCs w:val="18"/>
                <w:highlight w:val="none"/>
              </w:rPr>
            </w:pPr>
          </w:p>
        </w:tc>
        <w:tc>
          <w:tcPr>
            <w:tcW w:w="4203" w:type="dxa"/>
            <w:vAlign w:val="center"/>
          </w:tcPr>
          <w:p w14:paraId="5B135A75">
            <w:pPr>
              <w:jc w:val="center"/>
              <w:rPr>
                <w:rFonts w:hint="eastAsia" w:ascii="宋体" w:hAnsi="宋体" w:eastAsia="宋体" w:cs="宋体"/>
                <w:color w:val="auto"/>
                <w:sz w:val="18"/>
                <w:szCs w:val="18"/>
                <w:highlight w:val="none"/>
              </w:rPr>
            </w:pPr>
          </w:p>
        </w:tc>
        <w:tc>
          <w:tcPr>
            <w:tcW w:w="1292" w:type="dxa"/>
            <w:vAlign w:val="center"/>
          </w:tcPr>
          <w:p w14:paraId="62D6DE35">
            <w:pPr>
              <w:jc w:val="center"/>
              <w:rPr>
                <w:rFonts w:hint="eastAsia" w:ascii="宋体" w:hAnsi="宋体" w:eastAsia="宋体" w:cs="宋体"/>
                <w:color w:val="auto"/>
                <w:sz w:val="18"/>
                <w:szCs w:val="18"/>
                <w:highlight w:val="none"/>
              </w:rPr>
            </w:pPr>
          </w:p>
        </w:tc>
        <w:tc>
          <w:tcPr>
            <w:tcW w:w="1866" w:type="dxa"/>
            <w:vAlign w:val="center"/>
          </w:tcPr>
          <w:p w14:paraId="1AC2FC6C">
            <w:pPr>
              <w:jc w:val="center"/>
              <w:rPr>
                <w:rFonts w:hint="eastAsia" w:ascii="宋体" w:hAnsi="宋体" w:eastAsia="宋体" w:cs="宋体"/>
                <w:color w:val="auto"/>
                <w:sz w:val="18"/>
                <w:szCs w:val="18"/>
                <w:highlight w:val="none"/>
              </w:rPr>
            </w:pPr>
          </w:p>
        </w:tc>
      </w:tr>
    </w:tbl>
    <w:p w14:paraId="0A3834A0">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法定代表人或被授权人：（签字或盖章）</w:t>
      </w:r>
    </w:p>
    <w:p w14:paraId="562589D1">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供应商名称加盖公章：</w:t>
      </w:r>
    </w:p>
    <w:p w14:paraId="2932DCA8">
      <w:pPr>
        <w:widowControl w:val="0"/>
        <w:kinsoku/>
        <w:autoSpaceDE/>
        <w:autoSpaceDN/>
        <w:adjustRightInd/>
        <w:snapToGrid/>
        <w:spacing w:line="44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说明：</w:t>
      </w:r>
    </w:p>
    <w:p w14:paraId="7CBF1F9E">
      <w:pPr>
        <w:widowControl w:val="0"/>
        <w:kinsoku/>
        <w:autoSpaceDE/>
        <w:autoSpaceDN/>
        <w:adjustRightInd/>
        <w:snapToGrid/>
        <w:spacing w:line="440" w:lineRule="exact"/>
        <w:ind w:firstLine="560" w:firstLineChars="200"/>
        <w:textAlignment w:val="auto"/>
        <w:rPr>
          <w:rFonts w:hint="eastAsia" w:ascii="宋体" w:hAnsi="宋体" w:eastAsia="宋体" w:cs="宋体"/>
          <w:b/>
          <w:color w:val="auto"/>
          <w:kern w:val="2"/>
          <w:sz w:val="32"/>
          <w:szCs w:val="32"/>
          <w:highlight w:val="none"/>
          <w:lang w:val="en-US" w:eastAsia="zh-CN" w:bidi="ar-SA"/>
        </w:rPr>
        <w:sectPr>
          <w:pgSz w:w="16840" w:h="11900" w:orient="landscape"/>
          <w:pgMar w:top="1106" w:right="1106" w:bottom="1106" w:left="1106" w:header="0" w:footer="930" w:gutter="0"/>
          <w:pgNumType w:fmt="decimal"/>
          <w:cols w:space="0" w:num="1"/>
          <w:rtlGutter w:val="0"/>
          <w:docGrid w:linePitch="0" w:charSpace="0"/>
        </w:sectPr>
      </w:pPr>
      <w:r>
        <w:rPr>
          <w:rFonts w:hint="eastAsia" w:ascii="宋体" w:hAnsi="宋体" w:eastAsia="宋体" w:cs="宋体"/>
          <w:color w:val="auto"/>
          <w:sz w:val="28"/>
          <w:szCs w:val="28"/>
          <w:highlight w:val="none"/>
        </w:rPr>
        <w:t>1.此表用作评审，供应商应按照“采购内容与技术要求”中确定的技术参数与配置要求，将投标产品的技术参数和性能指标逐一列出，以证明投标产品对采购文件要求的技术参数和性能指标做出实质性响应。应注明“响应”、“优于”或“负偏离”。 2.佐证文件名称：系指能为投标产品提供技术参数佐证或进一步提供证据的文件、资料名称。</w:t>
      </w:r>
    </w:p>
    <w:p w14:paraId="6A2B42BC">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3ACF1CC3">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（以下格式文件由供应商根据需要选用）</w:t>
      </w:r>
    </w:p>
    <w:p w14:paraId="3A4C2795">
      <w:pPr>
        <w:keepNext w:val="0"/>
        <w:keepLines w:val="0"/>
        <w:pageBreakBefore w:val="0"/>
        <w:overflowPunct/>
        <w:topLinePunct w:val="0"/>
        <w:bidi w:val="0"/>
        <w:spacing w:line="360" w:lineRule="auto"/>
        <w:jc w:val="center"/>
        <w:outlineLvl w:val="1"/>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五</w:t>
      </w:r>
      <w:r>
        <w:rPr>
          <w:rFonts w:hint="eastAsia" w:ascii="宋体" w:hAnsi="宋体" w:eastAsia="宋体" w:cs="宋体"/>
          <w:color w:val="auto"/>
          <w:sz w:val="28"/>
          <w:szCs w:val="28"/>
        </w:rPr>
        <w:t>、授权委托书</w:t>
      </w:r>
    </w:p>
    <w:p w14:paraId="1E0E631D">
      <w:pPr>
        <w:keepNext w:val="0"/>
        <w:keepLines w:val="0"/>
        <w:pageBreakBefore w:val="0"/>
        <w:overflowPunct/>
        <w:topLinePunct w:val="0"/>
        <w:bidi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本人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（姓名）系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（供应商名称）的法定代表人，现委托</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（姓名）为我方代理人，参加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（项目名称）的采购，项目编号：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。代理人根据授权，以我方名义签署、澄清确认、递交、撤回、修改谈判项目响应文件、签订合同和处理有关事宜，其法律后果由我方承担。</w:t>
      </w:r>
    </w:p>
    <w:p w14:paraId="2482E281">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委托期限：_________</w:t>
      </w:r>
    </w:p>
    <w:p w14:paraId="6E20E232">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代理人无转委托权。</w:t>
      </w:r>
    </w:p>
    <w:p w14:paraId="6A359294">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投 标 人（盖章）：                  </w:t>
      </w:r>
    </w:p>
    <w:p w14:paraId="6A8CCA53">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法定代表人（签字）：                 </w:t>
      </w:r>
    </w:p>
    <w:p w14:paraId="23A6CEAD">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授权委托人（签字）：                  </w:t>
      </w:r>
    </w:p>
    <w:tbl>
      <w:tblPr>
        <w:tblStyle w:val="14"/>
        <w:tblW w:w="9592" w:type="dxa"/>
        <w:tblInd w:w="6"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0" w:type="dxa"/>
          <w:left w:w="0" w:type="dxa"/>
          <w:bottom w:w="0" w:type="dxa"/>
          <w:right w:w="0" w:type="dxa"/>
        </w:tblCellMar>
      </w:tblPr>
      <w:tblGrid>
        <w:gridCol w:w="4892"/>
        <w:gridCol w:w="4700"/>
      </w:tblGrid>
      <w:tr w14:paraId="316332DB">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PrEx>
        <w:trPr>
          <w:trHeight w:val="2404" w:hRule="atLeast"/>
        </w:trPr>
        <w:tc>
          <w:tcPr>
            <w:tcW w:w="4892" w:type="dxa"/>
            <w:vAlign w:val="top"/>
          </w:tcPr>
          <w:p w14:paraId="61847236">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法定代表人身份证扫描件</w:t>
            </w:r>
          </w:p>
          <w:p w14:paraId="728BF2D6">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正面</w:t>
            </w:r>
          </w:p>
        </w:tc>
        <w:tc>
          <w:tcPr>
            <w:tcW w:w="4700" w:type="dxa"/>
            <w:vAlign w:val="top"/>
          </w:tcPr>
          <w:p w14:paraId="66574F9A">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法定代表人身份证扫描件</w:t>
            </w:r>
          </w:p>
          <w:p w14:paraId="5BEED943">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反面</w:t>
            </w:r>
          </w:p>
        </w:tc>
      </w:tr>
      <w:tr w14:paraId="1B07984F">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2415" w:hRule="atLeast"/>
        </w:trPr>
        <w:tc>
          <w:tcPr>
            <w:tcW w:w="4892" w:type="dxa"/>
            <w:vAlign w:val="top"/>
          </w:tcPr>
          <w:p w14:paraId="5DBA96E2">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授权委托人身份证扫描件</w:t>
            </w:r>
          </w:p>
          <w:p w14:paraId="289ADE4F">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正面</w:t>
            </w:r>
          </w:p>
        </w:tc>
        <w:tc>
          <w:tcPr>
            <w:tcW w:w="4700" w:type="dxa"/>
            <w:vAlign w:val="top"/>
          </w:tcPr>
          <w:p w14:paraId="0F11B192">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授权委托人身份证扫描件</w:t>
            </w:r>
          </w:p>
          <w:p w14:paraId="33C8632F">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反面</w:t>
            </w:r>
          </w:p>
        </w:tc>
      </w:tr>
    </w:tbl>
    <w:p w14:paraId="08331347">
      <w:pPr>
        <w:keepNext w:val="0"/>
        <w:keepLines w:val="0"/>
        <w:pageBreakBefore w:val="0"/>
        <w:overflowPunct/>
        <w:topLinePunct w:val="0"/>
        <w:bidi w:val="0"/>
        <w:spacing w:line="360" w:lineRule="auto"/>
        <w:jc w:val="right"/>
        <w:rPr>
          <w:rFonts w:hint="eastAsia" w:ascii="宋体" w:hAnsi="宋体" w:eastAsia="宋体" w:cs="宋体"/>
          <w:color w:val="auto"/>
          <w:sz w:val="28"/>
          <w:szCs w:val="28"/>
        </w:rPr>
      </w:pPr>
      <w:r>
        <w:rPr>
          <w:rFonts w:hint="eastAsia" w:ascii="宋体" w:hAnsi="宋体" w:eastAsia="宋体" w:cs="宋体"/>
          <w:color w:val="auto"/>
          <w:sz w:val="28"/>
          <w:szCs w:val="28"/>
        </w:rPr>
        <w:tab/>
      </w:r>
      <w:r>
        <w:rPr>
          <w:rFonts w:hint="eastAsia" w:ascii="宋体" w:hAnsi="宋体" w:eastAsia="宋体" w:cs="宋体"/>
          <w:color w:val="auto"/>
          <w:sz w:val="28"/>
          <w:szCs w:val="28"/>
        </w:rPr>
        <w:t xml:space="preserve"> 年       月       日</w:t>
      </w:r>
    </w:p>
    <w:p w14:paraId="702CC82F">
      <w:pPr>
        <w:keepNext w:val="0"/>
        <w:keepLines w:val="0"/>
        <w:pageBreakBefore w:val="0"/>
        <w:overflowPunct/>
        <w:topLinePunct w:val="0"/>
        <w:bidi w:val="0"/>
        <w:spacing w:line="360" w:lineRule="auto"/>
        <w:rPr>
          <w:rFonts w:hint="eastAsia" w:ascii="宋体" w:hAnsi="宋体" w:eastAsia="宋体" w:cs="宋体"/>
          <w:color w:val="auto"/>
          <w:sz w:val="28"/>
          <w:szCs w:val="28"/>
        </w:rPr>
        <w:sectPr>
          <w:footerReference r:id="rId21" w:type="default"/>
          <w:pgSz w:w="11900" w:h="16840"/>
          <w:pgMar w:top="1440" w:right="1080" w:bottom="1440" w:left="1080" w:header="0" w:footer="0" w:gutter="0"/>
          <w:pgNumType w:fmt="decimal"/>
          <w:cols w:space="720" w:num="1"/>
        </w:sectPr>
      </w:pPr>
    </w:p>
    <w:p w14:paraId="70ED969F">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（以下格式文件由供应商根据需要选用）</w:t>
      </w:r>
    </w:p>
    <w:p w14:paraId="6CF6B753">
      <w:pPr>
        <w:keepNext w:val="0"/>
        <w:keepLines w:val="0"/>
        <w:pageBreakBefore w:val="0"/>
        <w:overflowPunct/>
        <w:topLinePunct w:val="0"/>
        <w:bidi w:val="0"/>
        <w:spacing w:line="360" w:lineRule="auto"/>
        <w:outlineLvl w:val="1"/>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六</w:t>
      </w:r>
      <w:r>
        <w:rPr>
          <w:rFonts w:hint="eastAsia" w:ascii="宋体" w:hAnsi="宋体" w:eastAsia="宋体" w:cs="宋体"/>
          <w:color w:val="auto"/>
          <w:sz w:val="28"/>
          <w:szCs w:val="28"/>
        </w:rPr>
        <w:t>、缴纳保证金证明材料</w:t>
      </w:r>
    </w:p>
    <w:p w14:paraId="17B9F812">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供应商应提供缴纳保证金的证明材料原件扫描件。</w:t>
      </w:r>
    </w:p>
    <w:p w14:paraId="0D3300BE">
      <w:pPr>
        <w:keepNext w:val="0"/>
        <w:keepLines w:val="0"/>
        <w:pageBreakBefore w:val="0"/>
        <w:overflowPunct/>
        <w:topLinePunct w:val="0"/>
        <w:bidi w:val="0"/>
        <w:spacing w:line="360" w:lineRule="auto"/>
        <w:rPr>
          <w:rFonts w:hint="eastAsia" w:ascii="宋体" w:hAnsi="宋体" w:eastAsia="宋体" w:cs="宋体"/>
          <w:color w:val="auto"/>
          <w:sz w:val="28"/>
          <w:szCs w:val="28"/>
        </w:rPr>
        <w:sectPr>
          <w:footerReference r:id="rId22" w:type="default"/>
          <w:pgSz w:w="11900" w:h="16840"/>
          <w:pgMar w:top="1440" w:right="1080" w:bottom="1440" w:left="1080" w:header="0" w:footer="0" w:gutter="0"/>
          <w:pgNumType w:fmt="decimal"/>
          <w:cols w:space="720" w:num="1"/>
        </w:sectPr>
      </w:pPr>
    </w:p>
    <w:p w14:paraId="1C0E62CB">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七</w:t>
      </w:r>
      <w:r>
        <w:rPr>
          <w:rFonts w:hint="eastAsia" w:ascii="宋体" w:hAnsi="宋体" w:eastAsia="宋体" w:cs="宋体"/>
          <w:color w:val="auto"/>
          <w:sz w:val="28"/>
          <w:szCs w:val="28"/>
        </w:rPr>
        <w:t>、供应商基本情况表</w:t>
      </w:r>
    </w:p>
    <w:tbl>
      <w:tblPr>
        <w:tblStyle w:val="14"/>
        <w:tblW w:w="957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58"/>
        <w:gridCol w:w="3014"/>
        <w:gridCol w:w="1601"/>
        <w:gridCol w:w="2905"/>
      </w:tblGrid>
      <w:tr w14:paraId="11BAE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2058" w:type="dxa"/>
            <w:vAlign w:val="top"/>
          </w:tcPr>
          <w:p w14:paraId="09CA3875">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供应商名称</w:t>
            </w:r>
          </w:p>
        </w:tc>
        <w:tc>
          <w:tcPr>
            <w:tcW w:w="3014" w:type="dxa"/>
            <w:vAlign w:val="top"/>
          </w:tcPr>
          <w:p w14:paraId="1912C94E">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1601" w:type="dxa"/>
            <w:vAlign w:val="top"/>
          </w:tcPr>
          <w:p w14:paraId="7CE99046">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注册资金</w:t>
            </w:r>
          </w:p>
        </w:tc>
        <w:tc>
          <w:tcPr>
            <w:tcW w:w="2905" w:type="dxa"/>
            <w:vAlign w:val="top"/>
          </w:tcPr>
          <w:p w14:paraId="4B5289EB">
            <w:pPr>
              <w:keepNext w:val="0"/>
              <w:keepLines w:val="0"/>
              <w:pageBreakBefore w:val="0"/>
              <w:overflowPunct/>
              <w:topLinePunct w:val="0"/>
              <w:bidi w:val="0"/>
              <w:spacing w:line="360" w:lineRule="auto"/>
              <w:rPr>
                <w:rFonts w:hint="eastAsia" w:ascii="宋体" w:hAnsi="宋体" w:eastAsia="宋体" w:cs="宋体"/>
                <w:color w:val="auto"/>
                <w:sz w:val="28"/>
                <w:szCs w:val="28"/>
              </w:rPr>
            </w:pPr>
          </w:p>
        </w:tc>
      </w:tr>
      <w:tr w14:paraId="6DEC9B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2058" w:type="dxa"/>
            <w:vAlign w:val="top"/>
          </w:tcPr>
          <w:p w14:paraId="322A961F">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注册地</w:t>
            </w:r>
          </w:p>
        </w:tc>
        <w:tc>
          <w:tcPr>
            <w:tcW w:w="3014" w:type="dxa"/>
            <w:vAlign w:val="top"/>
          </w:tcPr>
          <w:p w14:paraId="4B1D00B5">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1601" w:type="dxa"/>
            <w:vAlign w:val="top"/>
          </w:tcPr>
          <w:p w14:paraId="162F99A2">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注册时间</w:t>
            </w:r>
          </w:p>
        </w:tc>
        <w:tc>
          <w:tcPr>
            <w:tcW w:w="2905" w:type="dxa"/>
            <w:vAlign w:val="top"/>
          </w:tcPr>
          <w:p w14:paraId="64EAD09D">
            <w:pPr>
              <w:keepNext w:val="0"/>
              <w:keepLines w:val="0"/>
              <w:pageBreakBefore w:val="0"/>
              <w:overflowPunct/>
              <w:topLinePunct w:val="0"/>
              <w:bidi w:val="0"/>
              <w:spacing w:line="360" w:lineRule="auto"/>
              <w:rPr>
                <w:rFonts w:hint="eastAsia" w:ascii="宋体" w:hAnsi="宋体" w:eastAsia="宋体" w:cs="宋体"/>
                <w:color w:val="auto"/>
                <w:sz w:val="28"/>
                <w:szCs w:val="28"/>
              </w:rPr>
            </w:pPr>
          </w:p>
        </w:tc>
      </w:tr>
      <w:tr w14:paraId="21B31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2058" w:type="dxa"/>
            <w:vAlign w:val="top"/>
          </w:tcPr>
          <w:p w14:paraId="3AD46469">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法定代表人</w:t>
            </w:r>
          </w:p>
        </w:tc>
        <w:tc>
          <w:tcPr>
            <w:tcW w:w="3014" w:type="dxa"/>
            <w:vAlign w:val="top"/>
          </w:tcPr>
          <w:p w14:paraId="20843246">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1601" w:type="dxa"/>
            <w:vAlign w:val="top"/>
          </w:tcPr>
          <w:p w14:paraId="211586AF">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联系电话</w:t>
            </w:r>
          </w:p>
        </w:tc>
        <w:tc>
          <w:tcPr>
            <w:tcW w:w="2905" w:type="dxa"/>
            <w:vAlign w:val="top"/>
          </w:tcPr>
          <w:p w14:paraId="00F9F757">
            <w:pPr>
              <w:keepNext w:val="0"/>
              <w:keepLines w:val="0"/>
              <w:pageBreakBefore w:val="0"/>
              <w:overflowPunct/>
              <w:topLinePunct w:val="0"/>
              <w:bidi w:val="0"/>
              <w:spacing w:line="360" w:lineRule="auto"/>
              <w:rPr>
                <w:rFonts w:hint="eastAsia" w:ascii="宋体" w:hAnsi="宋体" w:eastAsia="宋体" w:cs="宋体"/>
                <w:color w:val="auto"/>
                <w:sz w:val="28"/>
                <w:szCs w:val="28"/>
              </w:rPr>
            </w:pPr>
          </w:p>
        </w:tc>
      </w:tr>
      <w:tr w14:paraId="6F0983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2058" w:type="dxa"/>
            <w:vAlign w:val="top"/>
          </w:tcPr>
          <w:p w14:paraId="19BBBFD3">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技术负责人</w:t>
            </w:r>
          </w:p>
        </w:tc>
        <w:tc>
          <w:tcPr>
            <w:tcW w:w="3014" w:type="dxa"/>
            <w:vAlign w:val="top"/>
          </w:tcPr>
          <w:p w14:paraId="10AFEDC9">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1601" w:type="dxa"/>
            <w:vAlign w:val="top"/>
          </w:tcPr>
          <w:p w14:paraId="45C03743">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联系电话</w:t>
            </w:r>
          </w:p>
        </w:tc>
        <w:tc>
          <w:tcPr>
            <w:tcW w:w="2905" w:type="dxa"/>
            <w:vAlign w:val="top"/>
          </w:tcPr>
          <w:p w14:paraId="7B995A1D">
            <w:pPr>
              <w:keepNext w:val="0"/>
              <w:keepLines w:val="0"/>
              <w:pageBreakBefore w:val="0"/>
              <w:overflowPunct/>
              <w:topLinePunct w:val="0"/>
              <w:bidi w:val="0"/>
              <w:spacing w:line="360" w:lineRule="auto"/>
              <w:rPr>
                <w:rFonts w:hint="eastAsia" w:ascii="宋体" w:hAnsi="宋体" w:eastAsia="宋体" w:cs="宋体"/>
                <w:color w:val="auto"/>
                <w:sz w:val="28"/>
                <w:szCs w:val="28"/>
              </w:rPr>
            </w:pPr>
          </w:p>
        </w:tc>
      </w:tr>
      <w:tr w14:paraId="5AA86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2058" w:type="dxa"/>
            <w:vAlign w:val="top"/>
          </w:tcPr>
          <w:p w14:paraId="1DDD8F90">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开户银行</w:t>
            </w:r>
          </w:p>
        </w:tc>
        <w:tc>
          <w:tcPr>
            <w:tcW w:w="7520" w:type="dxa"/>
            <w:gridSpan w:val="3"/>
            <w:vAlign w:val="top"/>
          </w:tcPr>
          <w:p w14:paraId="17720296">
            <w:pPr>
              <w:keepNext w:val="0"/>
              <w:keepLines w:val="0"/>
              <w:pageBreakBefore w:val="0"/>
              <w:overflowPunct/>
              <w:topLinePunct w:val="0"/>
              <w:bidi w:val="0"/>
              <w:spacing w:line="360" w:lineRule="auto"/>
              <w:rPr>
                <w:rFonts w:hint="eastAsia" w:ascii="宋体" w:hAnsi="宋体" w:eastAsia="宋体" w:cs="宋体"/>
                <w:color w:val="auto"/>
                <w:sz w:val="28"/>
                <w:szCs w:val="28"/>
              </w:rPr>
            </w:pPr>
          </w:p>
        </w:tc>
      </w:tr>
      <w:tr w14:paraId="18E1A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2058" w:type="dxa"/>
            <w:vAlign w:val="top"/>
          </w:tcPr>
          <w:p w14:paraId="2416C5F2">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开户银行账号</w:t>
            </w:r>
          </w:p>
        </w:tc>
        <w:tc>
          <w:tcPr>
            <w:tcW w:w="7520" w:type="dxa"/>
            <w:gridSpan w:val="3"/>
            <w:vAlign w:val="top"/>
          </w:tcPr>
          <w:p w14:paraId="68E579EF">
            <w:pPr>
              <w:keepNext w:val="0"/>
              <w:keepLines w:val="0"/>
              <w:pageBreakBefore w:val="0"/>
              <w:overflowPunct/>
              <w:topLinePunct w:val="0"/>
              <w:bidi w:val="0"/>
              <w:spacing w:line="360" w:lineRule="auto"/>
              <w:rPr>
                <w:rFonts w:hint="eastAsia" w:ascii="宋体" w:hAnsi="宋体" w:eastAsia="宋体" w:cs="宋体"/>
                <w:color w:val="auto"/>
                <w:sz w:val="28"/>
                <w:szCs w:val="28"/>
              </w:rPr>
            </w:pPr>
          </w:p>
        </w:tc>
      </w:tr>
      <w:tr w14:paraId="341F9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9578" w:type="dxa"/>
            <w:gridSpan w:val="4"/>
            <w:vAlign w:val="top"/>
          </w:tcPr>
          <w:p w14:paraId="02BD790C">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主营范围：</w:t>
            </w:r>
          </w:p>
        </w:tc>
      </w:tr>
      <w:tr w14:paraId="3DF21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9578" w:type="dxa"/>
            <w:gridSpan w:val="4"/>
            <w:vAlign w:val="top"/>
          </w:tcPr>
          <w:p w14:paraId="21A0AC3A">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企业资质：</w:t>
            </w:r>
          </w:p>
        </w:tc>
      </w:tr>
    </w:tbl>
    <w:p w14:paraId="636FBE93">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2E1C937F">
      <w:pPr>
        <w:keepNext w:val="0"/>
        <w:keepLines w:val="0"/>
        <w:pageBreakBefore w:val="0"/>
        <w:overflowPunct/>
        <w:topLinePunct w:val="0"/>
        <w:bidi w:val="0"/>
        <w:spacing w:line="360" w:lineRule="auto"/>
        <w:rPr>
          <w:rFonts w:hint="eastAsia" w:ascii="宋体" w:hAnsi="宋体" w:eastAsia="宋体" w:cs="宋体"/>
          <w:color w:val="auto"/>
          <w:sz w:val="28"/>
          <w:szCs w:val="28"/>
        </w:rPr>
        <w:sectPr>
          <w:footerReference r:id="rId23" w:type="default"/>
          <w:pgSz w:w="11900" w:h="16840"/>
          <w:pgMar w:top="1440" w:right="1080" w:bottom="1440" w:left="1080" w:header="0" w:footer="0" w:gutter="0"/>
          <w:pgNumType w:fmt="decimal"/>
          <w:cols w:space="720" w:num="1"/>
        </w:sectPr>
      </w:pPr>
    </w:p>
    <w:p w14:paraId="14AF08E3">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八</w:t>
      </w:r>
      <w:r>
        <w:rPr>
          <w:rFonts w:hint="eastAsia" w:ascii="宋体" w:hAnsi="宋体" w:eastAsia="宋体" w:cs="宋体"/>
          <w:color w:val="auto"/>
          <w:sz w:val="28"/>
          <w:szCs w:val="28"/>
        </w:rPr>
        <w:t>、具有独立承担民事责任的能力的证明材料</w:t>
      </w:r>
    </w:p>
    <w:p w14:paraId="44FB8E6F">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供应商为法人或者其他组织的，提供营业执照等证明文件；供应商为自然人的，提供身份证明。</w:t>
      </w:r>
    </w:p>
    <w:p w14:paraId="39D64358">
      <w:pPr>
        <w:keepNext w:val="0"/>
        <w:keepLines w:val="0"/>
        <w:pageBreakBefore w:val="0"/>
        <w:overflowPunct/>
        <w:topLinePunct w:val="0"/>
        <w:bidi w:val="0"/>
        <w:spacing w:line="360" w:lineRule="auto"/>
        <w:rPr>
          <w:rFonts w:hint="eastAsia" w:ascii="宋体" w:hAnsi="宋体" w:eastAsia="宋体" w:cs="宋体"/>
          <w:color w:val="auto"/>
          <w:sz w:val="28"/>
          <w:szCs w:val="28"/>
        </w:rPr>
        <w:sectPr>
          <w:footerReference r:id="rId24" w:type="default"/>
          <w:pgSz w:w="11900" w:h="16840"/>
          <w:pgMar w:top="1440" w:right="1080" w:bottom="1440" w:left="1080" w:header="0" w:footer="0" w:gutter="0"/>
          <w:pgNumType w:fmt="decimal"/>
          <w:cols w:space="720" w:num="1"/>
        </w:sectPr>
      </w:pPr>
    </w:p>
    <w:p w14:paraId="5FFFE0B1">
      <w:pPr>
        <w:keepNext w:val="0"/>
        <w:keepLines w:val="0"/>
        <w:pageBreakBefore w:val="0"/>
        <w:overflowPunct/>
        <w:topLinePunct w:val="0"/>
        <w:bidi w:val="0"/>
        <w:spacing w:line="360" w:lineRule="auto"/>
        <w:outlineLvl w:val="1"/>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九</w:t>
      </w:r>
      <w:r>
        <w:rPr>
          <w:rFonts w:hint="eastAsia" w:ascii="宋体" w:hAnsi="宋体" w:eastAsia="宋体" w:cs="宋体"/>
          <w:color w:val="auto"/>
          <w:sz w:val="28"/>
          <w:szCs w:val="28"/>
        </w:rPr>
        <w:t>、具有良好的商业信誉和健全的财务会计制度的相关材料</w:t>
      </w:r>
    </w:p>
    <w:p w14:paraId="1F425268">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供应商提供具有良好的商业信誉和健全的财务会计制度的相关材料。</w:t>
      </w:r>
    </w:p>
    <w:p w14:paraId="1A6981F4">
      <w:pPr>
        <w:keepNext w:val="0"/>
        <w:keepLines w:val="0"/>
        <w:pageBreakBefore w:val="0"/>
        <w:overflowPunct/>
        <w:topLinePunct w:val="0"/>
        <w:bidi w:val="0"/>
        <w:spacing w:line="360" w:lineRule="auto"/>
        <w:rPr>
          <w:rFonts w:hint="eastAsia" w:ascii="宋体" w:hAnsi="宋体" w:eastAsia="宋体" w:cs="宋体"/>
          <w:color w:val="auto"/>
          <w:sz w:val="28"/>
          <w:szCs w:val="28"/>
        </w:rPr>
        <w:sectPr>
          <w:footerReference r:id="rId25" w:type="default"/>
          <w:pgSz w:w="11900" w:h="16840"/>
          <w:pgMar w:top="1440" w:right="1080" w:bottom="1440" w:left="1080" w:header="0" w:footer="0" w:gutter="0"/>
          <w:pgNumType w:fmt="decimal"/>
          <w:cols w:space="720" w:num="1"/>
        </w:sectPr>
      </w:pPr>
    </w:p>
    <w:p w14:paraId="430649F1">
      <w:pPr>
        <w:keepNext w:val="0"/>
        <w:keepLines w:val="0"/>
        <w:pageBreakBefore w:val="0"/>
        <w:overflowPunct/>
        <w:topLinePunct w:val="0"/>
        <w:bidi w:val="0"/>
        <w:spacing w:line="360" w:lineRule="auto"/>
        <w:outlineLvl w:val="1"/>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十</w:t>
      </w:r>
      <w:r>
        <w:rPr>
          <w:rFonts w:hint="eastAsia" w:ascii="宋体" w:hAnsi="宋体" w:eastAsia="宋体" w:cs="宋体"/>
          <w:color w:val="auto"/>
          <w:sz w:val="28"/>
          <w:szCs w:val="28"/>
        </w:rPr>
        <w:t>、依法缴纳税收和社会保障资金的良好记录的相关材料</w:t>
      </w:r>
    </w:p>
    <w:p w14:paraId="584BBF91">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供应商提供依法缴纳税收和社会保障资金的相关材料。</w:t>
      </w:r>
    </w:p>
    <w:p w14:paraId="0C21DDE9">
      <w:pPr>
        <w:keepNext w:val="0"/>
        <w:keepLines w:val="0"/>
        <w:pageBreakBefore w:val="0"/>
        <w:overflowPunct/>
        <w:topLinePunct w:val="0"/>
        <w:bidi w:val="0"/>
        <w:spacing w:line="360" w:lineRule="auto"/>
        <w:rPr>
          <w:rFonts w:hint="eastAsia" w:ascii="宋体" w:hAnsi="宋体" w:eastAsia="宋体" w:cs="宋体"/>
          <w:color w:val="auto"/>
          <w:sz w:val="28"/>
          <w:szCs w:val="28"/>
        </w:rPr>
        <w:sectPr>
          <w:footerReference r:id="rId26" w:type="default"/>
          <w:pgSz w:w="11900" w:h="16840"/>
          <w:pgMar w:top="1440" w:right="1080" w:bottom="1440" w:left="1080" w:header="0" w:footer="0" w:gutter="0"/>
          <w:pgNumType w:fmt="decimal"/>
          <w:cols w:space="720" w:num="1"/>
        </w:sectPr>
      </w:pPr>
    </w:p>
    <w:p w14:paraId="696549C5">
      <w:pPr>
        <w:keepNext w:val="0"/>
        <w:keepLines w:val="0"/>
        <w:pageBreakBefore w:val="0"/>
        <w:overflowPunct/>
        <w:topLinePunct w:val="0"/>
        <w:bidi w:val="0"/>
        <w:spacing w:line="360" w:lineRule="auto"/>
        <w:outlineLvl w:val="1"/>
        <w:rPr>
          <w:rFonts w:hint="eastAsia" w:ascii="宋体" w:hAnsi="宋体" w:eastAsia="宋体" w:cs="宋体"/>
          <w:color w:val="auto"/>
          <w:sz w:val="28"/>
          <w:szCs w:val="28"/>
        </w:rPr>
      </w:pPr>
      <w:r>
        <w:rPr>
          <w:rFonts w:hint="eastAsia" w:ascii="宋体" w:hAnsi="宋体" w:eastAsia="宋体" w:cs="宋体"/>
          <w:color w:val="auto"/>
          <w:sz w:val="28"/>
          <w:szCs w:val="28"/>
        </w:rPr>
        <w:t>十</w:t>
      </w:r>
      <w:r>
        <w:rPr>
          <w:rFonts w:hint="eastAsia" w:ascii="宋体" w:hAnsi="宋体" w:eastAsia="宋体" w:cs="宋体"/>
          <w:color w:val="auto"/>
          <w:sz w:val="28"/>
          <w:szCs w:val="28"/>
          <w:lang w:val="en-US" w:eastAsia="zh-CN"/>
        </w:rPr>
        <w:t>一</w:t>
      </w:r>
      <w:r>
        <w:rPr>
          <w:rFonts w:hint="eastAsia" w:ascii="宋体" w:hAnsi="宋体" w:eastAsia="宋体" w:cs="宋体"/>
          <w:color w:val="auto"/>
          <w:sz w:val="28"/>
          <w:szCs w:val="28"/>
        </w:rPr>
        <w:t>、具有履行合同所必需的设备和专业技术能力的证明材料</w:t>
      </w:r>
    </w:p>
    <w:p w14:paraId="57A961F3">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供应商提供具有履行合同所必需的设备和专业技术能力的证明材料。</w:t>
      </w:r>
    </w:p>
    <w:p w14:paraId="2587C958">
      <w:pPr>
        <w:keepNext w:val="0"/>
        <w:keepLines w:val="0"/>
        <w:pageBreakBefore w:val="0"/>
        <w:overflowPunct/>
        <w:topLinePunct w:val="0"/>
        <w:bidi w:val="0"/>
        <w:spacing w:line="360" w:lineRule="auto"/>
        <w:rPr>
          <w:rFonts w:hint="eastAsia" w:ascii="宋体" w:hAnsi="宋体" w:eastAsia="宋体" w:cs="宋体"/>
          <w:color w:val="auto"/>
          <w:sz w:val="28"/>
          <w:szCs w:val="28"/>
        </w:rPr>
        <w:sectPr>
          <w:footerReference r:id="rId27" w:type="default"/>
          <w:pgSz w:w="11900" w:h="16840"/>
          <w:pgMar w:top="1440" w:right="1080" w:bottom="1440" w:left="1080" w:header="0" w:footer="0" w:gutter="0"/>
          <w:pgNumType w:fmt="decimal"/>
          <w:cols w:space="720" w:num="1"/>
        </w:sectPr>
      </w:pPr>
    </w:p>
    <w:p w14:paraId="42ABF51B">
      <w:pPr>
        <w:keepNext w:val="0"/>
        <w:keepLines w:val="0"/>
        <w:pageBreakBefore w:val="0"/>
        <w:overflowPunct/>
        <w:topLinePunct w:val="0"/>
        <w:bidi w:val="0"/>
        <w:spacing w:line="360" w:lineRule="auto"/>
        <w:outlineLvl w:val="1"/>
        <w:rPr>
          <w:rFonts w:hint="eastAsia" w:ascii="宋体" w:hAnsi="宋体" w:eastAsia="宋体" w:cs="宋体"/>
          <w:color w:val="auto"/>
          <w:sz w:val="28"/>
          <w:szCs w:val="28"/>
        </w:rPr>
      </w:pPr>
      <w:r>
        <w:rPr>
          <w:rFonts w:hint="eastAsia" w:ascii="宋体" w:hAnsi="宋体" w:eastAsia="宋体" w:cs="宋体"/>
          <w:color w:val="auto"/>
          <w:sz w:val="28"/>
          <w:szCs w:val="28"/>
        </w:rPr>
        <w:t>十</w:t>
      </w:r>
      <w:r>
        <w:rPr>
          <w:rFonts w:hint="eastAsia" w:ascii="宋体" w:hAnsi="宋体" w:eastAsia="宋体" w:cs="宋体"/>
          <w:color w:val="auto"/>
          <w:sz w:val="28"/>
          <w:szCs w:val="28"/>
          <w:lang w:val="en-US" w:eastAsia="zh-CN"/>
        </w:rPr>
        <w:t>二</w:t>
      </w:r>
      <w:r>
        <w:rPr>
          <w:rFonts w:hint="eastAsia" w:ascii="宋体" w:hAnsi="宋体" w:eastAsia="宋体" w:cs="宋体"/>
          <w:color w:val="auto"/>
          <w:sz w:val="28"/>
          <w:szCs w:val="28"/>
        </w:rPr>
        <w:t>、参加政府采购活动前三年内在经营活动中没有重大违法记录的书面声明</w:t>
      </w:r>
    </w:p>
    <w:p w14:paraId="690CBEE9">
      <w:pPr>
        <w:keepNext w:val="0"/>
        <w:keepLines w:val="0"/>
        <w:pageBreakBefore w:val="0"/>
        <w:overflowPunct/>
        <w:topLinePunct w:val="0"/>
        <w:bidi w:val="0"/>
        <w:spacing w:line="360" w:lineRule="auto"/>
        <w:ind w:firstLine="560" w:firstLineChars="200"/>
        <w:rPr>
          <w:rFonts w:hint="eastAsia" w:ascii="宋体" w:hAnsi="宋体" w:eastAsia="宋体" w:cs="宋体"/>
          <w:color w:val="auto"/>
          <w:sz w:val="28"/>
          <w:szCs w:val="28"/>
        </w:rPr>
      </w:pPr>
    </w:p>
    <w:p w14:paraId="041860A8">
      <w:pPr>
        <w:keepNext w:val="0"/>
        <w:keepLines w:val="0"/>
        <w:pageBreakBefore w:val="0"/>
        <w:overflowPunct/>
        <w:topLinePunct w:val="0"/>
        <w:bidi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本公司（单位） 自愿参加本次政府采购活动，</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（项目名称），项目编号：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，严格遵守《中华人民共和国政府采购法》《中华人民共和国政府采购法实施条例》及相关法律、法规和规章制度，在参加此次政府采购活动前3年内，本公司在经营活动中无重大违法记录。</w:t>
      </w:r>
    </w:p>
    <w:p w14:paraId="059C88C4">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特此声明</w:t>
      </w:r>
    </w:p>
    <w:p w14:paraId="2A35A037">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供应商名称（盖章）：</w:t>
      </w:r>
    </w:p>
    <w:p w14:paraId="556BFDEF">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法定代表人或授权委托人（签字）：</w:t>
      </w:r>
    </w:p>
    <w:p w14:paraId="4B57E2C4">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年  月   日</w:t>
      </w:r>
    </w:p>
    <w:p w14:paraId="71E9E948">
      <w:pPr>
        <w:keepNext w:val="0"/>
        <w:keepLines w:val="0"/>
        <w:pageBreakBefore w:val="0"/>
        <w:overflowPunct/>
        <w:topLinePunct w:val="0"/>
        <w:bidi w:val="0"/>
        <w:spacing w:line="360" w:lineRule="auto"/>
        <w:rPr>
          <w:rFonts w:hint="eastAsia" w:ascii="宋体" w:hAnsi="宋体" w:eastAsia="宋体" w:cs="宋体"/>
          <w:color w:val="auto"/>
          <w:sz w:val="28"/>
          <w:szCs w:val="28"/>
        </w:rPr>
        <w:sectPr>
          <w:footerReference r:id="rId28" w:type="default"/>
          <w:pgSz w:w="11900" w:h="16840"/>
          <w:pgMar w:top="1440" w:right="1080" w:bottom="1440" w:left="1080" w:header="0" w:footer="0" w:gutter="0"/>
          <w:pgNumType w:fmt="decimal"/>
          <w:cols w:space="720" w:num="1"/>
        </w:sectPr>
      </w:pPr>
    </w:p>
    <w:p w14:paraId="709AD627">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（以下格式文件由供应商根据需要选用）</w:t>
      </w:r>
    </w:p>
    <w:p w14:paraId="27B66DA9">
      <w:pPr>
        <w:keepNext w:val="0"/>
        <w:keepLines w:val="0"/>
        <w:pageBreakBefore w:val="0"/>
        <w:overflowPunct/>
        <w:topLinePunct w:val="0"/>
        <w:bidi w:val="0"/>
        <w:spacing w:line="360" w:lineRule="auto"/>
        <w:rPr>
          <w:rFonts w:hint="eastAsia" w:ascii="宋体" w:hAnsi="宋体" w:eastAsia="宋体" w:cs="宋体"/>
          <w:color w:val="auto"/>
          <w:sz w:val="28"/>
          <w:szCs w:val="28"/>
        </w:rPr>
      </w:pPr>
    </w:p>
    <w:p w14:paraId="67BD1DA5">
      <w:pPr>
        <w:keepNext w:val="0"/>
        <w:keepLines w:val="0"/>
        <w:pageBreakBefore w:val="0"/>
        <w:overflowPunct/>
        <w:topLinePunct w:val="0"/>
        <w:bidi w:val="0"/>
        <w:spacing w:line="360" w:lineRule="auto"/>
        <w:outlineLvl w:val="1"/>
        <w:rPr>
          <w:rFonts w:hint="eastAsia" w:ascii="宋体" w:hAnsi="宋体" w:eastAsia="宋体" w:cs="宋体"/>
          <w:color w:val="auto"/>
          <w:sz w:val="28"/>
          <w:szCs w:val="28"/>
        </w:rPr>
      </w:pPr>
      <w:r>
        <w:rPr>
          <w:rFonts w:hint="eastAsia" w:ascii="宋体" w:hAnsi="宋体" w:eastAsia="宋体" w:cs="宋体"/>
          <w:color w:val="auto"/>
          <w:sz w:val="28"/>
          <w:szCs w:val="28"/>
        </w:rPr>
        <w:t>十</w:t>
      </w:r>
      <w:r>
        <w:rPr>
          <w:rFonts w:hint="eastAsia" w:ascii="宋体" w:hAnsi="宋体" w:eastAsia="宋体" w:cs="宋体"/>
          <w:color w:val="auto"/>
          <w:sz w:val="28"/>
          <w:szCs w:val="28"/>
          <w:lang w:val="en-US" w:eastAsia="zh-CN"/>
        </w:rPr>
        <w:t>三</w:t>
      </w:r>
      <w:r>
        <w:rPr>
          <w:rFonts w:hint="eastAsia" w:ascii="宋体" w:hAnsi="宋体" w:eastAsia="宋体" w:cs="宋体"/>
          <w:color w:val="auto"/>
          <w:sz w:val="28"/>
          <w:szCs w:val="28"/>
        </w:rPr>
        <w:t>、联合体协议书</w:t>
      </w:r>
    </w:p>
    <w:p w14:paraId="62396DD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 xml:space="preserve">（所有成员单位名称） 自愿组成一个联合体，以一个供应商的身份共同参加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（项目名称）的采购，项目编号：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。联合体各方共同与采购人签订采购合同，就采购合同约定的事项对采购人承担连带责任。现就联合体采购事宜订立如下协议。</w:t>
      </w:r>
    </w:p>
    <w:p w14:paraId="5EC80F7C">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1</w:t>
      </w:r>
      <w:r>
        <w:rPr>
          <w:rFonts w:hint="eastAsia" w:ascii="宋体" w:hAnsi="宋体" w:eastAsia="宋体" w:cs="宋体"/>
          <w:color w:val="auto"/>
          <w:sz w:val="28"/>
          <w:szCs w:val="28"/>
          <w:u w:val="single"/>
        </w:rPr>
        <w:t>.               （某成员单位名称）</w:t>
      </w:r>
      <w:r>
        <w:rPr>
          <w:rFonts w:hint="eastAsia" w:ascii="宋体" w:hAnsi="宋体" w:eastAsia="宋体" w:cs="宋体"/>
          <w:color w:val="auto"/>
          <w:sz w:val="28"/>
          <w:szCs w:val="28"/>
        </w:rPr>
        <w:t>为联合体牵头人。</w:t>
      </w:r>
    </w:p>
    <w:p w14:paraId="1787BEF3">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2. 联合体各成员单位授权牵头人代表联合体参加采购活动，提交和接收相关的资料，负责合同实施阶段的组织和协调工作，以及处理与本项目有关的事宜。</w:t>
      </w:r>
    </w:p>
    <w:p w14:paraId="32B81373">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3. 联合体牵头人在本项目中签署的文件和处理的事宜，联合体各成员单位均予以承认。 联合体各成员单位将严格按照谈判文件、响应文件和合同的要求全面履行义务，并向采购人承担连带责任。</w:t>
      </w:r>
    </w:p>
    <w:p w14:paraId="3990F1A7">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4. 联合体各成员单位内部的职责分工如下</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14:paraId="7AA8FBB3">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5. 如要求缴纳保证金，以牵头人名义缴纳，对联合体各方均具有约束力。</w:t>
      </w:r>
    </w:p>
    <w:p w14:paraId="1391FD3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2"/>
        <w:rPr>
          <w:rFonts w:hint="eastAsia" w:ascii="宋体" w:hAnsi="宋体" w:eastAsia="宋体" w:cs="宋体"/>
          <w:color w:val="auto"/>
          <w:sz w:val="28"/>
          <w:szCs w:val="28"/>
        </w:rPr>
      </w:pPr>
      <w:r>
        <w:rPr>
          <w:rFonts w:hint="eastAsia" w:ascii="宋体" w:hAnsi="宋体" w:eastAsia="宋体" w:cs="宋体"/>
          <w:color w:val="auto"/>
          <w:sz w:val="28"/>
          <w:szCs w:val="28"/>
        </w:rPr>
        <w:t>6.本协议书自签署之日起生效，合同履行完毕后自动失效。</w:t>
      </w:r>
    </w:p>
    <w:p w14:paraId="5C3A3331">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7.本协议书一式      份，联合体各成员单位和采购人各执一份。</w:t>
      </w:r>
    </w:p>
    <w:p w14:paraId="4C7EAD2C">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协议书由法定代表人签字的，应附法定代表人身份证明；由授权代表签字的，应附授权委托书。</w:t>
      </w:r>
    </w:p>
    <w:p w14:paraId="3DC88DEA">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所有成员单位法定代表人或其授权代表（签字并盖章）：</w:t>
      </w:r>
    </w:p>
    <w:p w14:paraId="72B3E50E">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年  月   日</w:t>
      </w:r>
    </w:p>
    <w:p w14:paraId="4B86CB84">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sectPr>
          <w:footerReference r:id="rId29" w:type="default"/>
          <w:pgSz w:w="11900" w:h="16840"/>
          <w:pgMar w:top="1440" w:right="1080" w:bottom="1440" w:left="1080" w:header="0" w:footer="0" w:gutter="0"/>
          <w:pgNumType w:fmt="decimal"/>
          <w:cols w:space="720" w:num="1"/>
        </w:sectPr>
      </w:pPr>
    </w:p>
    <w:p w14:paraId="70EE68D6">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（以下格式文件由供应商根据需要选用）</w:t>
      </w:r>
    </w:p>
    <w:p w14:paraId="680228C7">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outlineLvl w:val="1"/>
        <w:rPr>
          <w:rFonts w:hint="eastAsia" w:ascii="宋体" w:hAnsi="宋体" w:eastAsia="宋体" w:cs="宋体"/>
          <w:color w:val="auto"/>
          <w:sz w:val="28"/>
          <w:szCs w:val="28"/>
        </w:rPr>
      </w:pPr>
      <w:r>
        <w:rPr>
          <w:rFonts w:hint="eastAsia" w:ascii="宋体" w:hAnsi="宋体" w:eastAsia="宋体" w:cs="宋体"/>
          <w:color w:val="auto"/>
          <w:sz w:val="28"/>
          <w:szCs w:val="28"/>
        </w:rPr>
        <w:t>十</w:t>
      </w:r>
      <w:r>
        <w:rPr>
          <w:rFonts w:hint="eastAsia" w:ascii="宋体" w:hAnsi="宋体" w:eastAsia="宋体" w:cs="宋体"/>
          <w:color w:val="auto"/>
          <w:sz w:val="28"/>
          <w:szCs w:val="28"/>
          <w:lang w:val="en-US" w:eastAsia="zh-CN"/>
        </w:rPr>
        <w:t>四</w:t>
      </w:r>
      <w:r>
        <w:rPr>
          <w:rFonts w:hint="eastAsia" w:ascii="宋体" w:hAnsi="宋体" w:eastAsia="宋体" w:cs="宋体"/>
          <w:color w:val="auto"/>
          <w:sz w:val="28"/>
          <w:szCs w:val="28"/>
        </w:rPr>
        <w:t>、 中小企业声明函（货物）</w:t>
      </w:r>
    </w:p>
    <w:p w14:paraId="0D4C43F4">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14:paraId="2CD7DB2A">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 xml:space="preserve">1.（标的名称），属于（采购文件中明确的所属行业）行业；制造商为（企业名称），从业人员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人，营业收入为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万元，资产总额为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万元1 ，属于（中型企业、小型企业、微型企业）；</w:t>
      </w:r>
    </w:p>
    <w:p w14:paraId="79800089">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2.（标的名称），属于（采购文件中明确的所属行业）行业；制造商为（企业名称），从业人员</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人，营业收入为</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万元，资产总额为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万元，属于（中型企业、小型企业、微型企业）；</w:t>
      </w:r>
    </w:p>
    <w:p w14:paraId="273A8852">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w:t>
      </w:r>
    </w:p>
    <w:p w14:paraId="636C542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以上企业，不属于大企业的分支机构，不存在控股股东为大企业的情形，也不存在与大企业的负责人为同一人的情形。</w:t>
      </w:r>
    </w:p>
    <w:p w14:paraId="1139A8FE">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本企业对上述声明内容的真实性负责。如有虚假，将依法承担相应责任。</w:t>
      </w:r>
    </w:p>
    <w:p w14:paraId="1D0CA522">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企业名称（盖章）：</w:t>
      </w:r>
    </w:p>
    <w:p w14:paraId="4329DD76">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日期：</w:t>
      </w:r>
    </w:p>
    <w:p w14:paraId="55F53CD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1从业人员、营业收入、资产总额填报上一年度数据，无上一年度数据的新成立企业可不填报</w:t>
      </w:r>
    </w:p>
    <w:p w14:paraId="0778741B">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p>
    <w:p w14:paraId="5F147E43">
      <w:pPr>
        <w:keepNext w:val="0"/>
        <w:keepLines w:val="0"/>
        <w:pageBreakBefore w:val="0"/>
        <w:widowControl/>
        <w:tabs>
          <w:tab w:val="left" w:pos="1533"/>
        </w:tabs>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ab/>
      </w:r>
    </w:p>
    <w:p w14:paraId="4AFE710B">
      <w:pPr>
        <w:keepNext w:val="0"/>
        <w:keepLines w:val="0"/>
        <w:pageBreakBefore w:val="0"/>
        <w:widowControl/>
        <w:tabs>
          <w:tab w:val="left" w:pos="1533"/>
        </w:tabs>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lang w:eastAsia="zh-CN"/>
        </w:rPr>
      </w:pPr>
    </w:p>
    <w:p w14:paraId="3B7066B8">
      <w:pPr>
        <w:keepNext w:val="0"/>
        <w:keepLines w:val="0"/>
        <w:pageBreakBefore w:val="0"/>
        <w:widowControl/>
        <w:tabs>
          <w:tab w:val="left" w:pos="1533"/>
        </w:tabs>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lang w:eastAsia="zh-CN"/>
        </w:rPr>
      </w:pPr>
    </w:p>
    <w:p w14:paraId="21A36A7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8"/>
          <w:szCs w:val="28"/>
        </w:rPr>
      </w:pPr>
    </w:p>
    <w:p w14:paraId="6F922DD5">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中小企业声明函（工程、服务）</w:t>
      </w:r>
    </w:p>
    <w:p w14:paraId="28019DC0">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41F21CA9">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 xml:space="preserve">1.（标的名称），属于（采购文件中明确的所属行业）；承建（承接）企业为（企业名称），从业人员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人，营业收入为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万元，资产总额为           万元1 ，属于（中型企业、小型企业、微型企业）；</w:t>
      </w:r>
    </w:p>
    <w:p w14:paraId="65E9A775">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2.（标的名称），属于（采购文件中明确的所属行业）；承建（承接）企业为（企业名称），从业人员</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人，营业收入为</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万元，资产总额为           万元，属于（中型企业、小型企业、微型企业）；</w:t>
      </w:r>
    </w:p>
    <w:p w14:paraId="76A5A8E0">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w:t>
      </w:r>
    </w:p>
    <w:p w14:paraId="652CE77F">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以上企业，不属于大企业的分支机构，不存在控股股东为大企业的情形，也不存在与大企业的负责人为同一人的情形。</w:t>
      </w:r>
    </w:p>
    <w:p w14:paraId="52F0A7C5">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本企业对上述声明内容的真实性负责。如有虚假，将依法承担相应责任。</w:t>
      </w:r>
    </w:p>
    <w:p w14:paraId="24F1D1B2">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企业名称（盖章）：</w:t>
      </w:r>
    </w:p>
    <w:p w14:paraId="7F5E8F71">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日期：</w:t>
      </w:r>
    </w:p>
    <w:p w14:paraId="300194FF">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1从业人员、营业收入、资产总额填报上一年度数据，无上一年度数据的新成立企业可不填报</w:t>
      </w:r>
    </w:p>
    <w:p w14:paraId="3EC889C5">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color w:val="auto"/>
          <w:sz w:val="28"/>
          <w:szCs w:val="28"/>
        </w:rPr>
        <w:sectPr>
          <w:footerReference r:id="rId30" w:type="default"/>
          <w:pgSz w:w="11900" w:h="16840"/>
          <w:pgMar w:top="1440" w:right="1080" w:bottom="1440" w:left="1080" w:header="0" w:footer="0" w:gutter="0"/>
          <w:pgNumType w:fmt="decimal"/>
          <w:cols w:space="720" w:num="1"/>
        </w:sectPr>
      </w:pPr>
    </w:p>
    <w:p w14:paraId="1FE2CD77">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（以下格式文件由供应商根据需要选用）</w:t>
      </w:r>
    </w:p>
    <w:p w14:paraId="38155EC2">
      <w:pPr>
        <w:keepNext w:val="0"/>
        <w:keepLines w:val="0"/>
        <w:pageBreakBefore w:val="0"/>
        <w:overflowPunct/>
        <w:topLinePunct w:val="0"/>
        <w:bidi w:val="0"/>
        <w:spacing w:line="360" w:lineRule="auto"/>
        <w:outlineLvl w:val="1"/>
        <w:rPr>
          <w:rFonts w:hint="eastAsia" w:ascii="宋体" w:hAnsi="宋体" w:eastAsia="宋体" w:cs="宋体"/>
          <w:color w:val="auto"/>
          <w:sz w:val="28"/>
          <w:szCs w:val="28"/>
        </w:rPr>
      </w:pPr>
      <w:r>
        <w:rPr>
          <w:rFonts w:hint="eastAsia" w:ascii="宋体" w:hAnsi="宋体" w:eastAsia="宋体" w:cs="宋体"/>
          <w:color w:val="auto"/>
          <w:sz w:val="28"/>
          <w:szCs w:val="28"/>
        </w:rPr>
        <w:t>十</w:t>
      </w:r>
      <w:r>
        <w:rPr>
          <w:rFonts w:hint="eastAsia" w:ascii="宋体" w:hAnsi="宋体" w:eastAsia="宋体" w:cs="宋体"/>
          <w:color w:val="auto"/>
          <w:sz w:val="28"/>
          <w:szCs w:val="28"/>
          <w:lang w:val="en-US" w:eastAsia="zh-CN"/>
        </w:rPr>
        <w:t>五</w:t>
      </w:r>
      <w:r>
        <w:rPr>
          <w:rFonts w:hint="eastAsia" w:ascii="宋体" w:hAnsi="宋体" w:eastAsia="宋体" w:cs="宋体"/>
          <w:color w:val="auto"/>
          <w:sz w:val="28"/>
          <w:szCs w:val="28"/>
        </w:rPr>
        <w:t>、监狱企业证明文件</w:t>
      </w:r>
    </w:p>
    <w:p w14:paraId="2FBD7100">
      <w:pPr>
        <w:keepNext w:val="0"/>
        <w:keepLines w:val="0"/>
        <w:pageBreakBefore w:val="0"/>
        <w:overflowPunct/>
        <w:topLinePunct w:val="0"/>
        <w:bidi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提供由省级以上监狱管理局、戒毒管理局（含新疆生产建设兵团）出具的属于监狱企业的证明文件。</w:t>
      </w:r>
    </w:p>
    <w:p w14:paraId="61662306">
      <w:pPr>
        <w:keepNext w:val="0"/>
        <w:keepLines w:val="0"/>
        <w:pageBreakBefore w:val="0"/>
        <w:overflowPunct/>
        <w:topLinePunct w:val="0"/>
        <w:bidi w:val="0"/>
        <w:spacing w:line="360" w:lineRule="auto"/>
        <w:rPr>
          <w:rFonts w:hint="eastAsia" w:ascii="宋体" w:hAnsi="宋体" w:eastAsia="宋体" w:cs="宋体"/>
          <w:color w:val="auto"/>
          <w:sz w:val="28"/>
          <w:szCs w:val="28"/>
        </w:rPr>
        <w:sectPr>
          <w:footerReference r:id="rId31" w:type="default"/>
          <w:pgSz w:w="11900" w:h="16840"/>
          <w:pgMar w:top="1440" w:right="1080" w:bottom="1440" w:left="1080" w:header="0" w:footer="0" w:gutter="0"/>
          <w:pgNumType w:fmt="decimal"/>
          <w:cols w:space="720" w:num="1"/>
        </w:sectPr>
      </w:pPr>
    </w:p>
    <w:p w14:paraId="2428EE26">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（以下格式文件由供应商根据需要选用）</w:t>
      </w:r>
    </w:p>
    <w:p w14:paraId="1DA8C134">
      <w:pPr>
        <w:keepNext w:val="0"/>
        <w:keepLines w:val="0"/>
        <w:pageBreakBefore w:val="0"/>
        <w:overflowPunct/>
        <w:topLinePunct w:val="0"/>
        <w:bidi w:val="0"/>
        <w:spacing w:line="360" w:lineRule="auto"/>
        <w:outlineLvl w:val="1"/>
        <w:rPr>
          <w:rFonts w:hint="eastAsia" w:ascii="宋体" w:hAnsi="宋体" w:eastAsia="宋体" w:cs="宋体"/>
          <w:color w:val="auto"/>
          <w:sz w:val="28"/>
          <w:szCs w:val="28"/>
        </w:rPr>
      </w:pPr>
      <w:r>
        <w:rPr>
          <w:rFonts w:hint="eastAsia" w:ascii="宋体" w:hAnsi="宋体" w:eastAsia="宋体" w:cs="宋体"/>
          <w:color w:val="auto"/>
          <w:sz w:val="28"/>
          <w:szCs w:val="28"/>
        </w:rPr>
        <w:t>十</w:t>
      </w:r>
      <w:r>
        <w:rPr>
          <w:rFonts w:hint="eastAsia" w:ascii="宋体" w:hAnsi="宋体" w:eastAsia="宋体" w:cs="宋体"/>
          <w:color w:val="auto"/>
          <w:sz w:val="28"/>
          <w:szCs w:val="28"/>
          <w:lang w:val="en-US" w:eastAsia="zh-CN"/>
        </w:rPr>
        <w:t>六</w:t>
      </w:r>
      <w:r>
        <w:rPr>
          <w:rFonts w:hint="eastAsia" w:ascii="宋体" w:hAnsi="宋体" w:eastAsia="宋体" w:cs="宋体"/>
          <w:color w:val="auto"/>
          <w:sz w:val="28"/>
          <w:szCs w:val="28"/>
        </w:rPr>
        <w:t>、残疾人福利性单位声明函</w:t>
      </w:r>
    </w:p>
    <w:p w14:paraId="59A844EC">
      <w:pPr>
        <w:keepNext w:val="0"/>
        <w:keepLines w:val="0"/>
        <w:pageBreakBefore w:val="0"/>
        <w:overflowPunct/>
        <w:topLinePunct w:val="0"/>
        <w:bidi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单位的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项目采购活动提供本单位制造的 货物（由本单位承担工程/提供服务），或者提供其他残疾人福利性单位制造的货物（不包括使用非残疾人福利性单位注册商标的货物）。</w:t>
      </w:r>
    </w:p>
    <w:p w14:paraId="307F6FF7">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本单位对上述声明的真实性负责。如有虚假，将依法承担相应责任。</w:t>
      </w:r>
    </w:p>
    <w:p w14:paraId="68C4910F">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单位名称（盖章）：</w:t>
      </w:r>
    </w:p>
    <w:p w14:paraId="334B6019">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日期：</w:t>
      </w:r>
    </w:p>
    <w:p w14:paraId="31672958">
      <w:pPr>
        <w:keepNext w:val="0"/>
        <w:keepLines w:val="0"/>
        <w:pageBreakBefore w:val="0"/>
        <w:overflowPunct/>
        <w:topLinePunct w:val="0"/>
        <w:bidi w:val="0"/>
        <w:spacing w:line="360" w:lineRule="auto"/>
        <w:rPr>
          <w:rFonts w:hint="eastAsia" w:ascii="宋体" w:hAnsi="宋体" w:eastAsia="宋体" w:cs="宋体"/>
          <w:color w:val="auto"/>
          <w:sz w:val="28"/>
          <w:szCs w:val="28"/>
        </w:rPr>
        <w:sectPr>
          <w:footerReference r:id="rId32" w:type="default"/>
          <w:pgSz w:w="11900" w:h="16840"/>
          <w:pgMar w:top="1440" w:right="1080" w:bottom="1440" w:left="1080" w:header="0" w:footer="0" w:gutter="0"/>
          <w:pgNumType w:fmt="decimal"/>
          <w:cols w:space="720" w:num="1"/>
        </w:sectPr>
      </w:pPr>
    </w:p>
    <w:p w14:paraId="35A9CB84">
      <w:pPr>
        <w:keepNext w:val="0"/>
        <w:keepLines w:val="0"/>
        <w:pageBreakBefore w:val="0"/>
        <w:overflowPunct/>
        <w:topLinePunct w:val="0"/>
        <w:bidi w:val="0"/>
        <w:spacing w:line="360" w:lineRule="auto"/>
        <w:outlineLvl w:val="1"/>
        <w:rPr>
          <w:rFonts w:hint="eastAsia" w:ascii="宋体" w:hAnsi="宋体" w:eastAsia="宋体" w:cs="宋体"/>
          <w:color w:val="auto"/>
          <w:sz w:val="28"/>
          <w:szCs w:val="28"/>
        </w:rPr>
      </w:pPr>
      <w:r>
        <w:rPr>
          <w:rFonts w:hint="eastAsia" w:ascii="宋体" w:hAnsi="宋体" w:eastAsia="宋体" w:cs="宋体"/>
          <w:color w:val="auto"/>
          <w:sz w:val="28"/>
          <w:szCs w:val="28"/>
        </w:rPr>
        <w:t>十</w:t>
      </w:r>
      <w:r>
        <w:rPr>
          <w:rFonts w:hint="eastAsia" w:ascii="宋体" w:hAnsi="宋体" w:eastAsia="宋体" w:cs="宋体"/>
          <w:color w:val="auto"/>
          <w:sz w:val="28"/>
          <w:szCs w:val="28"/>
          <w:lang w:val="en-US" w:eastAsia="zh-CN"/>
        </w:rPr>
        <w:t>七</w:t>
      </w:r>
      <w:r>
        <w:rPr>
          <w:rFonts w:hint="eastAsia" w:ascii="宋体" w:hAnsi="宋体" w:eastAsia="宋体" w:cs="宋体"/>
          <w:color w:val="auto"/>
          <w:sz w:val="28"/>
          <w:szCs w:val="28"/>
        </w:rPr>
        <w:t>、主要商务要求承诺书</w:t>
      </w:r>
    </w:p>
    <w:p w14:paraId="1C27813A">
      <w:pPr>
        <w:keepNext w:val="0"/>
        <w:keepLines w:val="0"/>
        <w:pageBreakBefore w:val="0"/>
        <w:overflowPunct/>
        <w:topLinePunct w:val="0"/>
        <w:bidi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我公司承诺可以完全满足</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rPr>
        <w:t>(项目名称），项目编号：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谈判文件的所有主要商务条款要求，包括标的提供的时间、标的提供的地点、付款方式、验收要求、履约保证金等。</w:t>
      </w:r>
    </w:p>
    <w:p w14:paraId="66BF028A">
      <w:pPr>
        <w:keepNext w:val="0"/>
        <w:keepLines w:val="0"/>
        <w:pageBreakBefore w:val="0"/>
        <w:overflowPunct/>
        <w:topLinePunct w:val="0"/>
        <w:bidi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若有不符合或未按承诺履行的，承担相应法律后果。</w:t>
      </w:r>
    </w:p>
    <w:p w14:paraId="71A6D690">
      <w:pPr>
        <w:keepNext w:val="0"/>
        <w:keepLines w:val="0"/>
        <w:pageBreakBefore w:val="0"/>
        <w:overflowPunct/>
        <w:topLinePunct w:val="0"/>
        <w:bidi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如有优于谈判文件主要商务要求的请在此承诺书中说明。</w:t>
      </w:r>
    </w:p>
    <w:p w14:paraId="70E50BDA">
      <w:pPr>
        <w:keepNext w:val="0"/>
        <w:keepLines w:val="0"/>
        <w:pageBreakBefore w:val="0"/>
        <w:overflowPunct/>
        <w:topLinePunct w:val="0"/>
        <w:bidi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具体优于内容（如标的提供的时间、地点，质保期等）。</w:t>
      </w:r>
    </w:p>
    <w:p w14:paraId="47B492B7">
      <w:pPr>
        <w:keepNext w:val="0"/>
        <w:keepLines w:val="0"/>
        <w:pageBreakBefore w:val="0"/>
        <w:overflowPunct/>
        <w:topLinePunct w:val="0"/>
        <w:bidi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特此承诺</w:t>
      </w:r>
    </w:p>
    <w:p w14:paraId="3F32336A">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供应商名称（盖章）：</w:t>
      </w:r>
    </w:p>
    <w:p w14:paraId="22BB0733">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年  月   日</w:t>
      </w:r>
    </w:p>
    <w:p w14:paraId="1A8CB8DE">
      <w:pPr>
        <w:keepNext w:val="0"/>
        <w:keepLines w:val="0"/>
        <w:pageBreakBefore w:val="0"/>
        <w:overflowPunct/>
        <w:topLinePunct w:val="0"/>
        <w:bidi w:val="0"/>
        <w:spacing w:line="360" w:lineRule="auto"/>
        <w:rPr>
          <w:rFonts w:hint="eastAsia" w:ascii="宋体" w:hAnsi="宋体" w:eastAsia="宋体" w:cs="宋体"/>
          <w:color w:val="auto"/>
          <w:sz w:val="28"/>
          <w:szCs w:val="28"/>
        </w:rPr>
        <w:sectPr>
          <w:footerReference r:id="rId33" w:type="default"/>
          <w:pgSz w:w="11900" w:h="16840"/>
          <w:pgMar w:top="1440" w:right="1080" w:bottom="1440" w:left="1080" w:header="0" w:footer="0" w:gutter="0"/>
          <w:pgNumType w:fmt="decimal"/>
          <w:cols w:space="720" w:num="1"/>
        </w:sectPr>
      </w:pPr>
    </w:p>
    <w:p w14:paraId="04966EF4">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（以下格式文件由供应商根据需要选用）</w:t>
      </w:r>
    </w:p>
    <w:p w14:paraId="40D1BA57">
      <w:pPr>
        <w:keepNext w:val="0"/>
        <w:keepLines w:val="0"/>
        <w:pageBreakBefore w:val="0"/>
        <w:overflowPunct/>
        <w:topLinePunct w:val="0"/>
        <w:bidi w:val="0"/>
        <w:spacing w:line="360" w:lineRule="auto"/>
        <w:outlineLvl w:val="1"/>
        <w:rPr>
          <w:rFonts w:hint="eastAsia" w:ascii="宋体" w:hAnsi="宋体" w:eastAsia="宋体" w:cs="宋体"/>
          <w:color w:val="auto"/>
          <w:sz w:val="28"/>
          <w:szCs w:val="28"/>
        </w:rPr>
      </w:pPr>
      <w:r>
        <w:rPr>
          <w:rFonts w:hint="eastAsia" w:ascii="宋体" w:hAnsi="宋体" w:eastAsia="宋体" w:cs="宋体"/>
          <w:color w:val="auto"/>
          <w:sz w:val="28"/>
          <w:szCs w:val="28"/>
        </w:rPr>
        <w:t>十八、项目组成人员一览表</w:t>
      </w:r>
    </w:p>
    <w:tbl>
      <w:tblPr>
        <w:tblStyle w:val="14"/>
        <w:tblW w:w="1000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5"/>
        <w:gridCol w:w="911"/>
        <w:gridCol w:w="2398"/>
        <w:gridCol w:w="911"/>
        <w:gridCol w:w="2093"/>
        <w:gridCol w:w="1427"/>
        <w:gridCol w:w="1360"/>
      </w:tblGrid>
      <w:tr w14:paraId="11D1D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905" w:type="dxa"/>
            <w:vAlign w:val="top"/>
          </w:tcPr>
          <w:p w14:paraId="3C40EBCA">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序号</w:t>
            </w:r>
          </w:p>
        </w:tc>
        <w:tc>
          <w:tcPr>
            <w:tcW w:w="911" w:type="dxa"/>
            <w:vAlign w:val="top"/>
          </w:tcPr>
          <w:p w14:paraId="79F5F96B">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姓名</w:t>
            </w:r>
          </w:p>
        </w:tc>
        <w:tc>
          <w:tcPr>
            <w:tcW w:w="2398" w:type="dxa"/>
            <w:vAlign w:val="top"/>
          </w:tcPr>
          <w:p w14:paraId="681358C7">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本项目拟任职务</w:t>
            </w:r>
          </w:p>
        </w:tc>
        <w:tc>
          <w:tcPr>
            <w:tcW w:w="911" w:type="dxa"/>
            <w:vAlign w:val="top"/>
          </w:tcPr>
          <w:p w14:paraId="6604F334">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学历</w:t>
            </w:r>
          </w:p>
        </w:tc>
        <w:tc>
          <w:tcPr>
            <w:tcW w:w="2093" w:type="dxa"/>
            <w:vAlign w:val="top"/>
          </w:tcPr>
          <w:p w14:paraId="6B28C098">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职称或执业资格</w:t>
            </w:r>
          </w:p>
        </w:tc>
        <w:tc>
          <w:tcPr>
            <w:tcW w:w="1427" w:type="dxa"/>
            <w:vAlign w:val="top"/>
          </w:tcPr>
          <w:p w14:paraId="4D358EEC">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身份证号</w:t>
            </w:r>
          </w:p>
        </w:tc>
        <w:tc>
          <w:tcPr>
            <w:tcW w:w="1360" w:type="dxa"/>
            <w:vAlign w:val="top"/>
          </w:tcPr>
          <w:p w14:paraId="2E4F1C63">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联系电话</w:t>
            </w:r>
          </w:p>
        </w:tc>
      </w:tr>
      <w:tr w14:paraId="5AF46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84" w:hRule="atLeast"/>
        </w:trPr>
        <w:tc>
          <w:tcPr>
            <w:tcW w:w="905" w:type="dxa"/>
            <w:vAlign w:val="top"/>
          </w:tcPr>
          <w:p w14:paraId="718B0F17">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1</w:t>
            </w:r>
          </w:p>
        </w:tc>
        <w:tc>
          <w:tcPr>
            <w:tcW w:w="911" w:type="dxa"/>
            <w:vAlign w:val="top"/>
          </w:tcPr>
          <w:p w14:paraId="0F89CAD9">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2398" w:type="dxa"/>
            <w:vAlign w:val="top"/>
          </w:tcPr>
          <w:p w14:paraId="492E9AED">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911" w:type="dxa"/>
            <w:vAlign w:val="top"/>
          </w:tcPr>
          <w:p w14:paraId="5EECB71F">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2093" w:type="dxa"/>
            <w:vAlign w:val="top"/>
          </w:tcPr>
          <w:p w14:paraId="77D8064A">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1427" w:type="dxa"/>
            <w:vAlign w:val="top"/>
          </w:tcPr>
          <w:p w14:paraId="04672280">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1360" w:type="dxa"/>
            <w:vAlign w:val="top"/>
          </w:tcPr>
          <w:p w14:paraId="0181AA15">
            <w:pPr>
              <w:keepNext w:val="0"/>
              <w:keepLines w:val="0"/>
              <w:pageBreakBefore w:val="0"/>
              <w:overflowPunct/>
              <w:topLinePunct w:val="0"/>
              <w:bidi w:val="0"/>
              <w:spacing w:line="360" w:lineRule="auto"/>
              <w:rPr>
                <w:rFonts w:hint="eastAsia" w:ascii="宋体" w:hAnsi="宋体" w:eastAsia="宋体" w:cs="宋体"/>
                <w:color w:val="auto"/>
                <w:sz w:val="28"/>
                <w:szCs w:val="28"/>
              </w:rPr>
            </w:pPr>
          </w:p>
        </w:tc>
      </w:tr>
      <w:tr w14:paraId="4E55E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4" w:hRule="atLeast"/>
        </w:trPr>
        <w:tc>
          <w:tcPr>
            <w:tcW w:w="905" w:type="dxa"/>
            <w:vAlign w:val="top"/>
          </w:tcPr>
          <w:p w14:paraId="1A1FF498">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2</w:t>
            </w:r>
          </w:p>
        </w:tc>
        <w:tc>
          <w:tcPr>
            <w:tcW w:w="911" w:type="dxa"/>
            <w:vAlign w:val="top"/>
          </w:tcPr>
          <w:p w14:paraId="7436F6BF">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2398" w:type="dxa"/>
            <w:vAlign w:val="top"/>
          </w:tcPr>
          <w:p w14:paraId="19248238">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911" w:type="dxa"/>
            <w:vAlign w:val="top"/>
          </w:tcPr>
          <w:p w14:paraId="087F8E49">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2093" w:type="dxa"/>
            <w:vAlign w:val="top"/>
          </w:tcPr>
          <w:p w14:paraId="0BB14E2E">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1427" w:type="dxa"/>
            <w:vAlign w:val="top"/>
          </w:tcPr>
          <w:p w14:paraId="39CF3266">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1360" w:type="dxa"/>
            <w:vAlign w:val="top"/>
          </w:tcPr>
          <w:p w14:paraId="35A6324A">
            <w:pPr>
              <w:keepNext w:val="0"/>
              <w:keepLines w:val="0"/>
              <w:pageBreakBefore w:val="0"/>
              <w:overflowPunct/>
              <w:topLinePunct w:val="0"/>
              <w:bidi w:val="0"/>
              <w:spacing w:line="360" w:lineRule="auto"/>
              <w:rPr>
                <w:rFonts w:hint="eastAsia" w:ascii="宋体" w:hAnsi="宋体" w:eastAsia="宋体" w:cs="宋体"/>
                <w:color w:val="auto"/>
                <w:sz w:val="28"/>
                <w:szCs w:val="28"/>
              </w:rPr>
            </w:pPr>
          </w:p>
        </w:tc>
      </w:tr>
      <w:tr w14:paraId="1CA02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4" w:hRule="atLeast"/>
        </w:trPr>
        <w:tc>
          <w:tcPr>
            <w:tcW w:w="905" w:type="dxa"/>
            <w:vAlign w:val="top"/>
          </w:tcPr>
          <w:p w14:paraId="1DE99D76">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3</w:t>
            </w:r>
          </w:p>
        </w:tc>
        <w:tc>
          <w:tcPr>
            <w:tcW w:w="911" w:type="dxa"/>
            <w:vAlign w:val="top"/>
          </w:tcPr>
          <w:p w14:paraId="45FC1747">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2398" w:type="dxa"/>
            <w:vAlign w:val="top"/>
          </w:tcPr>
          <w:p w14:paraId="41BD804F">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911" w:type="dxa"/>
            <w:vAlign w:val="top"/>
          </w:tcPr>
          <w:p w14:paraId="7A9BE56F">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2093" w:type="dxa"/>
            <w:vAlign w:val="top"/>
          </w:tcPr>
          <w:p w14:paraId="6030231A">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1427" w:type="dxa"/>
            <w:vAlign w:val="top"/>
          </w:tcPr>
          <w:p w14:paraId="30018159">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1360" w:type="dxa"/>
            <w:vAlign w:val="top"/>
          </w:tcPr>
          <w:p w14:paraId="57244764">
            <w:pPr>
              <w:keepNext w:val="0"/>
              <w:keepLines w:val="0"/>
              <w:pageBreakBefore w:val="0"/>
              <w:overflowPunct/>
              <w:topLinePunct w:val="0"/>
              <w:bidi w:val="0"/>
              <w:spacing w:line="360" w:lineRule="auto"/>
              <w:rPr>
                <w:rFonts w:hint="eastAsia" w:ascii="宋体" w:hAnsi="宋体" w:eastAsia="宋体" w:cs="宋体"/>
                <w:color w:val="auto"/>
                <w:sz w:val="28"/>
                <w:szCs w:val="28"/>
              </w:rPr>
            </w:pPr>
          </w:p>
        </w:tc>
      </w:tr>
      <w:tr w14:paraId="169AD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905" w:type="dxa"/>
            <w:vAlign w:val="top"/>
          </w:tcPr>
          <w:p w14:paraId="7E230B0F">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w:t>
            </w:r>
          </w:p>
        </w:tc>
        <w:tc>
          <w:tcPr>
            <w:tcW w:w="911" w:type="dxa"/>
            <w:vAlign w:val="top"/>
          </w:tcPr>
          <w:p w14:paraId="69D523DF">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2398" w:type="dxa"/>
            <w:vAlign w:val="top"/>
          </w:tcPr>
          <w:p w14:paraId="3A4FF382">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911" w:type="dxa"/>
            <w:vAlign w:val="top"/>
          </w:tcPr>
          <w:p w14:paraId="7F1408D5">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2093" w:type="dxa"/>
            <w:vAlign w:val="top"/>
          </w:tcPr>
          <w:p w14:paraId="06ECDF51">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1427" w:type="dxa"/>
            <w:vAlign w:val="top"/>
          </w:tcPr>
          <w:p w14:paraId="72279C0F">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1360" w:type="dxa"/>
            <w:vAlign w:val="top"/>
          </w:tcPr>
          <w:p w14:paraId="74755D69">
            <w:pPr>
              <w:keepNext w:val="0"/>
              <w:keepLines w:val="0"/>
              <w:pageBreakBefore w:val="0"/>
              <w:overflowPunct/>
              <w:topLinePunct w:val="0"/>
              <w:bidi w:val="0"/>
              <w:spacing w:line="360" w:lineRule="auto"/>
              <w:rPr>
                <w:rFonts w:hint="eastAsia" w:ascii="宋体" w:hAnsi="宋体" w:eastAsia="宋体" w:cs="宋体"/>
                <w:color w:val="auto"/>
                <w:sz w:val="28"/>
                <w:szCs w:val="28"/>
              </w:rPr>
            </w:pPr>
          </w:p>
        </w:tc>
      </w:tr>
    </w:tbl>
    <w:p w14:paraId="2F94D8C0">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按谈判文件要求在本表后附相关人员证书。</w:t>
      </w:r>
    </w:p>
    <w:p w14:paraId="0837A3B7">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说明：</w:t>
      </w:r>
    </w:p>
    <w:p w14:paraId="326DCE6A">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1. “本项目拟任职务”栏应包括：项目负责人、项目联系人、项目服务人员或技术人员等。</w:t>
      </w:r>
    </w:p>
    <w:p w14:paraId="211227B9">
      <w:pPr>
        <w:keepNext w:val="0"/>
        <w:keepLines w:val="0"/>
        <w:pageBreakBefore w:val="0"/>
        <w:overflowPunct/>
        <w:topLinePunct w:val="0"/>
        <w:bidi w:val="0"/>
        <w:spacing w:line="360" w:lineRule="auto"/>
        <w:outlineLvl w:val="2"/>
        <w:rPr>
          <w:rFonts w:hint="eastAsia" w:ascii="宋体" w:hAnsi="宋体" w:eastAsia="宋体" w:cs="宋体"/>
          <w:color w:val="auto"/>
          <w:sz w:val="28"/>
          <w:szCs w:val="28"/>
        </w:rPr>
      </w:pPr>
      <w:r>
        <w:rPr>
          <w:rFonts w:hint="eastAsia" w:ascii="宋体" w:hAnsi="宋体" w:eastAsia="宋体" w:cs="宋体"/>
          <w:color w:val="auto"/>
          <w:sz w:val="28"/>
          <w:szCs w:val="28"/>
        </w:rPr>
        <w:t>2.如供应商中标，须按本表项目组成人员操作，不得随意更换。</w:t>
      </w:r>
    </w:p>
    <w:p w14:paraId="5844162A">
      <w:pPr>
        <w:keepNext w:val="0"/>
        <w:keepLines w:val="0"/>
        <w:pageBreakBefore w:val="0"/>
        <w:overflowPunct/>
        <w:topLinePunct w:val="0"/>
        <w:bidi w:val="0"/>
        <w:spacing w:line="360" w:lineRule="auto"/>
        <w:rPr>
          <w:rFonts w:hint="eastAsia" w:ascii="宋体" w:hAnsi="宋体" w:eastAsia="宋体" w:cs="宋体"/>
          <w:color w:val="auto"/>
          <w:sz w:val="28"/>
          <w:szCs w:val="28"/>
        </w:rPr>
        <w:sectPr>
          <w:footerReference r:id="rId34" w:type="default"/>
          <w:pgSz w:w="11900" w:h="16840"/>
          <w:pgMar w:top="1440" w:right="1080" w:bottom="1440" w:left="1080" w:header="0" w:footer="0" w:gutter="0"/>
          <w:pgNumType w:fmt="decimal"/>
          <w:cols w:space="720" w:num="1"/>
        </w:sectPr>
      </w:pPr>
    </w:p>
    <w:p w14:paraId="2D9040A8">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（以下格式文件由供应商根据需要选用）</w:t>
      </w:r>
    </w:p>
    <w:p w14:paraId="4CB96D01">
      <w:pPr>
        <w:keepNext w:val="0"/>
        <w:keepLines w:val="0"/>
        <w:pageBreakBefore w:val="0"/>
        <w:overflowPunct/>
        <w:topLinePunct w:val="0"/>
        <w:bidi w:val="0"/>
        <w:spacing w:line="360" w:lineRule="auto"/>
        <w:outlineLvl w:val="1"/>
        <w:rPr>
          <w:rFonts w:hint="eastAsia" w:ascii="宋体" w:hAnsi="宋体" w:eastAsia="宋体" w:cs="宋体"/>
          <w:color w:val="auto"/>
          <w:sz w:val="28"/>
          <w:szCs w:val="28"/>
        </w:rPr>
      </w:pPr>
      <w:r>
        <w:rPr>
          <w:rFonts w:hint="eastAsia" w:ascii="宋体" w:hAnsi="宋体" w:eastAsia="宋体" w:cs="宋体"/>
          <w:color w:val="auto"/>
          <w:sz w:val="28"/>
          <w:szCs w:val="28"/>
        </w:rPr>
        <w:t>十九、项目实施方案、质量保证及售后服务承诺等</w:t>
      </w:r>
    </w:p>
    <w:p w14:paraId="028B249C">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（内容和格式自拟）</w:t>
      </w:r>
    </w:p>
    <w:p w14:paraId="69B77E07">
      <w:pPr>
        <w:keepNext w:val="0"/>
        <w:keepLines w:val="0"/>
        <w:pageBreakBefore w:val="0"/>
        <w:overflowPunct/>
        <w:topLinePunct w:val="0"/>
        <w:bidi w:val="0"/>
        <w:spacing w:line="360" w:lineRule="auto"/>
        <w:rPr>
          <w:rFonts w:hint="eastAsia" w:ascii="宋体" w:hAnsi="宋体" w:eastAsia="宋体" w:cs="宋体"/>
          <w:color w:val="auto"/>
          <w:sz w:val="28"/>
          <w:szCs w:val="28"/>
        </w:rPr>
        <w:sectPr>
          <w:footerReference r:id="rId35" w:type="default"/>
          <w:pgSz w:w="11900" w:h="16840"/>
          <w:pgMar w:top="1440" w:right="1080" w:bottom="1440" w:left="1080" w:header="0" w:footer="0" w:gutter="0"/>
          <w:pgNumType w:fmt="decimal"/>
          <w:cols w:space="720" w:num="1"/>
        </w:sectPr>
      </w:pPr>
    </w:p>
    <w:p w14:paraId="36188AA2">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（以下格式文件由供应商根据需要选用）</w:t>
      </w:r>
    </w:p>
    <w:p w14:paraId="776A17A3">
      <w:pPr>
        <w:keepNext w:val="0"/>
        <w:keepLines w:val="0"/>
        <w:pageBreakBefore w:val="0"/>
        <w:overflowPunct/>
        <w:topLinePunct w:val="0"/>
        <w:bidi w:val="0"/>
        <w:spacing w:line="360" w:lineRule="auto"/>
        <w:outlineLvl w:val="1"/>
        <w:rPr>
          <w:rFonts w:hint="eastAsia" w:ascii="宋体" w:hAnsi="宋体" w:eastAsia="宋体" w:cs="宋体"/>
          <w:color w:val="auto"/>
          <w:sz w:val="28"/>
          <w:szCs w:val="28"/>
        </w:rPr>
      </w:pPr>
      <w:r>
        <w:rPr>
          <w:rFonts w:hint="eastAsia" w:ascii="宋体" w:hAnsi="宋体" w:eastAsia="宋体" w:cs="宋体"/>
          <w:color w:val="auto"/>
          <w:sz w:val="28"/>
          <w:szCs w:val="28"/>
        </w:rPr>
        <w:t>二十、供应商业绩情况表</w:t>
      </w:r>
    </w:p>
    <w:tbl>
      <w:tblPr>
        <w:tblStyle w:val="14"/>
        <w:tblW w:w="980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5"/>
        <w:gridCol w:w="2290"/>
        <w:gridCol w:w="2290"/>
        <w:gridCol w:w="2291"/>
        <w:gridCol w:w="1549"/>
      </w:tblGrid>
      <w:tr w14:paraId="05088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385" w:type="dxa"/>
            <w:vAlign w:val="top"/>
          </w:tcPr>
          <w:p w14:paraId="78456730">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序号</w:t>
            </w:r>
          </w:p>
        </w:tc>
        <w:tc>
          <w:tcPr>
            <w:tcW w:w="2290" w:type="dxa"/>
            <w:vAlign w:val="top"/>
          </w:tcPr>
          <w:p w14:paraId="76B08453">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使用单位</w:t>
            </w:r>
          </w:p>
        </w:tc>
        <w:tc>
          <w:tcPr>
            <w:tcW w:w="2290" w:type="dxa"/>
            <w:vAlign w:val="top"/>
          </w:tcPr>
          <w:p w14:paraId="4DEBECF3">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业绩名称</w:t>
            </w:r>
          </w:p>
        </w:tc>
        <w:tc>
          <w:tcPr>
            <w:tcW w:w="2291" w:type="dxa"/>
            <w:vAlign w:val="top"/>
          </w:tcPr>
          <w:p w14:paraId="2EA5E162">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合同总价</w:t>
            </w:r>
          </w:p>
        </w:tc>
        <w:tc>
          <w:tcPr>
            <w:tcW w:w="1549" w:type="dxa"/>
            <w:vAlign w:val="top"/>
          </w:tcPr>
          <w:p w14:paraId="706B15B5">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签订时间</w:t>
            </w:r>
          </w:p>
        </w:tc>
      </w:tr>
      <w:tr w14:paraId="6AF1D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4" w:hRule="atLeast"/>
        </w:trPr>
        <w:tc>
          <w:tcPr>
            <w:tcW w:w="1385" w:type="dxa"/>
            <w:vAlign w:val="top"/>
          </w:tcPr>
          <w:p w14:paraId="6D50C93A">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1</w:t>
            </w:r>
          </w:p>
        </w:tc>
        <w:tc>
          <w:tcPr>
            <w:tcW w:w="2290" w:type="dxa"/>
            <w:vAlign w:val="top"/>
          </w:tcPr>
          <w:p w14:paraId="25B4D4D9">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2290" w:type="dxa"/>
            <w:vAlign w:val="top"/>
          </w:tcPr>
          <w:p w14:paraId="2D8E6B22">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2291" w:type="dxa"/>
            <w:vAlign w:val="top"/>
          </w:tcPr>
          <w:p w14:paraId="7924EC03">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1549" w:type="dxa"/>
            <w:vAlign w:val="top"/>
          </w:tcPr>
          <w:p w14:paraId="6FDCB21B">
            <w:pPr>
              <w:keepNext w:val="0"/>
              <w:keepLines w:val="0"/>
              <w:pageBreakBefore w:val="0"/>
              <w:overflowPunct/>
              <w:topLinePunct w:val="0"/>
              <w:bidi w:val="0"/>
              <w:spacing w:line="360" w:lineRule="auto"/>
              <w:rPr>
                <w:rFonts w:hint="eastAsia" w:ascii="宋体" w:hAnsi="宋体" w:eastAsia="宋体" w:cs="宋体"/>
                <w:color w:val="auto"/>
                <w:sz w:val="28"/>
                <w:szCs w:val="28"/>
              </w:rPr>
            </w:pPr>
          </w:p>
        </w:tc>
      </w:tr>
      <w:tr w14:paraId="6D03C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4" w:hRule="atLeast"/>
        </w:trPr>
        <w:tc>
          <w:tcPr>
            <w:tcW w:w="1385" w:type="dxa"/>
            <w:vAlign w:val="top"/>
          </w:tcPr>
          <w:p w14:paraId="6D90A3AE">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2</w:t>
            </w:r>
          </w:p>
        </w:tc>
        <w:tc>
          <w:tcPr>
            <w:tcW w:w="2290" w:type="dxa"/>
            <w:vAlign w:val="top"/>
          </w:tcPr>
          <w:p w14:paraId="747B817B">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2290" w:type="dxa"/>
            <w:vAlign w:val="top"/>
          </w:tcPr>
          <w:p w14:paraId="2C4A41A7">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2291" w:type="dxa"/>
            <w:vAlign w:val="top"/>
          </w:tcPr>
          <w:p w14:paraId="319D9942">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1549" w:type="dxa"/>
            <w:vAlign w:val="top"/>
          </w:tcPr>
          <w:p w14:paraId="3F9E27B6">
            <w:pPr>
              <w:keepNext w:val="0"/>
              <w:keepLines w:val="0"/>
              <w:pageBreakBefore w:val="0"/>
              <w:overflowPunct/>
              <w:topLinePunct w:val="0"/>
              <w:bidi w:val="0"/>
              <w:spacing w:line="360" w:lineRule="auto"/>
              <w:rPr>
                <w:rFonts w:hint="eastAsia" w:ascii="宋体" w:hAnsi="宋体" w:eastAsia="宋体" w:cs="宋体"/>
                <w:color w:val="auto"/>
                <w:sz w:val="28"/>
                <w:szCs w:val="28"/>
              </w:rPr>
            </w:pPr>
          </w:p>
        </w:tc>
      </w:tr>
      <w:tr w14:paraId="1C1D4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385" w:type="dxa"/>
            <w:vAlign w:val="top"/>
          </w:tcPr>
          <w:p w14:paraId="6218DFED">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3</w:t>
            </w:r>
          </w:p>
        </w:tc>
        <w:tc>
          <w:tcPr>
            <w:tcW w:w="2290" w:type="dxa"/>
            <w:vAlign w:val="top"/>
          </w:tcPr>
          <w:p w14:paraId="015A901C">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2290" w:type="dxa"/>
            <w:vAlign w:val="top"/>
          </w:tcPr>
          <w:p w14:paraId="29184264">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2291" w:type="dxa"/>
            <w:vAlign w:val="top"/>
          </w:tcPr>
          <w:p w14:paraId="39E60D96">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1549" w:type="dxa"/>
            <w:vAlign w:val="top"/>
          </w:tcPr>
          <w:p w14:paraId="78D3D074">
            <w:pPr>
              <w:keepNext w:val="0"/>
              <w:keepLines w:val="0"/>
              <w:pageBreakBefore w:val="0"/>
              <w:overflowPunct/>
              <w:topLinePunct w:val="0"/>
              <w:bidi w:val="0"/>
              <w:spacing w:line="360" w:lineRule="auto"/>
              <w:rPr>
                <w:rFonts w:hint="eastAsia" w:ascii="宋体" w:hAnsi="宋体" w:eastAsia="宋体" w:cs="宋体"/>
                <w:color w:val="auto"/>
                <w:sz w:val="28"/>
                <w:szCs w:val="28"/>
              </w:rPr>
            </w:pPr>
          </w:p>
        </w:tc>
      </w:tr>
      <w:tr w14:paraId="1FA03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385" w:type="dxa"/>
            <w:vAlign w:val="top"/>
          </w:tcPr>
          <w:p w14:paraId="174B1123">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4</w:t>
            </w:r>
          </w:p>
        </w:tc>
        <w:tc>
          <w:tcPr>
            <w:tcW w:w="2290" w:type="dxa"/>
            <w:vAlign w:val="top"/>
          </w:tcPr>
          <w:p w14:paraId="0230AFEB">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2290" w:type="dxa"/>
            <w:vAlign w:val="top"/>
          </w:tcPr>
          <w:p w14:paraId="7B97D249">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2291" w:type="dxa"/>
            <w:vAlign w:val="top"/>
          </w:tcPr>
          <w:p w14:paraId="159FA451">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1549" w:type="dxa"/>
            <w:vAlign w:val="top"/>
          </w:tcPr>
          <w:p w14:paraId="071203A8">
            <w:pPr>
              <w:keepNext w:val="0"/>
              <w:keepLines w:val="0"/>
              <w:pageBreakBefore w:val="0"/>
              <w:overflowPunct/>
              <w:topLinePunct w:val="0"/>
              <w:bidi w:val="0"/>
              <w:spacing w:line="360" w:lineRule="auto"/>
              <w:rPr>
                <w:rFonts w:hint="eastAsia" w:ascii="宋体" w:hAnsi="宋体" w:eastAsia="宋体" w:cs="宋体"/>
                <w:color w:val="auto"/>
                <w:sz w:val="28"/>
                <w:szCs w:val="28"/>
              </w:rPr>
            </w:pPr>
          </w:p>
        </w:tc>
      </w:tr>
      <w:tr w14:paraId="35A95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385" w:type="dxa"/>
            <w:vAlign w:val="top"/>
          </w:tcPr>
          <w:p w14:paraId="38EA494D">
            <w:pPr>
              <w:keepNext w:val="0"/>
              <w:keepLines w:val="0"/>
              <w:pageBreakBefore w:val="0"/>
              <w:overflowPunct/>
              <w:topLinePunct w:val="0"/>
              <w:bidi w:val="0"/>
              <w:spacing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w:t>
            </w:r>
          </w:p>
        </w:tc>
        <w:tc>
          <w:tcPr>
            <w:tcW w:w="2290" w:type="dxa"/>
            <w:vAlign w:val="top"/>
          </w:tcPr>
          <w:p w14:paraId="0F215321">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2290" w:type="dxa"/>
            <w:vAlign w:val="top"/>
          </w:tcPr>
          <w:p w14:paraId="47A983C1">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2291" w:type="dxa"/>
            <w:vAlign w:val="top"/>
          </w:tcPr>
          <w:p w14:paraId="66090CFE">
            <w:pPr>
              <w:keepNext w:val="0"/>
              <w:keepLines w:val="0"/>
              <w:pageBreakBefore w:val="0"/>
              <w:overflowPunct/>
              <w:topLinePunct w:val="0"/>
              <w:bidi w:val="0"/>
              <w:spacing w:line="360" w:lineRule="auto"/>
              <w:rPr>
                <w:rFonts w:hint="eastAsia" w:ascii="宋体" w:hAnsi="宋体" w:eastAsia="宋体" w:cs="宋体"/>
                <w:color w:val="auto"/>
                <w:sz w:val="28"/>
                <w:szCs w:val="28"/>
              </w:rPr>
            </w:pPr>
          </w:p>
        </w:tc>
        <w:tc>
          <w:tcPr>
            <w:tcW w:w="1549" w:type="dxa"/>
            <w:vAlign w:val="top"/>
          </w:tcPr>
          <w:p w14:paraId="375CE76A">
            <w:pPr>
              <w:keepNext w:val="0"/>
              <w:keepLines w:val="0"/>
              <w:pageBreakBefore w:val="0"/>
              <w:overflowPunct/>
              <w:topLinePunct w:val="0"/>
              <w:bidi w:val="0"/>
              <w:spacing w:line="360" w:lineRule="auto"/>
              <w:rPr>
                <w:rFonts w:hint="eastAsia" w:ascii="宋体" w:hAnsi="宋体" w:eastAsia="宋体" w:cs="宋体"/>
                <w:color w:val="auto"/>
                <w:sz w:val="28"/>
                <w:szCs w:val="28"/>
              </w:rPr>
            </w:pPr>
          </w:p>
        </w:tc>
      </w:tr>
    </w:tbl>
    <w:p w14:paraId="3B7E55B2">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供应商根据上述业绩情况后附销售或服务合同复印件。</w:t>
      </w:r>
    </w:p>
    <w:p w14:paraId="7EE87F16">
      <w:pPr>
        <w:keepNext w:val="0"/>
        <w:keepLines w:val="0"/>
        <w:pageBreakBefore w:val="0"/>
        <w:overflowPunct/>
        <w:topLinePunct w:val="0"/>
        <w:bidi w:val="0"/>
        <w:spacing w:line="360" w:lineRule="auto"/>
        <w:rPr>
          <w:rFonts w:hint="eastAsia" w:ascii="宋体" w:hAnsi="宋体" w:eastAsia="宋体" w:cs="宋体"/>
          <w:color w:val="auto"/>
          <w:sz w:val="28"/>
          <w:szCs w:val="28"/>
        </w:rPr>
        <w:sectPr>
          <w:footerReference r:id="rId36" w:type="default"/>
          <w:pgSz w:w="11900" w:h="16840"/>
          <w:pgMar w:top="1440" w:right="1080" w:bottom="1440" w:left="1080" w:header="0" w:footer="0" w:gutter="0"/>
          <w:pgNumType w:fmt="decimal"/>
          <w:cols w:space="720" w:num="1"/>
        </w:sectPr>
      </w:pPr>
    </w:p>
    <w:p w14:paraId="761BF370">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（以下格式文件由供应商根据需要选用）</w:t>
      </w:r>
    </w:p>
    <w:p w14:paraId="46B53DA6">
      <w:pPr>
        <w:keepNext w:val="0"/>
        <w:keepLines w:val="0"/>
        <w:pageBreakBefore w:val="0"/>
        <w:overflowPunct/>
        <w:topLinePunct w:val="0"/>
        <w:bidi w:val="0"/>
        <w:spacing w:line="360" w:lineRule="auto"/>
        <w:outlineLvl w:val="1"/>
        <w:rPr>
          <w:rFonts w:hint="eastAsia" w:ascii="宋体" w:hAnsi="宋体" w:eastAsia="宋体" w:cs="宋体"/>
          <w:color w:val="auto"/>
          <w:sz w:val="28"/>
          <w:szCs w:val="28"/>
        </w:rPr>
      </w:pPr>
      <w:r>
        <w:rPr>
          <w:rFonts w:hint="eastAsia" w:ascii="宋体" w:hAnsi="宋体" w:eastAsia="宋体" w:cs="宋体"/>
          <w:color w:val="auto"/>
          <w:sz w:val="28"/>
          <w:szCs w:val="28"/>
        </w:rPr>
        <w:t>二十一、其他证明材料</w:t>
      </w:r>
    </w:p>
    <w:p w14:paraId="3D53DE95">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1.谈判文件要求提供的其他资料。</w:t>
      </w:r>
    </w:p>
    <w:p w14:paraId="44670614">
      <w:pPr>
        <w:keepNext w:val="0"/>
        <w:keepLines w:val="0"/>
        <w:pageBreakBefore w:val="0"/>
        <w:overflowPunct/>
        <w:topLinePunct w:val="0"/>
        <w:bidi w:val="0"/>
        <w:spacing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2.供应商认为需提供的其他资料。</w:t>
      </w:r>
    </w:p>
    <w:bookmarkEnd w:id="29"/>
    <w:sectPr>
      <w:footerReference r:id="rId37" w:type="default"/>
      <w:pgSz w:w="11900" w:h="16840"/>
      <w:pgMar w:top="1440" w:right="1080" w:bottom="1440" w:left="1080" w:header="0" w:footer="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Lucida Sans Unicode">
    <w:panose1 w:val="020B0602030504020204"/>
    <w:charset w:val="00"/>
    <w:family w:val="auto"/>
    <w:pitch w:val="default"/>
    <w:sig w:usb0="80001AFF" w:usb1="0000396B" w:usb2="00000000" w:usb3="00000000" w:csb0="200000BF" w:csb1="D7F70000"/>
  </w:font>
  <w:font w:name="Segoe UI Symbol">
    <w:panose1 w:val="020B0502040204020203"/>
    <w:charset w:val="00"/>
    <w:family w:val="auto"/>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6587B">
    <w:pPr>
      <w:spacing w:line="173" w:lineRule="auto"/>
      <w:ind w:left="4441"/>
      <w:rPr>
        <w:rFonts w:ascii="Lucida Sans Unicode" w:hAnsi="Lucida Sans Unicode" w:eastAsia="Lucida Sans Unicode" w:cs="Lucida Sans Unicode"/>
        <w:sz w:val="24"/>
        <w:szCs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FEB85">
    <w:pPr>
      <w:pStyle w:val="4"/>
      <w:spacing w:line="14" w:lineRule="auto"/>
      <w:rPr>
        <w:sz w:val="20"/>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038D8">
    <w:pPr>
      <w:spacing w:line="173" w:lineRule="auto"/>
      <w:ind w:left="4806"/>
      <w:rPr>
        <w:rFonts w:ascii="Lucida Sans Unicode" w:hAnsi="Lucida Sans Unicode" w:eastAsia="Lucida Sans Unicode" w:cs="Lucida Sans Unicode"/>
        <w:sz w:val="24"/>
        <w:szCs w:val="24"/>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37F83">
    <w:pPr>
      <w:spacing w:before="1" w:line="192" w:lineRule="auto"/>
      <w:ind w:left="4813"/>
      <w:rPr>
        <w:rFonts w:ascii="Segoe UI Symbol" w:hAnsi="Segoe UI Symbol" w:eastAsia="Segoe UI Symbol" w:cs="Segoe UI Symbol"/>
        <w:sz w:val="24"/>
        <w:szCs w:val="24"/>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0C3B3">
    <w:pPr>
      <w:spacing w:line="173" w:lineRule="auto"/>
      <w:ind w:left="4421"/>
      <w:rPr>
        <w:rFonts w:ascii="Lucida Sans Unicode" w:hAnsi="Lucida Sans Unicode" w:eastAsia="Lucida Sans Unicode" w:cs="Lucida Sans Unicode"/>
        <w:sz w:val="24"/>
        <w:szCs w:val="24"/>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2931C">
    <w:pPr>
      <w:spacing w:line="173" w:lineRule="auto"/>
      <w:ind w:left="4799"/>
      <w:rPr>
        <w:rFonts w:ascii="Lucida Sans Unicode" w:hAnsi="Lucida Sans Unicode" w:eastAsia="Lucida Sans Unicode" w:cs="Lucida Sans Unicode"/>
        <w:sz w:val="24"/>
        <w:szCs w:val="24"/>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B247A">
    <w:pPr>
      <w:spacing w:line="173" w:lineRule="auto"/>
      <w:ind w:left="4799"/>
      <w:rPr>
        <w:rFonts w:ascii="Lucida Sans Unicode" w:hAnsi="Lucida Sans Unicode" w:eastAsia="Lucida Sans Unicode" w:cs="Lucida Sans Unicode"/>
        <w:sz w:val="24"/>
        <w:szCs w:val="24"/>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45C2D">
    <w:pPr>
      <w:spacing w:line="173" w:lineRule="auto"/>
      <w:ind w:left="4805"/>
      <w:rPr>
        <w:rFonts w:ascii="Lucida Sans Unicode" w:hAnsi="Lucida Sans Unicode" w:eastAsia="Lucida Sans Unicode" w:cs="Lucida Sans Unicode"/>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posOffset>3000375</wp:posOffset>
              </wp:positionH>
              <wp:positionV relativeFrom="paragraph">
                <wp:posOffset>-567055</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1D3EF">
                          <w:pPr>
                            <w:pStyle w:val="7"/>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36.25pt;margin-top:-44.65pt;height:144pt;width:144pt;mso-position-horizontal-relative:margin;mso-wrap-style:none;z-index:251659264;mso-width-relative:page;mso-height-relative:page;" filled="f" stroked="f" coordsize="21600,21600" o:gfxdata="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4lQUx2QAAAAsBAAAPAAAAAAAAAAEAIAAAACIAAABkcnMvZG93bnJldi54&#10;bWxQSwECFAAUAAAACACHTuJAESHG4jICAABjBAAADgAAAAAAAAABACAAAAAoAQAAZHJzL2Uyb0Rv&#10;Yy54bWxQSwUGAAAAAAYABgBZAQAAzAUAAAAA&#10;">
              <v:fill on="f" focussize="0,0"/>
              <v:stroke on="f" weight="0.5pt"/>
              <v:imagedata o:title=""/>
              <o:lock v:ext="edit" aspectratio="f"/>
              <v:textbox inset="0mm,0mm,0mm,0mm" style="mso-fit-shape-to-text:t;">
                <w:txbxContent>
                  <w:p w14:paraId="3561D3EF">
                    <w:pPr>
                      <w:pStyle w:val="7"/>
                    </w:pP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AA971">
    <w:pPr>
      <w:spacing w:line="173" w:lineRule="auto"/>
      <w:ind w:left="4814"/>
      <w:rPr>
        <w:rFonts w:ascii="Lucida Sans Unicode" w:hAnsi="Lucida Sans Unicode" w:eastAsia="Lucida Sans Unicode" w:cs="Lucida Sans Unicode"/>
        <w:sz w:val="24"/>
        <w:szCs w:val="24"/>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C5E2D">
    <w:pPr>
      <w:spacing w:line="173" w:lineRule="auto"/>
      <w:rPr>
        <w:rFonts w:ascii="Lucida Sans Unicode" w:hAnsi="Lucida Sans Unicode" w:eastAsia="Lucida Sans Unicode" w:cs="Lucida Sans Unicode"/>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posOffset>3008630</wp:posOffset>
              </wp:positionH>
              <wp:positionV relativeFrom="paragraph">
                <wp:posOffset>-593090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488ADB">
                          <w:pPr>
                            <w:pStyle w:val="7"/>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36.9pt;margin-top:-46.7pt;height:144pt;width:144pt;mso-position-horizontal-relative:margin;mso-wrap-style:none;z-index:251660288;mso-width-relative:page;mso-height-relative:page;" filled="f" stroked="f" coordsize="21600,21600" o:gfxdata="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qXegr2AAAAAsBAAAPAAAAAAAAAAEAIAAAACIAAABkcnMvZG93bnJldi54&#10;bWxQSwECFAAUAAAACACHTuJAXtok7jMCAABjBAAADgAAAAAAAAABACAAAAAnAQAAZHJzL2Uyb0Rv&#10;Yy54bWxQSwUGAAAAAAYABgBZAQAAzAUAAAAA&#10;">
              <v:fill on="f" focussize="0,0"/>
              <v:stroke on="f" weight="0.5pt"/>
              <v:imagedata o:title=""/>
              <o:lock v:ext="edit" aspectratio="f"/>
              <v:textbox inset="0mm,0mm,0mm,0mm" style="mso-fit-shape-to-text:t;">
                <w:txbxContent>
                  <w:p w14:paraId="78488ADB">
                    <w:pPr>
                      <w:pStyle w:val="7"/>
                    </w:pP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6F2E5">
    <w:pPr>
      <w:spacing w:line="173" w:lineRule="auto"/>
      <w:ind w:left="4813"/>
      <w:rPr>
        <w:rFonts w:ascii="Lucida Sans Unicode" w:hAnsi="Lucida Sans Unicode" w:eastAsia="Lucida Sans Unicode" w:cs="Lucida Sans Unicode"/>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D6FEE">
    <w:pPr>
      <w:spacing w:line="173" w:lineRule="auto"/>
      <w:rPr>
        <w:rFonts w:ascii="Lucida Sans Unicode" w:hAnsi="Lucida Sans Unicode" w:eastAsia="Lucida Sans Unicode" w:cs="Lucida Sans Unicode"/>
        <w:sz w:val="24"/>
        <w:szCs w:val="24"/>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10B27">
    <w:pPr>
      <w:spacing w:line="173" w:lineRule="auto"/>
      <w:ind w:left="4421"/>
      <w:rPr>
        <w:rFonts w:ascii="Lucida Sans Unicode" w:hAnsi="Lucida Sans Unicode" w:eastAsia="Lucida Sans Unicode" w:cs="Lucida Sans Unicode"/>
        <w:sz w:val="24"/>
        <w:szCs w:val="24"/>
      </w:rPr>
    </w:pPr>
    <w:r>
      <w:rPr>
        <w:sz w:val="24"/>
      </w:rPr>
      <mc:AlternateContent>
        <mc:Choice Requires="wps">
          <w:drawing>
            <wp:anchor distT="0" distB="0" distL="114300" distR="114300" simplePos="0" relativeHeight="251661312" behindDoc="0" locked="0" layoutInCell="1" allowOverlap="1">
              <wp:simplePos x="0" y="0"/>
              <wp:positionH relativeFrom="margin">
                <wp:posOffset>3000375</wp:posOffset>
              </wp:positionH>
              <wp:positionV relativeFrom="paragraph">
                <wp:posOffset>-609600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CAA46D">
                          <w:pPr>
                            <w:pStyle w:val="7"/>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36.25pt;margin-top:-48pt;height:144pt;width:144pt;mso-position-horizontal-relative:margin;mso-wrap-style:none;z-index:251661312;mso-width-relative:page;mso-height-relative:page;" filled="f" stroked="f" coordsize="21600,21600" o:gfxdata="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P6N/5nYAAAACwEAAA8AAAAAAAAAAQAgAAAAIgAAAGRycy9kb3ducmV2Lnht&#10;bFBLAQIUABQAAAAIAIdO4kCbjHrqMgIAAGMEAAAOAAAAAAAAAAEAIAAAACcBAABkcnMvZTJvRG9j&#10;LnhtbFBLBQYAAAAABgAGAFkBAADLBQAAAAA=&#10;">
              <v:fill on="f" focussize="0,0"/>
              <v:stroke on="f" weight="0.5pt"/>
              <v:imagedata o:title=""/>
              <o:lock v:ext="edit" aspectratio="f"/>
              <v:textbox inset="0mm,0mm,0mm,0mm" style="mso-fit-shape-to-text:t;">
                <w:txbxContent>
                  <w:p w14:paraId="30CAA46D">
                    <w:pPr>
                      <w:pStyle w:val="7"/>
                    </w:pP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72979">
    <w:pPr>
      <w:spacing w:line="173" w:lineRule="auto"/>
      <w:ind w:left="4421"/>
      <w:rPr>
        <w:rFonts w:ascii="Lucida Sans Unicode" w:hAnsi="Lucida Sans Unicode" w:eastAsia="Lucida Sans Unicode" w:cs="Lucida Sans Unicode"/>
        <w:sz w:val="24"/>
        <w:szCs w:val="24"/>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7EAB4">
    <w:pPr>
      <w:spacing w:line="173" w:lineRule="auto"/>
      <w:ind w:left="4421"/>
      <w:rPr>
        <w:rFonts w:ascii="Lucida Sans Unicode" w:hAnsi="Lucida Sans Unicode" w:eastAsia="Lucida Sans Unicode" w:cs="Lucida Sans Unicode"/>
        <w:sz w:val="24"/>
        <w:szCs w:val="24"/>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26D5C">
    <w:pPr>
      <w:spacing w:line="173" w:lineRule="auto"/>
      <w:ind w:left="4421"/>
      <w:rPr>
        <w:rFonts w:ascii="Lucida Sans Unicode" w:hAnsi="Lucida Sans Unicode" w:eastAsia="Lucida Sans Unicode" w:cs="Lucida Sans Unicode"/>
        <w:sz w:val="24"/>
        <w:szCs w:val="24"/>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65ED8">
    <w:pPr>
      <w:spacing w:line="173" w:lineRule="auto"/>
      <w:ind w:left="4804"/>
      <w:rPr>
        <w:rFonts w:ascii="Lucida Sans Unicode" w:hAnsi="Lucida Sans Unicode" w:eastAsia="Lucida Sans Unicode" w:cs="Lucida Sans Unicode"/>
        <w:sz w:val="24"/>
        <w:szCs w:val="24"/>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6D0C9">
    <w:pPr>
      <w:spacing w:line="173" w:lineRule="auto"/>
      <w:ind w:left="4805"/>
      <w:rPr>
        <w:rFonts w:ascii="Lucida Sans Unicode" w:hAnsi="Lucida Sans Unicode" w:eastAsia="Lucida Sans Unicode" w:cs="Lucida Sans Unicode"/>
        <w:sz w:val="24"/>
        <w:szCs w:val="24"/>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7CD91">
    <w:pPr>
      <w:spacing w:line="173" w:lineRule="auto"/>
      <w:ind w:left="4806"/>
      <w:rPr>
        <w:rFonts w:ascii="Lucida Sans Unicode" w:hAnsi="Lucida Sans Unicode" w:eastAsia="Lucida Sans Unicode" w:cs="Lucida Sans Unicode"/>
        <w:sz w:val="24"/>
        <w:szCs w:val="24"/>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FA9F8">
    <w:pPr>
      <w:spacing w:line="173" w:lineRule="auto"/>
      <w:ind w:left="4420"/>
      <w:rPr>
        <w:rFonts w:ascii="Lucida Sans Unicode" w:hAnsi="Lucida Sans Unicode" w:eastAsia="Lucida Sans Unicode" w:cs="Lucida Sans Unicode"/>
        <w:sz w:val="24"/>
        <w:szCs w:val="24"/>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92ABB">
    <w:pPr>
      <w:spacing w:line="173" w:lineRule="auto"/>
      <w:ind w:left="4804"/>
      <w:rPr>
        <w:rFonts w:ascii="Lucida Sans Unicode" w:hAnsi="Lucida Sans Unicode" w:eastAsia="Lucida Sans Unicode" w:cs="Lucida Sans Unicode"/>
        <w:sz w:val="24"/>
        <w:szCs w:val="24"/>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A55FD">
    <w:pPr>
      <w:spacing w:line="173" w:lineRule="auto"/>
      <w:ind w:left="4804"/>
      <w:rPr>
        <w:rFonts w:ascii="Lucida Sans Unicode" w:hAnsi="Lucida Sans Unicode" w:eastAsia="Lucida Sans Unicode" w:cs="Lucida Sans Unicode"/>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C3994">
    <w:pPr>
      <w:spacing w:line="173" w:lineRule="auto"/>
      <w:rPr>
        <w:rFonts w:ascii="Lucida Sans Unicode" w:hAnsi="Lucida Sans Unicode" w:eastAsia="Lucida Sans Unicode" w:cs="Lucida Sans Unicode"/>
        <w:sz w:val="24"/>
        <w:szCs w:val="24"/>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12011">
    <w:pPr>
      <w:spacing w:line="173" w:lineRule="auto"/>
      <w:ind w:left="4813"/>
      <w:rPr>
        <w:rFonts w:ascii="Lucida Sans Unicode" w:hAnsi="Lucida Sans Unicode" w:eastAsia="Lucida Sans Unicode" w:cs="Lucida Sans Unicode"/>
        <w:sz w:val="24"/>
        <w:szCs w:val="24"/>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F351C">
    <w:pPr>
      <w:spacing w:line="173" w:lineRule="auto"/>
      <w:ind w:left="4415"/>
      <w:rPr>
        <w:rFonts w:ascii="Lucida Sans Unicode" w:hAnsi="Lucida Sans Unicode" w:eastAsia="Lucida Sans Unicode" w:cs="Lucida Sans Unicode"/>
        <w:sz w:val="24"/>
        <w:szCs w:val="24"/>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7B148">
    <w:pPr>
      <w:spacing w:line="173" w:lineRule="auto"/>
      <w:ind w:left="4813"/>
      <w:rPr>
        <w:rFonts w:ascii="Lucida Sans Unicode" w:hAnsi="Lucida Sans Unicode" w:eastAsia="Lucida Sans Unicode" w:cs="Lucida Sans Unicode"/>
        <w:sz w:val="24"/>
        <w:szCs w:val="24"/>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1F679">
    <w:pPr>
      <w:spacing w:line="173" w:lineRule="auto"/>
      <w:ind w:left="4415"/>
      <w:rPr>
        <w:rFonts w:ascii="Lucida Sans Unicode" w:hAnsi="Lucida Sans Unicode" w:eastAsia="Lucida Sans Unicode" w:cs="Lucida Sans Unicode"/>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15E09">
    <w:pPr>
      <w:spacing w:line="173" w:lineRule="auto"/>
      <w:ind w:left="4888"/>
      <w:rPr>
        <w:rFonts w:ascii="Lucida Sans Unicode" w:hAnsi="Lucida Sans Unicode" w:eastAsia="Lucida Sans Unicode" w:cs="Lucida Sans Unicode"/>
        <w:sz w:val="24"/>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4D702">
    <w:pPr>
      <w:spacing w:line="173" w:lineRule="auto"/>
      <w:ind w:left="4806"/>
      <w:rPr>
        <w:rFonts w:ascii="Lucida Sans Unicode" w:hAnsi="Lucida Sans Unicode" w:eastAsia="Lucida Sans Unicode" w:cs="Lucida Sans Unicode"/>
        <w:sz w:val="24"/>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F6773">
    <w:pPr>
      <w:spacing w:line="173" w:lineRule="auto"/>
      <w:ind w:left="4813"/>
      <w:rPr>
        <w:rFonts w:ascii="Lucida Sans Unicode" w:hAnsi="Lucida Sans Unicode" w:eastAsia="Lucida Sans Unicode" w:cs="Lucida Sans Unicode"/>
        <w:sz w:val="24"/>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49338">
    <w:pPr>
      <w:spacing w:line="173" w:lineRule="auto"/>
      <w:ind w:left="4804"/>
      <w:rPr>
        <w:rFonts w:ascii="Lucida Sans Unicode" w:hAnsi="Lucida Sans Unicode" w:eastAsia="Lucida Sans Unicode" w:cs="Lucida Sans Unicode"/>
        <w:sz w:val="24"/>
        <w:szCs w:val="2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35D52">
    <w:pPr>
      <w:spacing w:line="173" w:lineRule="auto"/>
      <w:ind w:left="4813"/>
      <w:rPr>
        <w:rFonts w:ascii="Lucida Sans Unicode" w:hAnsi="Lucida Sans Unicode" w:eastAsia="Lucida Sans Unicode" w:cs="Lucida Sans Unicode"/>
        <w:sz w:val="24"/>
        <w:szCs w:val="2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11158">
    <w:pPr>
      <w:spacing w:line="173" w:lineRule="auto"/>
      <w:ind w:left="4805"/>
      <w:rPr>
        <w:rFonts w:ascii="Lucida Sans Unicode" w:hAnsi="Lucida Sans Unicode" w:eastAsia="Lucida Sans Unicode" w:cs="Lucida Sans Unicode"/>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8E1472"/>
    <w:multiLevelType w:val="singleLevel"/>
    <w:tmpl w:val="968E1472"/>
    <w:lvl w:ilvl="0" w:tentative="0">
      <w:start w:val="1"/>
      <w:numFmt w:val="decimal"/>
      <w:lvlText w:val="%1."/>
      <w:lvlJc w:val="left"/>
      <w:pPr>
        <w:tabs>
          <w:tab w:val="left" w:pos="312"/>
        </w:tabs>
      </w:pPr>
    </w:lvl>
  </w:abstractNum>
  <w:abstractNum w:abstractNumId="1">
    <w:nsid w:val="9CEFA8AE"/>
    <w:multiLevelType w:val="singleLevel"/>
    <w:tmpl w:val="9CEFA8AE"/>
    <w:lvl w:ilvl="0" w:tentative="0">
      <w:start w:val="1"/>
      <w:numFmt w:val="decimal"/>
      <w:suff w:val="space"/>
      <w:lvlText w:val="%1."/>
      <w:lvlJc w:val="left"/>
    </w:lvl>
  </w:abstractNum>
  <w:abstractNum w:abstractNumId="2">
    <w:nsid w:val="C7A08801"/>
    <w:multiLevelType w:val="singleLevel"/>
    <w:tmpl w:val="C7A08801"/>
    <w:lvl w:ilvl="0" w:tentative="0">
      <w:start w:val="1"/>
      <w:numFmt w:val="decimal"/>
      <w:suff w:val="nothing"/>
      <w:lvlText w:val="%1、"/>
      <w:lvlJc w:val="left"/>
    </w:lvl>
  </w:abstractNum>
  <w:abstractNum w:abstractNumId="3">
    <w:nsid w:val="2CAABEF3"/>
    <w:multiLevelType w:val="singleLevel"/>
    <w:tmpl w:val="2CAABEF3"/>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docVars>
    <w:docVar w:name="commondata" w:val="eyJoZGlkIjoiOTk0MjNkOTAzMzIyNmU0OWM4NWIzODA4MDRhYWQxYTEifQ=="/>
  </w:docVars>
  <w:rsids>
    <w:rsidRoot w:val="00000000"/>
    <w:rsid w:val="02F31C94"/>
    <w:rsid w:val="049C66AB"/>
    <w:rsid w:val="04D14825"/>
    <w:rsid w:val="09D0027E"/>
    <w:rsid w:val="0A4C3D28"/>
    <w:rsid w:val="0AC27C6A"/>
    <w:rsid w:val="0B4B1C27"/>
    <w:rsid w:val="0C175030"/>
    <w:rsid w:val="0C2E01B4"/>
    <w:rsid w:val="0DE11320"/>
    <w:rsid w:val="0EC52B0D"/>
    <w:rsid w:val="0FA329BB"/>
    <w:rsid w:val="0FE16FFE"/>
    <w:rsid w:val="10484987"/>
    <w:rsid w:val="107E65FB"/>
    <w:rsid w:val="108A3BA0"/>
    <w:rsid w:val="124B7FBA"/>
    <w:rsid w:val="12AE3C35"/>
    <w:rsid w:val="131B7216"/>
    <w:rsid w:val="16351E52"/>
    <w:rsid w:val="168B3820"/>
    <w:rsid w:val="19ED6148"/>
    <w:rsid w:val="1C7F03E6"/>
    <w:rsid w:val="1CA5518A"/>
    <w:rsid w:val="1EA115B9"/>
    <w:rsid w:val="1EED0356"/>
    <w:rsid w:val="1F6C3160"/>
    <w:rsid w:val="20BD31E9"/>
    <w:rsid w:val="211B1C44"/>
    <w:rsid w:val="22AB46C8"/>
    <w:rsid w:val="22D327D6"/>
    <w:rsid w:val="23E9198A"/>
    <w:rsid w:val="24DE1906"/>
    <w:rsid w:val="27181100"/>
    <w:rsid w:val="290C6A42"/>
    <w:rsid w:val="2AB82A66"/>
    <w:rsid w:val="2E0757B3"/>
    <w:rsid w:val="30BD3271"/>
    <w:rsid w:val="311830F7"/>
    <w:rsid w:val="31457899"/>
    <w:rsid w:val="326014EF"/>
    <w:rsid w:val="3344649B"/>
    <w:rsid w:val="338D3D76"/>
    <w:rsid w:val="34353F2B"/>
    <w:rsid w:val="35305866"/>
    <w:rsid w:val="35900564"/>
    <w:rsid w:val="36906E4F"/>
    <w:rsid w:val="36BB55B0"/>
    <w:rsid w:val="37472DC6"/>
    <w:rsid w:val="378E2E2A"/>
    <w:rsid w:val="387E6B00"/>
    <w:rsid w:val="3A947B69"/>
    <w:rsid w:val="3BB20EFB"/>
    <w:rsid w:val="3C5A3B64"/>
    <w:rsid w:val="3D1805C6"/>
    <w:rsid w:val="3DF9654B"/>
    <w:rsid w:val="3E20523A"/>
    <w:rsid w:val="3F0D6C18"/>
    <w:rsid w:val="410F1EF0"/>
    <w:rsid w:val="427A45C5"/>
    <w:rsid w:val="43CC61C5"/>
    <w:rsid w:val="44D501D8"/>
    <w:rsid w:val="48D60789"/>
    <w:rsid w:val="49491A47"/>
    <w:rsid w:val="49814BA8"/>
    <w:rsid w:val="4B1762A2"/>
    <w:rsid w:val="4C9E7A01"/>
    <w:rsid w:val="4D523BE6"/>
    <w:rsid w:val="4D987FF5"/>
    <w:rsid w:val="4E293A1B"/>
    <w:rsid w:val="4F0B33AB"/>
    <w:rsid w:val="4F7E71A3"/>
    <w:rsid w:val="50961613"/>
    <w:rsid w:val="50D87983"/>
    <w:rsid w:val="54C459F4"/>
    <w:rsid w:val="55B33C1E"/>
    <w:rsid w:val="563632D2"/>
    <w:rsid w:val="56482618"/>
    <w:rsid w:val="567A7027"/>
    <w:rsid w:val="57A62736"/>
    <w:rsid w:val="58CD3249"/>
    <w:rsid w:val="58FA6008"/>
    <w:rsid w:val="5A34505B"/>
    <w:rsid w:val="5B9F7BC4"/>
    <w:rsid w:val="5BA858A7"/>
    <w:rsid w:val="5C4557EC"/>
    <w:rsid w:val="5CA815E4"/>
    <w:rsid w:val="5E980438"/>
    <w:rsid w:val="606457D9"/>
    <w:rsid w:val="60B34B89"/>
    <w:rsid w:val="626114A9"/>
    <w:rsid w:val="636C365E"/>
    <w:rsid w:val="641036CB"/>
    <w:rsid w:val="64C22554"/>
    <w:rsid w:val="687A3533"/>
    <w:rsid w:val="698E2580"/>
    <w:rsid w:val="6A0B004F"/>
    <w:rsid w:val="6BF377AD"/>
    <w:rsid w:val="6C164AAF"/>
    <w:rsid w:val="6C901D47"/>
    <w:rsid w:val="6F3D10E9"/>
    <w:rsid w:val="6F5E6183"/>
    <w:rsid w:val="6FEA7252"/>
    <w:rsid w:val="70951D72"/>
    <w:rsid w:val="71107D1F"/>
    <w:rsid w:val="74ED18E7"/>
    <w:rsid w:val="75732613"/>
    <w:rsid w:val="75877B74"/>
    <w:rsid w:val="76222305"/>
    <w:rsid w:val="765829B4"/>
    <w:rsid w:val="769375EA"/>
    <w:rsid w:val="7805586C"/>
    <w:rsid w:val="784A1D68"/>
    <w:rsid w:val="786A4EB6"/>
    <w:rsid w:val="78893EA1"/>
    <w:rsid w:val="79A33E26"/>
    <w:rsid w:val="7AE30252"/>
    <w:rsid w:val="7C6226DD"/>
    <w:rsid w:val="7ED93C43"/>
    <w:rsid w:val="7F1077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9"/>
    <w:pPr>
      <w:keepNext/>
      <w:keepLines/>
      <w:spacing w:afterLines="50"/>
      <w:outlineLvl w:val="1"/>
    </w:pPr>
    <w:rPr>
      <w:rFonts w:ascii="等线 Light" w:hAnsi="等线 Light"/>
      <w:b/>
      <w:bCs/>
      <w:kern w:val="0"/>
      <w:sz w:val="28"/>
      <w:szCs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next w:val="5"/>
    <w:semiHidden/>
    <w:qFormat/>
    <w:uiPriority w:val="0"/>
    <w:rPr>
      <w:rFonts w:ascii="Arial" w:hAnsi="Arial" w:eastAsia="Arial" w:cs="Arial"/>
      <w:sz w:val="21"/>
      <w:szCs w:val="21"/>
      <w:lang w:val="en-US" w:eastAsia="en-US" w:bidi="ar-SA"/>
    </w:rPr>
  </w:style>
  <w:style w:type="paragraph" w:customStyle="1" w:styleId="5">
    <w:name w:val="_Style 2"/>
    <w:basedOn w:val="1"/>
    <w:next w:val="1"/>
    <w:qFormat/>
    <w:uiPriority w:val="0"/>
    <w:pPr>
      <w:ind w:firstLine="420" w:firstLineChars="200"/>
    </w:pPr>
  </w:style>
  <w:style w:type="paragraph" w:styleId="6">
    <w:name w:val="toc 3"/>
    <w:basedOn w:val="1"/>
    <w:next w:val="1"/>
    <w:qFormat/>
    <w:uiPriority w:val="0"/>
    <w:pPr>
      <w:ind w:left="840" w:leftChars="4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Normal (Web)"/>
    <w:basedOn w:val="1"/>
    <w:unhideWhenUsed/>
    <w:qFormat/>
    <w:uiPriority w:val="0"/>
    <w:pPr>
      <w:spacing w:beforeAutospacing="1" w:afterAutospacing="1"/>
      <w:jc w:val="left"/>
    </w:pPr>
    <w:rPr>
      <w:kern w:val="0"/>
      <w:sz w:val="24"/>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宋体" w:hAnsi="宋体" w:eastAsia="宋体" w:cs="宋体"/>
      <w:sz w:val="19"/>
      <w:szCs w:val="19"/>
      <w:lang w:val="en-US" w:eastAsia="en-US" w:bidi="ar-SA"/>
    </w:rPr>
  </w:style>
  <w:style w:type="paragraph" w:styleId="16">
    <w:name w:val="List Paragraph"/>
    <w:basedOn w:val="1"/>
    <w:qFormat/>
    <w:uiPriority w:val="1"/>
    <w:pPr>
      <w:spacing w:line="228" w:lineRule="exact"/>
      <w:ind w:left="312" w:hanging="506"/>
    </w:pPr>
    <w:rPr>
      <w:rFonts w:ascii="宋体" w:hAnsi="宋体" w:eastAsia="宋体" w:cs="宋体"/>
      <w:lang w:val="zh-CN" w:eastAsia="zh-CN" w:bidi="zh-CN"/>
    </w:rPr>
  </w:style>
  <w:style w:type="paragraph" w:customStyle="1" w:styleId="17">
    <w:name w:val="Table Paragraph"/>
    <w:basedOn w:val="1"/>
    <w:autoRedefine/>
    <w:qFormat/>
    <w:uiPriority w:val="1"/>
    <w:pPr>
      <w:spacing w:line="360" w:lineRule="auto"/>
    </w:pPr>
    <w:rPr>
      <w:rFonts w:ascii="宋体" w:hAnsi="宋体" w:eastAsia="宋体" w:cs="宋体"/>
      <w:sz w:val="28"/>
    </w:rPr>
  </w:style>
  <w:style w:type="paragraph" w:customStyle="1" w:styleId="18">
    <w:name w:val="null5"/>
    <w:hidden/>
    <w:qFormat/>
    <w:uiPriority w:val="0"/>
    <w:rPr>
      <w:rFonts w:hint="eastAsia" w:asciiTheme="minorHAnsi" w:hAnsiTheme="minorHAnsi" w:eastAsiaTheme="minorEastAsia" w:cstheme="minorBidi"/>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1" Type="http://schemas.openxmlformats.org/officeDocument/2006/relationships/fontTable" Target="fontTable.xml"/><Relationship Id="rId40" Type="http://schemas.openxmlformats.org/officeDocument/2006/relationships/numbering" Target="numbering.xml"/><Relationship Id="rId4" Type="http://schemas.openxmlformats.org/officeDocument/2006/relationships/endnotes" Target="endnotes.xml"/><Relationship Id="rId39" Type="http://schemas.openxmlformats.org/officeDocument/2006/relationships/customXml" Target="../customXml/item1.xml"/><Relationship Id="rId38" Type="http://schemas.openxmlformats.org/officeDocument/2006/relationships/theme" Target="theme/theme1.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76</Pages>
  <Words>9073</Words>
  <Characters>10321</Characters>
  <TotalTime>3</TotalTime>
  <ScaleCrop>false</ScaleCrop>
  <LinksUpToDate>false</LinksUpToDate>
  <CharactersWithSpaces>10419</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2023-10-17T16:15:00Z</dcterms:created>
  <dc:creator>Administrator</dc:creator>
  <cp:lastModifiedBy>达达</cp:lastModifiedBy>
  <dcterms:modified xsi:type="dcterms:W3CDTF">2026-08-21T00:54:12Z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2023-11-15T15:48:42Z</vt:filetime>
  </property>
  <property fmtid="{D5CDD505-2E9C-101B-9397-08002B2CF9AE}" pid="4" name="KSOProductBuildVer">
    <vt:lpwstr>2052-12.1.0.28043</vt:lpwstr>
  </property>
  <property fmtid="{D5CDD505-2E9C-101B-9397-08002B2CF9AE}" pid="5" name="ICV">
    <vt:lpwstr>E9CE932016F24B5E9FA5BA293427D91A_12</vt:lpwstr>
  </property>
  <property fmtid="{D5CDD505-2E9C-101B-9397-08002B2CF9AE}" pid="6" name="KSOTemplateDocerSaveRecord">
    <vt:lpwstr>eyJoZGlkIjoiYmVhNDAxMjZkNjU0NTdhMDJjZjIwNjMwMWVmMTllMTQiLCJ1c2VySWQiOiIyMzMxNzUxMzIifQ==</vt:lpwstr>
  </property>
</Properties>
</file>